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jc w:val="both"/>
        <w:rPr>
          <w:rFonts w:hAnsi="黑体"/>
          <w:sz w:val="36"/>
          <w:szCs w:val="36"/>
          <w:highlight w:val="yellow"/>
        </w:rPr>
      </w:pPr>
    </w:p>
    <w:p>
      <w:pPr>
        <w:pStyle w:val="16"/>
        <w:jc w:val="center"/>
        <w:rPr>
          <w:rFonts w:ascii="Times New Roman" w:hAnsi="Times New Roman" w:cs="Times New Roman"/>
          <w:sz w:val="56"/>
          <w:szCs w:val="56"/>
        </w:rPr>
      </w:pPr>
    </w:p>
    <w:p>
      <w:pPr>
        <w:pStyle w:val="16"/>
        <w:jc w:val="center"/>
        <w:rPr>
          <w:rFonts w:ascii="Times New Roman" w:hAnsi="Times New Roman" w:cs="Times New Roman"/>
          <w:sz w:val="84"/>
          <w:szCs w:val="84"/>
        </w:rPr>
      </w:pPr>
    </w:p>
    <w:p>
      <w:pPr>
        <w:pStyle w:val="16"/>
        <w:jc w:val="center"/>
        <w:rPr>
          <w:rFonts w:ascii="Times New Roman" w:hAnsi="Times New Roman" w:cs="Times New Roman"/>
          <w:sz w:val="84"/>
          <w:szCs w:val="84"/>
        </w:rPr>
      </w:pPr>
    </w:p>
    <w:p>
      <w:pPr>
        <w:pStyle w:val="16"/>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pPr>
        <w:pStyle w:val="16"/>
        <w:jc w:val="center"/>
        <w:rPr>
          <w:rFonts w:ascii="Times New Roman" w:hAnsi="Times New Roman" w:eastAsia="方正小标宋简体" w:cs="Times New Roman"/>
          <w:sz w:val="72"/>
          <w:szCs w:val="72"/>
        </w:rPr>
      </w:pPr>
      <w:r>
        <w:rPr>
          <w:rFonts w:hint="eastAsia" w:ascii="Times New Roman" w:hAnsi="Times New Roman" w:eastAsia="方正小标宋简体" w:cs="Times New Roman"/>
          <w:sz w:val="72"/>
          <w:szCs w:val="72"/>
          <w:lang w:eastAsia="zh-CN"/>
        </w:rPr>
        <w:t>湖南省农民科技教育培训中心</w:t>
      </w:r>
      <w:r>
        <w:rPr>
          <w:rFonts w:ascii="Times New Roman" w:hAnsi="Times New Roman" w:eastAsia="方正小标宋简体" w:cs="Times New Roman"/>
          <w:sz w:val="72"/>
          <w:szCs w:val="72"/>
        </w:rPr>
        <w:t>单位部门决算</w:t>
      </w:r>
    </w:p>
    <w:p>
      <w:pPr>
        <w:pStyle w:val="16"/>
        <w:jc w:val="center"/>
        <w:rPr>
          <w:rFonts w:ascii="Times New Roman" w:hAnsi="Times New Roman" w:eastAsia="方正小标宋_GBK" w:cs="Times New Roman"/>
          <w:sz w:val="56"/>
          <w:szCs w:val="56"/>
        </w:rPr>
      </w:pPr>
    </w:p>
    <w:p>
      <w:pPr>
        <w:pStyle w:val="16"/>
        <w:jc w:val="center"/>
        <w:rPr>
          <w:rFonts w:ascii="Times New Roman" w:hAnsi="Times New Roman" w:cs="Times New Roman"/>
          <w:sz w:val="56"/>
          <w:szCs w:val="56"/>
        </w:rPr>
      </w:pPr>
    </w:p>
    <w:p>
      <w:pPr>
        <w:pStyle w:val="16"/>
        <w:rPr>
          <w:rFonts w:ascii="Times New Roman" w:hAnsi="Times New Roman" w:cs="Times New Roman"/>
          <w:sz w:val="56"/>
          <w:szCs w:val="56"/>
        </w:rPr>
      </w:pPr>
    </w:p>
    <w:p>
      <w:pPr>
        <w:pStyle w:val="16"/>
        <w:jc w:val="center"/>
        <w:rPr>
          <w:rFonts w:ascii="Times New Roman" w:hAnsi="Times New Roman" w:cs="Times New Roman"/>
          <w:sz w:val="32"/>
          <w:szCs w:val="32"/>
        </w:rPr>
      </w:pPr>
    </w:p>
    <w:p>
      <w:pPr>
        <w:pStyle w:val="16"/>
        <w:jc w:val="center"/>
        <w:rPr>
          <w:rFonts w:ascii="Times New Roman" w:hAnsi="Times New Roman" w:cs="Times New Roman"/>
          <w:sz w:val="32"/>
          <w:szCs w:val="32"/>
        </w:rPr>
      </w:pPr>
    </w:p>
    <w:p>
      <w:pPr>
        <w:pStyle w:val="16"/>
        <w:jc w:val="center"/>
        <w:rPr>
          <w:rFonts w:ascii="Times New Roman" w:hAnsi="Times New Roman" w:cs="Times New Roman"/>
          <w:sz w:val="32"/>
          <w:szCs w:val="32"/>
        </w:rPr>
      </w:pPr>
    </w:p>
    <w:p>
      <w:pPr>
        <w:pStyle w:val="16"/>
        <w:jc w:val="center"/>
        <w:rPr>
          <w:rFonts w:ascii="Times New Roman" w:hAnsi="Times New Roman" w:cs="Times New Roman"/>
          <w:sz w:val="32"/>
          <w:szCs w:val="32"/>
        </w:rPr>
      </w:pPr>
    </w:p>
    <w:p>
      <w:pPr>
        <w:pStyle w:val="16"/>
        <w:jc w:val="center"/>
        <w:rPr>
          <w:rFonts w:ascii="Times New Roman" w:hAnsi="Times New Roman" w:cs="Times New Roman"/>
          <w:sz w:val="32"/>
          <w:szCs w:val="32"/>
        </w:rPr>
      </w:pPr>
    </w:p>
    <w:p>
      <w:pPr>
        <w:pStyle w:val="16"/>
        <w:spacing w:line="600" w:lineRule="exact"/>
        <w:jc w:val="both"/>
        <w:rPr>
          <w:rFonts w:ascii="Times New Roman" w:hAnsi="Times New Roman" w:cs="Times New Roman"/>
          <w:b/>
          <w:sz w:val="36"/>
          <w:szCs w:val="28"/>
        </w:rPr>
        <w:sectPr>
          <w:footerReference r:id="rId3" w:type="default"/>
          <w:pgSz w:w="11906" w:h="16838"/>
          <w:pgMar w:top="1417" w:right="1588" w:bottom="1417" w:left="1588" w:header="851" w:footer="992" w:gutter="0"/>
          <w:pgNumType w:start="1"/>
          <w:cols w:space="425" w:num="1"/>
          <w:docGrid w:type="lines" w:linePitch="312" w:charSpace="0"/>
        </w:sectPr>
      </w:pPr>
    </w:p>
    <w:p>
      <w:pPr>
        <w:pStyle w:val="16"/>
        <w:spacing w:line="600" w:lineRule="exact"/>
        <w:jc w:val="both"/>
        <w:rPr>
          <w:rFonts w:ascii="Times New Roman" w:hAnsi="Times New Roman" w:cs="Times New Roman"/>
          <w:b/>
          <w:sz w:val="36"/>
          <w:szCs w:val="28"/>
        </w:rPr>
      </w:pPr>
    </w:p>
    <w:p>
      <w:pPr>
        <w:pStyle w:val="16"/>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pPr>
        <w:pStyle w:val="16"/>
        <w:spacing w:line="600" w:lineRule="exact"/>
        <w:jc w:val="center"/>
        <w:rPr>
          <w:rFonts w:ascii="Times New Roman" w:hAnsi="Times New Roman" w:cs="Times New Roman"/>
          <w:b/>
          <w:sz w:val="36"/>
          <w:szCs w:val="28"/>
        </w:rPr>
      </w:pPr>
    </w:p>
    <w:p>
      <w:pPr>
        <w:pStyle w:val="16"/>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 xml:space="preserve">第一部分 </w:t>
      </w:r>
      <w:r>
        <w:rPr>
          <w:rFonts w:hint="eastAsia" w:ascii="Times New Roman" w:hAnsi="Times New Roman" w:cs="Times New Roman"/>
          <w:bCs/>
          <w:sz w:val="32"/>
          <w:szCs w:val="32"/>
          <w:lang w:eastAsia="zh-CN"/>
        </w:rPr>
        <w:t>湖南省农民科技教育培训中心</w:t>
      </w:r>
      <w:r>
        <w:rPr>
          <w:rFonts w:ascii="Times New Roman" w:hAnsi="Times New Roman" w:cs="Times New Roman"/>
          <w:bCs/>
          <w:sz w:val="32"/>
          <w:szCs w:val="32"/>
        </w:rPr>
        <w:t>概况</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4" w:type="default"/>
          <w:pgSz w:w="11906" w:h="16838"/>
          <w:pgMar w:top="1417" w:right="1588" w:bottom="1417" w:left="1588" w:header="851" w:footer="992" w:gutter="0"/>
          <w:pgNumType w:start="1"/>
          <w:cols w:space="425" w:num="1"/>
          <w:docGrid w:type="lines" w:linePitch="312" w:charSpace="0"/>
        </w:sectPr>
      </w:pP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pPr>
        <w:pStyle w:val="16"/>
        <w:spacing w:line="600" w:lineRule="exact"/>
        <w:rPr>
          <w:rFonts w:ascii="Times New Roman" w:hAnsi="Times New Roman" w:cs="Times New Roman"/>
          <w:bCs/>
          <w:sz w:val="28"/>
          <w:szCs w:val="28"/>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pStyle w:val="10"/>
        <w:rPr>
          <w:rFonts w:ascii="Times New Roman" w:hAnsi="Times New Roman" w:cs="Times New Roman"/>
        </w:rPr>
        <w:sectPr>
          <w:footerReference r:id="rId5" w:type="default"/>
          <w:pgSz w:w="11906" w:h="16838"/>
          <w:pgMar w:top="1417" w:right="1588" w:bottom="1417" w:left="1588" w:header="851" w:footer="992" w:gutter="0"/>
          <w:pgNumType w:start="1"/>
          <w:cols w:space="425" w:num="1"/>
          <w:docGrid w:type="lines" w:linePitch="312" w:charSpace="0"/>
        </w:sectPr>
      </w:pPr>
    </w:p>
    <w:p>
      <w:pPr>
        <w:rPr>
          <w:rFonts w:ascii="Times New Roman" w:hAnsi="Times New Roman" w:eastAsia="方正小标宋_GBK" w:cs="Times New Roman"/>
          <w:sz w:val="72"/>
          <w:szCs w:val="72"/>
        </w:rPr>
      </w:pPr>
    </w:p>
    <w:p>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pPr>
        <w:pStyle w:val="16"/>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lang w:eastAsia="zh-CN"/>
        </w:rPr>
        <w:t>湖南省农民科技教育培训中心</w:t>
      </w:r>
      <w:r>
        <w:rPr>
          <w:rFonts w:ascii="Times New Roman" w:hAnsi="Times New Roman" w:eastAsia="方正小标宋_GBK" w:cs="Times New Roman"/>
          <w:sz w:val="52"/>
          <w:szCs w:val="52"/>
        </w:rPr>
        <w:t>概况</w:t>
      </w:r>
    </w:p>
    <w:p>
      <w:pPr>
        <w:pStyle w:val="6"/>
        <w:ind w:left="0" w:leftChars="0" w:firstLine="0" w:firstLineChars="0"/>
        <w:rPr>
          <w:rFonts w:ascii="Times New Roman" w:hAnsi="Times New Roman" w:cs="Times New Roman"/>
        </w:rPr>
      </w:pPr>
    </w:p>
    <w:p>
      <w:pPr>
        <w:pStyle w:val="17"/>
        <w:spacing w:line="600" w:lineRule="exact"/>
        <w:ind w:firstLine="0" w:firstLineChars="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pPr>
        <w:spacing w:line="600" w:lineRule="exact"/>
        <w:ind w:firstLine="640" w:firstLineChars="200"/>
        <w:jc w:val="left"/>
        <w:rPr>
          <w:rFonts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湖南省农民科技教育培训中心（省农广校）1981年经省政府批准成立，是一所集新型职业农民教育培训、技术推广、科学普及和信息传播等多种功能为一体的政府公益性教育培训机构。</w:t>
      </w:r>
    </w:p>
    <w:p>
      <w:pPr>
        <w:widowControl/>
        <w:spacing w:line="600" w:lineRule="exac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二、机构设置及决算单位构成</w:t>
      </w:r>
    </w:p>
    <w:p>
      <w:pPr>
        <w:widowControl/>
        <w:spacing w:line="600" w:lineRule="exact"/>
        <w:ind w:firstLine="640" w:firstLineChars="200"/>
        <w:rPr>
          <w:rFonts w:hint="eastAsia" w:ascii="Times New Roman" w:hAnsi="Times New Roman" w:eastAsia="仿宋_GB2312" w:cs="仿宋_GB2312"/>
          <w:sz w:val="32"/>
          <w:szCs w:val="32"/>
        </w:rPr>
      </w:pPr>
      <w:r>
        <w:rPr>
          <w:rFonts w:ascii="Times New Roman" w:hAnsi="Times New Roman" w:eastAsia="仿宋_GB2312" w:cs="Times New Roman"/>
          <w:bCs/>
          <w:kern w:val="0"/>
          <w:sz w:val="32"/>
          <w:szCs w:val="32"/>
        </w:rPr>
        <w:t>（一）内设机构设置。</w:t>
      </w:r>
      <w:r>
        <w:rPr>
          <w:rFonts w:hint="eastAsia" w:ascii="Times New Roman" w:hAnsi="Times New Roman" w:eastAsia="仿宋_GB2312" w:cs="仿宋_GB2312"/>
          <w:sz w:val="32"/>
          <w:szCs w:val="32"/>
        </w:rPr>
        <w:t>湖南省农民科技教育培训中心内设机构包括：办公室、财务科、人事科、教务科、教材科、声像科、培训开发科、职业技能鉴定科、农民体育健身科、体系建设科10个内部机构。</w:t>
      </w:r>
    </w:p>
    <w:p>
      <w:pPr>
        <w:widowControl/>
        <w:spacing w:line="600" w:lineRule="exact"/>
        <w:ind w:firstLine="640" w:firstLineChars="200"/>
        <w:rPr>
          <w:rFonts w:hint="eastAsia" w:ascii="Times New Roman" w:hAnsi="Times New Roman" w:eastAsia="仿宋_GB2312" w:cs="仿宋_GB2312"/>
          <w:sz w:val="32"/>
          <w:szCs w:val="32"/>
        </w:rPr>
      </w:pPr>
      <w:r>
        <w:rPr>
          <w:rFonts w:ascii="Times New Roman" w:hAnsi="Times New Roman" w:eastAsia="仿宋_GB2312" w:cs="Times New Roman"/>
          <w:bCs/>
          <w:kern w:val="0"/>
          <w:sz w:val="32"/>
          <w:szCs w:val="32"/>
        </w:rPr>
        <w:t>（二）决算单位构成。</w:t>
      </w:r>
      <w:r>
        <w:rPr>
          <w:rFonts w:hint="eastAsia" w:ascii="Times New Roman" w:hAnsi="Times New Roman" w:eastAsia="仿宋_GB2312" w:cs="仿宋_GB2312"/>
          <w:sz w:val="32"/>
          <w:szCs w:val="32"/>
        </w:rPr>
        <w:t>湖南省农民科技教育培训中心</w:t>
      </w:r>
      <w:r>
        <w:rPr>
          <w:rFonts w:hint="eastAsia" w:ascii="Times New Roman" w:hAnsi="Times New Roman" w:eastAsia="仿宋_GB2312" w:cs="仿宋_GB2312"/>
          <w:sz w:val="32"/>
          <w:szCs w:val="32"/>
          <w:lang w:val="en-US" w:eastAsia="zh-CN"/>
        </w:rPr>
        <w:t>2024</w:t>
      </w:r>
      <w:r>
        <w:rPr>
          <w:rFonts w:hint="eastAsia" w:ascii="Times New Roman" w:hAnsi="Times New Roman" w:eastAsia="仿宋_GB2312" w:cs="仿宋_GB2312"/>
          <w:sz w:val="32"/>
          <w:szCs w:val="32"/>
        </w:rPr>
        <w:t>年部门决算汇总公开单位构成包括：湖南省农民科技教育培训中心单位本级。</w:t>
      </w: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both"/>
        <w:rPr>
          <w:rFonts w:ascii="Times New Roman" w:hAnsi="Times New Roman" w:eastAsia="黑体" w:cs="Times New Roman"/>
          <w:sz w:val="28"/>
          <w:szCs w:val="28"/>
        </w:rPr>
      </w:pPr>
    </w:p>
    <w:p>
      <w:pPr>
        <w:pStyle w:val="10"/>
        <w:rPr>
          <w:rFonts w:ascii="Times New Roman" w:hAnsi="Times New Roman" w:cs="Times New Roman"/>
        </w:rPr>
        <w:sectPr>
          <w:footerReference r:id="rId6" w:type="default"/>
          <w:pgSz w:w="11906" w:h="16838"/>
          <w:pgMar w:top="1417" w:right="1588" w:bottom="1417" w:left="1588" w:header="851" w:footer="992" w:gutter="0"/>
          <w:pgNumType w:start="1"/>
          <w:cols w:space="425" w:num="1"/>
          <w:docGrid w:type="lines" w:linePitch="312" w:charSpace="0"/>
        </w:sectPr>
      </w:pPr>
    </w:p>
    <w:p>
      <w:pPr>
        <w:pStyle w:val="16"/>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    部门决算表</w:t>
      </w:r>
    </w:p>
    <w:p>
      <w:pPr>
        <w:widowControl/>
        <w:spacing w:after="156" w:afterLines="50"/>
        <w:jc w:val="center"/>
        <w:textAlignment w:val="center"/>
        <w:rPr>
          <w:rFonts w:ascii="Times New Roman" w:hAnsi="Times New Roman" w:eastAsia="黑体" w:cs="Times New Roman"/>
          <w:color w:val="000000"/>
          <w:sz w:val="36"/>
          <w:szCs w:val="36"/>
        </w:rPr>
      </w:pPr>
      <w:r>
        <w:rPr>
          <w:rFonts w:ascii="Times New Roman" w:hAnsi="Times New Roman" w:eastAsia="黑体" w:cs="Times New Roman"/>
          <w:color w:val="000000"/>
          <w:kern w:val="0"/>
          <w:sz w:val="36"/>
          <w:szCs w:val="36"/>
          <w:lang w:bidi="ar"/>
        </w:rPr>
        <w:t>收入支出决算总表</w:t>
      </w:r>
    </w:p>
    <w:p>
      <w:pPr>
        <w:widowControl/>
        <w:tabs>
          <w:tab w:val="left" w:pos="4442"/>
          <w:tab w:val="left" w:pos="5045"/>
          <w:tab w:val="left" w:pos="6444"/>
          <w:tab w:val="left" w:pos="11477"/>
          <w:tab w:val="left" w:pos="13102"/>
        </w:tabs>
        <w:jc w:val="both"/>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公开01表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val="en-US" w:eastAsia="zh-CN"/>
        </w:rPr>
        <w:t>湖南省农民科技教育培训中心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单位：万元</w:t>
      </w:r>
    </w:p>
    <w:tbl>
      <w:tblPr>
        <w:tblStyle w:val="12"/>
        <w:tblW w:w="140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718"/>
        <w:gridCol w:w="828"/>
        <w:gridCol w:w="1384"/>
        <w:gridCol w:w="4069"/>
        <w:gridCol w:w="759"/>
        <w:gridCol w:w="22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1" w:hRule="atLeast"/>
        </w:trPr>
        <w:tc>
          <w:tcPr>
            <w:tcW w:w="6930" w:type="dxa"/>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收入</w:t>
            </w:r>
          </w:p>
        </w:tc>
        <w:tc>
          <w:tcPr>
            <w:tcW w:w="7090" w:type="dxa"/>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38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226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kinsoku/>
              <w:wordWrap/>
              <w:overflowPunct/>
              <w:topLinePunct w:val="0"/>
              <w:autoSpaceDE/>
              <w:autoSpaceDN/>
              <w:bidi w:val="0"/>
              <w:adjustRightInd/>
              <w:snapToGrid/>
              <w:spacing w:line="192" w:lineRule="auto"/>
              <w:jc w:val="center"/>
              <w:rPr>
                <w:rFonts w:hint="eastAsia" w:ascii="宋体" w:hAnsi="宋体" w:eastAsia="宋体" w:cs="宋体"/>
                <w:i w:val="0"/>
                <w:iCs w:val="0"/>
                <w:color w:val="000000"/>
                <w:sz w:val="22"/>
                <w:szCs w:val="22"/>
                <w:u w:val="none"/>
              </w:rPr>
            </w:pPr>
          </w:p>
        </w:tc>
        <w:tc>
          <w:tcPr>
            <w:tcW w:w="138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kinsoku/>
              <w:wordWrap/>
              <w:overflowPunct/>
              <w:topLinePunct w:val="0"/>
              <w:autoSpaceDE/>
              <w:autoSpaceDN/>
              <w:bidi w:val="0"/>
              <w:adjustRightInd/>
              <w:snapToGrid/>
              <w:spacing w:line="192" w:lineRule="auto"/>
              <w:jc w:val="center"/>
              <w:rPr>
                <w:rFonts w:hint="eastAsia" w:ascii="宋体" w:hAnsi="宋体" w:eastAsia="宋体" w:cs="宋体"/>
                <w:i w:val="0"/>
                <w:iCs w:val="0"/>
                <w:color w:val="000000"/>
                <w:sz w:val="22"/>
                <w:szCs w:val="22"/>
                <w:u w:val="none"/>
              </w:rPr>
            </w:pPr>
          </w:p>
        </w:tc>
        <w:tc>
          <w:tcPr>
            <w:tcW w:w="226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一、一般公共预算财政拨款收入</w:t>
            </w: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2,827.32</w:t>
            </w: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二、政府性基金预算财政拨款收入</w:t>
            </w: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二、外交支出</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三、国有资本经营预算财政拨款收入</w:t>
            </w: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三、国防支出</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四、上级补助收入</w:t>
            </w: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四、公共安全支出</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五、事业收入</w:t>
            </w: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5.43</w:t>
            </w: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五、教育支出</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1,044.16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六、经营收入</w:t>
            </w: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六、科学技术支出</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七、附属单位上缴收入</w:t>
            </w: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八、其他收入</w:t>
            </w: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0.07</w:t>
            </w: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22"/>
                <w:szCs w:val="22"/>
                <w:u w:val="none"/>
              </w:rPr>
            </w:pP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九、卫生健康支出</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22"/>
                <w:szCs w:val="22"/>
                <w:u w:val="none"/>
              </w:rPr>
            </w:pP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十、节能环保支出</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22"/>
                <w:szCs w:val="22"/>
                <w:u w:val="none"/>
              </w:rPr>
            </w:pP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十一、城乡社区支出</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22"/>
                <w:szCs w:val="22"/>
                <w:u w:val="none"/>
              </w:rPr>
            </w:pP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十二、农林水支出</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773.98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22"/>
                <w:szCs w:val="22"/>
                <w:u w:val="none"/>
              </w:rPr>
            </w:pP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十三、交通运输支出</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22"/>
                <w:szCs w:val="22"/>
                <w:u w:val="none"/>
              </w:rPr>
            </w:pP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22"/>
                <w:szCs w:val="22"/>
                <w:u w:val="none"/>
              </w:rPr>
            </w:pP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22"/>
                <w:szCs w:val="22"/>
                <w:u w:val="none"/>
              </w:rPr>
            </w:pP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十六、金融支出</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22"/>
                <w:szCs w:val="22"/>
                <w:u w:val="none"/>
              </w:rPr>
            </w:pP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9"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22"/>
                <w:szCs w:val="22"/>
                <w:u w:val="none"/>
              </w:rPr>
            </w:pP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7"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22"/>
                <w:szCs w:val="22"/>
                <w:u w:val="none"/>
              </w:rPr>
            </w:pP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十九、住房保障支出</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22"/>
                <w:szCs w:val="22"/>
                <w:u w:val="none"/>
              </w:rPr>
            </w:pP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22"/>
                <w:szCs w:val="22"/>
                <w:u w:val="none"/>
              </w:rPr>
            </w:pP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22"/>
                <w:szCs w:val="22"/>
                <w:u w:val="none"/>
              </w:rPr>
            </w:pP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22"/>
                <w:szCs w:val="22"/>
                <w:u w:val="none"/>
              </w:rPr>
            </w:pP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二十三、其他支出</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kinsoku/>
              <w:wordWrap/>
              <w:overflowPunct/>
              <w:topLinePunct w:val="0"/>
              <w:autoSpaceDE/>
              <w:autoSpaceDN/>
              <w:bidi w:val="0"/>
              <w:adjustRightInd/>
              <w:snapToGrid/>
              <w:spacing w:line="192" w:lineRule="auto"/>
              <w:jc w:val="center"/>
              <w:rPr>
                <w:rFonts w:hint="eastAsia" w:ascii="宋体" w:hAnsi="宋体" w:eastAsia="宋体" w:cs="宋体"/>
                <w:b/>
                <w:bCs/>
                <w:i w:val="0"/>
                <w:iCs w:val="0"/>
                <w:color w:val="000000"/>
                <w:sz w:val="20"/>
                <w:szCs w:val="20"/>
                <w:u w:val="none"/>
              </w:rPr>
            </w:pP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0"/>
                <w:szCs w:val="20"/>
                <w:u w:val="none"/>
              </w:rPr>
            </w:pP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20"/>
                <w:szCs w:val="20"/>
                <w:u w:val="none"/>
              </w:rPr>
            </w:pP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0"/>
                <w:szCs w:val="20"/>
                <w:u w:val="none"/>
              </w:rPr>
            </w:pP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kinsoku/>
              <w:wordWrap/>
              <w:overflowPunct/>
              <w:topLinePunct w:val="0"/>
              <w:autoSpaceDE/>
              <w:autoSpaceDN/>
              <w:bidi w:val="0"/>
              <w:adjustRightInd/>
              <w:snapToGrid/>
              <w:spacing w:line="192" w:lineRule="auto"/>
              <w:jc w:val="left"/>
              <w:rPr>
                <w:rFonts w:hint="eastAsia" w:ascii="宋体" w:hAnsi="宋体" w:eastAsia="宋体" w:cs="宋体"/>
                <w:i w:val="0"/>
                <w:iCs w:val="0"/>
                <w:color w:val="000000"/>
                <w:sz w:val="20"/>
                <w:szCs w:val="20"/>
                <w:u w:val="none"/>
              </w:rPr>
            </w:pP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0"/>
                <w:szCs w:val="20"/>
                <w:u w:val="none"/>
              </w:rPr>
            </w:pP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2,832.83</w:t>
            </w: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2,028.28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使用非财政拨款结余（含专用结余）</w:t>
            </w: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192" w:lineRule="auto"/>
              <w:jc w:val="right"/>
              <w:rPr>
                <w:rFonts w:hint="eastAsia" w:ascii="宋体" w:hAnsi="宋体" w:eastAsia="宋体" w:cs="宋体"/>
                <w:i w:val="0"/>
                <w:iCs w:val="0"/>
                <w:color w:val="000000"/>
                <w:sz w:val="22"/>
                <w:szCs w:val="22"/>
                <w:u w:val="none"/>
              </w:rPr>
            </w:pP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结余分配</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年初结转和结余</w:t>
            </w: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31.05</w:t>
            </w: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年末结转和结余</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835.54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82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3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2,863.88</w:t>
            </w:r>
          </w:p>
        </w:tc>
        <w:tc>
          <w:tcPr>
            <w:tcW w:w="406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75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226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92"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2,863.88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4020" w:type="dxa"/>
            <w:gridSpan w:val="6"/>
            <w:tcBorders>
              <w:top w:val="single" w:color="D4D4D4" w:sz="4" w:space="0"/>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注：1.本表反映部门本年度的总收支和年末结转结余情况。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6" w:hRule="atLeast"/>
        </w:trPr>
        <w:tc>
          <w:tcPr>
            <w:tcW w:w="14020" w:type="dxa"/>
            <w:gridSpan w:val="6"/>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2.本套报表金额单位转换时可能存在尾数误差。</w:t>
            </w:r>
          </w:p>
        </w:tc>
      </w:tr>
    </w:tbl>
    <w:p>
      <w:pPr>
        <w:rPr>
          <w:rFonts w:ascii="Times New Roman" w:hAnsi="Times New Roman" w:eastAsia="华文中宋" w:cs="Times New Roman"/>
          <w:color w:val="000000"/>
          <w:sz w:val="32"/>
          <w:szCs w:val="32"/>
        </w:rPr>
      </w:pP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br w:type="textWrapping"/>
      </w:r>
      <w:r>
        <w:rPr>
          <w:rFonts w:ascii="Times New Roman" w:hAnsi="Times New Roman" w:eastAsia="黑体" w:cs="Times New Roman"/>
          <w:color w:val="000000"/>
          <w:kern w:val="0"/>
          <w:sz w:val="36"/>
          <w:szCs w:val="36"/>
          <w:lang w:bidi="ar"/>
        </w:rPr>
        <w:br w:type="textWrapping"/>
      </w:r>
      <w:r>
        <w:rPr>
          <w:rFonts w:ascii="Times New Roman" w:hAnsi="Times New Roman" w:eastAsia="黑体" w:cs="Times New Roman"/>
          <w:color w:val="000000"/>
          <w:kern w:val="0"/>
          <w:sz w:val="36"/>
          <w:szCs w:val="36"/>
          <w:lang w:bidi="ar"/>
        </w:rPr>
        <w:br w:type="textWrapping"/>
      </w:r>
      <w:r>
        <w:rPr>
          <w:rFonts w:ascii="Times New Roman" w:hAnsi="Times New Roman" w:eastAsia="黑体" w:cs="Times New Roman"/>
          <w:color w:val="000000"/>
          <w:kern w:val="0"/>
          <w:sz w:val="36"/>
          <w:szCs w:val="36"/>
          <w:lang w:bidi="ar"/>
        </w:rPr>
        <w:br w:type="textWrapping"/>
      </w:r>
      <w:r>
        <w:rPr>
          <w:rFonts w:ascii="Times New Roman" w:hAnsi="Times New Roman" w:eastAsia="黑体" w:cs="Times New Roman"/>
          <w:color w:val="000000"/>
          <w:kern w:val="0"/>
          <w:sz w:val="36"/>
          <w:szCs w:val="36"/>
          <w:lang w:bidi="ar"/>
        </w:rPr>
        <w:br w:type="textWrapping"/>
      </w:r>
      <w:r>
        <w:rPr>
          <w:rFonts w:ascii="Times New Roman" w:hAnsi="Times New Roman" w:eastAsia="黑体" w:cs="Times New Roman"/>
          <w:color w:val="000000"/>
          <w:kern w:val="0"/>
          <w:sz w:val="36"/>
          <w:szCs w:val="36"/>
          <w:lang w:bidi="ar"/>
        </w:rPr>
        <w:br w:type="textWrapping"/>
      </w:r>
      <w:r>
        <w:rPr>
          <w:rFonts w:ascii="Times New Roman" w:hAnsi="Times New Roman" w:eastAsia="黑体" w:cs="Times New Roman"/>
          <w:color w:val="000000"/>
          <w:kern w:val="0"/>
          <w:sz w:val="36"/>
          <w:szCs w:val="36"/>
          <w:lang w:bidi="ar"/>
        </w:rPr>
        <w:br w:type="textWrapping"/>
      </w:r>
      <w:r>
        <w:rPr>
          <w:rFonts w:ascii="Times New Roman" w:hAnsi="Times New Roman" w:eastAsia="黑体" w:cs="Times New Roman"/>
          <w:color w:val="000000"/>
          <w:kern w:val="0"/>
          <w:sz w:val="36"/>
          <w:szCs w:val="36"/>
          <w:lang w:bidi="ar"/>
        </w:rPr>
        <w:t>收入决算表</w:t>
      </w:r>
    </w:p>
    <w:p>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公开02表</w:t>
      </w:r>
    </w:p>
    <w:p>
      <w:pP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部门：</w:t>
      </w:r>
      <w:r>
        <w:rPr>
          <w:rFonts w:hint="eastAsia" w:ascii="Times New Roman" w:hAnsi="Times New Roman" w:eastAsia="仿宋_GB2312" w:cs="Times New Roman"/>
          <w:color w:val="000000"/>
          <w:kern w:val="0"/>
          <w:sz w:val="20"/>
          <w:szCs w:val="20"/>
          <w:lang w:val="en-US" w:eastAsia="zh-CN"/>
        </w:rPr>
        <w:t>湖南省农民科技教育培训中心</w:t>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color w:val="000000"/>
          <w:sz w:val="20"/>
          <w:szCs w:val="20"/>
        </w:rPr>
        <w:t>单位：万元</w:t>
      </w:r>
    </w:p>
    <w:tbl>
      <w:tblPr>
        <w:tblStyle w:val="12"/>
        <w:tblW w:w="1421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1"/>
        <w:gridCol w:w="4176"/>
        <w:gridCol w:w="1424"/>
        <w:gridCol w:w="1424"/>
        <w:gridCol w:w="1378"/>
        <w:gridCol w:w="998"/>
        <w:gridCol w:w="998"/>
        <w:gridCol w:w="1759"/>
        <w:gridCol w:w="10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207"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424"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本年收入合计</w:t>
            </w:r>
          </w:p>
        </w:tc>
        <w:tc>
          <w:tcPr>
            <w:tcW w:w="1424"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财政拨款收入</w:t>
            </w:r>
          </w:p>
        </w:tc>
        <w:tc>
          <w:tcPr>
            <w:tcW w:w="1378"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上级补助收入</w:t>
            </w:r>
          </w:p>
        </w:tc>
        <w:tc>
          <w:tcPr>
            <w:tcW w:w="998"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事业收入</w:t>
            </w:r>
          </w:p>
        </w:tc>
        <w:tc>
          <w:tcPr>
            <w:tcW w:w="998"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经营收入</w:t>
            </w:r>
          </w:p>
        </w:tc>
        <w:tc>
          <w:tcPr>
            <w:tcW w:w="1759"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附属单位上缴收入</w:t>
            </w:r>
          </w:p>
        </w:tc>
        <w:tc>
          <w:tcPr>
            <w:tcW w:w="1023"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31"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功能分类科目编码</w:t>
            </w:r>
          </w:p>
        </w:tc>
        <w:tc>
          <w:tcPr>
            <w:tcW w:w="4176" w:type="dxa"/>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42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42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7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99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99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75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023"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31"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4176"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142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42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7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99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99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75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023"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031"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4176"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142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42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7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99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99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75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023"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207"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424"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424"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378"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998"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998"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759"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023"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207"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2,832.83</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2,827.32</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5.43</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7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02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教育支出</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1,495.27</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1,495.27</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2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20508</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进修及培训</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1,495.27</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1,495.27</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2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2050803</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培训支出</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1,495.27</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1,495.27</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2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160.00</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2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158.00</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158.00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2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2080502</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事业单位离退休</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76.00</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2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82.00</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2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20899</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其他社会保障和就业支出</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2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2089999</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其他社会保障和就业支出</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2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卫生健康支出</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2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行政事业单位医疗</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2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2101102</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事业单位医疗</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2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农林水支出</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1,100.56</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1,095.05</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5.43</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2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农业农村</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743.47</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737.96</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5.43</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2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2130102</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一般行政管理事务</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81.76</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81.76</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2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2130104</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事业运行</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661.71</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656.20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5.43</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2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21305</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巩固脱贫攻坚成果衔接乡村振兴</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357.09</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357.09</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2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2130550</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事业运行</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157.56</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157.56</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2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2130599</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其他巩固脱贫攻坚成果衔接乡村振兴支出</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199.53</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199.53</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2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住房保障支出</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67.00</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2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住房改革支出</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67.00</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2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67.00</w:t>
            </w:r>
          </w:p>
        </w:tc>
        <w:tc>
          <w:tcPr>
            <w:tcW w:w="14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9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5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2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211" w:type="dxa"/>
            <w:gridSpan w:val="9"/>
            <w:tcBorders>
              <w:top w:val="single" w:color="D4D4D4" w:sz="4" w:space="0"/>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注：本表反映部门本年度取得的各项收入情况。</w:t>
            </w:r>
          </w:p>
        </w:tc>
      </w:tr>
    </w:tbl>
    <w:p>
      <w:pPr>
        <w:spacing w:before="120"/>
        <w:rPr>
          <w:rFonts w:ascii="Times New Roman" w:hAnsi="Times New Roman" w:eastAsia="仿宋_GB2312" w:cs="Times New Roman"/>
          <w:sz w:val="24"/>
          <w:szCs w:val="24"/>
        </w:rPr>
      </w:pPr>
    </w:p>
    <w:p>
      <w:pPr>
        <w:widowControl/>
        <w:jc w:val="left"/>
        <w:rPr>
          <w:rFonts w:ascii="Times New Roman" w:hAnsi="Times New Roman" w:eastAsia="黑体" w:cs="Times New Roman"/>
          <w:color w:val="000000"/>
          <w:kern w:val="0"/>
          <w:sz w:val="32"/>
          <w:szCs w:val="32"/>
          <w:lang w:bidi="ar"/>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支出决算表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hint="eastAsia" w:ascii="Times New Roman" w:hAnsi="Times New Roman" w:eastAsia="仿宋_GB2312" w:cs="Times New Roman"/>
          <w:kern w:val="0"/>
          <w:sz w:val="24"/>
          <w:szCs w:val="24"/>
          <w:lang w:val="en-US" w:eastAsia="zh-CN"/>
        </w:rPr>
        <w:t xml:space="preserve">      </w:t>
      </w:r>
      <w:r>
        <w:rPr>
          <w:rFonts w:ascii="Times New Roman" w:hAnsi="Times New Roman" w:eastAsia="仿宋_GB2312" w:cs="Times New Roman"/>
          <w:color w:val="000000"/>
          <w:kern w:val="0"/>
          <w:sz w:val="20"/>
          <w:szCs w:val="20"/>
        </w:rPr>
        <w:t>公开03表</w:t>
      </w:r>
      <w:r>
        <w:rPr>
          <w:rFonts w:ascii="Times New Roman" w:hAnsi="Times New Roman" w:eastAsia="仿宋_GB2312" w:cs="Times New Roman"/>
          <w:kern w:val="0"/>
          <w:sz w:val="24"/>
          <w:szCs w:val="24"/>
        </w:rPr>
        <w:tab/>
      </w:r>
    </w:p>
    <w:p>
      <w:pPr>
        <w:widowControl/>
        <w:tabs>
          <w:tab w:val="left" w:pos="1236"/>
          <w:tab w:val="left" w:pos="1499"/>
          <w:tab w:val="left" w:pos="2980"/>
          <w:tab w:val="left" w:pos="4932"/>
          <w:tab w:val="left" w:pos="6923"/>
          <w:tab w:val="left" w:pos="8914"/>
          <w:tab w:val="left" w:pos="10905"/>
          <w:tab w:val="left" w:pos="12896"/>
        </w:tabs>
        <w:jc w:val="both"/>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楷体_GB2312" w:cs="Times New Roman"/>
          <w:color w:val="000000"/>
          <w:kern w:val="0"/>
          <w:sz w:val="20"/>
          <w:szCs w:val="20"/>
          <w:lang w:val="en-US" w:eastAsia="zh-CN" w:bidi="ar"/>
        </w:rPr>
        <w:t>湖南省农民科技教育培训中心</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hint="eastAsia" w:ascii="Times New Roman" w:hAnsi="Times New Roman" w:eastAsia="仿宋_GB2312" w:cs="Times New Roman"/>
          <w:kern w:val="0"/>
          <w:sz w:val="24"/>
          <w:szCs w:val="24"/>
          <w:lang w:val="en-US" w:eastAsia="zh-CN"/>
        </w:rPr>
        <w:t xml:space="preserve">               </w:t>
      </w:r>
      <w:r>
        <w:rPr>
          <w:rFonts w:ascii="Times New Roman" w:hAnsi="Times New Roman" w:eastAsia="仿宋_GB2312" w:cs="Times New Roman"/>
          <w:color w:val="000000"/>
          <w:kern w:val="0"/>
          <w:sz w:val="20"/>
          <w:szCs w:val="20"/>
        </w:rPr>
        <w:t>单位：万元</w:t>
      </w:r>
    </w:p>
    <w:tbl>
      <w:tblPr>
        <w:tblStyle w:val="12"/>
        <w:tblW w:w="1421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6"/>
        <w:gridCol w:w="4176"/>
        <w:gridCol w:w="1594"/>
        <w:gridCol w:w="1199"/>
        <w:gridCol w:w="1425"/>
        <w:gridCol w:w="1510"/>
        <w:gridCol w:w="1251"/>
        <w:gridCol w:w="20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162"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center"/>
              <w:textAlignment w:val="center"/>
              <w:rPr>
                <w:rFonts w:hint="eastAsia" w:ascii="宋体" w:hAnsi="宋体" w:eastAsia="宋体" w:cs="宋体"/>
                <w:i w:val="0"/>
                <w:iCs w:val="0"/>
                <w:color w:val="000000"/>
                <w:sz w:val="22"/>
                <w:szCs w:val="22"/>
                <w:u w:val="none"/>
              </w:rPr>
            </w:pPr>
            <w:bookmarkStart w:id="0" w:name="RANGE!A1:F16"/>
            <w:r>
              <w:rPr>
                <w:rFonts w:hint="eastAsia" w:ascii="宋体" w:hAnsi="宋体" w:eastAsia="宋体" w:cs="宋体"/>
                <w:i w:val="0"/>
                <w:iCs w:val="0"/>
                <w:color w:val="000000"/>
                <w:kern w:val="0"/>
                <w:sz w:val="22"/>
                <w:szCs w:val="22"/>
                <w:u w:val="none"/>
                <w:lang w:val="en-US" w:eastAsia="zh-CN" w:bidi="ar"/>
              </w:rPr>
              <w:t>项目</w:t>
            </w:r>
          </w:p>
        </w:tc>
        <w:tc>
          <w:tcPr>
            <w:tcW w:w="1594"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本年支出合计</w:t>
            </w:r>
          </w:p>
        </w:tc>
        <w:tc>
          <w:tcPr>
            <w:tcW w:w="1199"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142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151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上缴上级支出</w:t>
            </w:r>
          </w:p>
        </w:tc>
        <w:tc>
          <w:tcPr>
            <w:tcW w:w="1251"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经营支出</w:t>
            </w:r>
          </w:p>
        </w:tc>
        <w:tc>
          <w:tcPr>
            <w:tcW w:w="2073"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功能分类科目代码</w:t>
            </w:r>
          </w:p>
        </w:tc>
        <w:tc>
          <w:tcPr>
            <w:tcW w:w="4176" w:type="dxa"/>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59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144" w:lineRule="auto"/>
              <w:jc w:val="center"/>
              <w:rPr>
                <w:rFonts w:hint="eastAsia" w:ascii="宋体" w:hAnsi="宋体" w:eastAsia="宋体" w:cs="宋体"/>
                <w:i w:val="0"/>
                <w:iCs w:val="0"/>
                <w:color w:val="000000"/>
                <w:sz w:val="22"/>
                <w:szCs w:val="22"/>
                <w:u w:val="none"/>
              </w:rPr>
            </w:pPr>
          </w:p>
        </w:tc>
        <w:tc>
          <w:tcPr>
            <w:tcW w:w="119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144" w:lineRule="auto"/>
              <w:jc w:val="center"/>
              <w:rPr>
                <w:rFonts w:hint="eastAsia" w:ascii="宋体" w:hAnsi="宋体" w:eastAsia="宋体" w:cs="宋体"/>
                <w:i w:val="0"/>
                <w:iCs w:val="0"/>
                <w:color w:val="000000"/>
                <w:sz w:val="22"/>
                <w:szCs w:val="22"/>
                <w:u w:val="none"/>
              </w:rPr>
            </w:pPr>
          </w:p>
        </w:tc>
        <w:tc>
          <w:tcPr>
            <w:tcW w:w="142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144" w:lineRule="auto"/>
              <w:jc w:val="center"/>
              <w:rPr>
                <w:rFonts w:hint="eastAsia" w:ascii="宋体" w:hAnsi="宋体" w:eastAsia="宋体" w:cs="宋体"/>
                <w:i w:val="0"/>
                <w:iCs w:val="0"/>
                <w:color w:val="000000"/>
                <w:sz w:val="22"/>
                <w:szCs w:val="22"/>
                <w:u w:val="none"/>
              </w:rPr>
            </w:pPr>
          </w:p>
        </w:tc>
        <w:tc>
          <w:tcPr>
            <w:tcW w:w="151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144" w:lineRule="auto"/>
              <w:jc w:val="center"/>
              <w:rPr>
                <w:rFonts w:hint="eastAsia" w:ascii="宋体" w:hAnsi="宋体" w:eastAsia="宋体" w:cs="宋体"/>
                <w:i w:val="0"/>
                <w:iCs w:val="0"/>
                <w:color w:val="000000"/>
                <w:sz w:val="22"/>
                <w:szCs w:val="22"/>
                <w:u w:val="none"/>
              </w:rPr>
            </w:pPr>
          </w:p>
        </w:tc>
        <w:tc>
          <w:tcPr>
            <w:tcW w:w="1251"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144" w:lineRule="auto"/>
              <w:jc w:val="center"/>
              <w:rPr>
                <w:rFonts w:hint="eastAsia" w:ascii="宋体" w:hAnsi="宋体" w:eastAsia="宋体" w:cs="宋体"/>
                <w:i w:val="0"/>
                <w:iCs w:val="0"/>
                <w:color w:val="000000"/>
                <w:sz w:val="22"/>
                <w:szCs w:val="22"/>
                <w:u w:val="none"/>
              </w:rPr>
            </w:pPr>
          </w:p>
        </w:tc>
        <w:tc>
          <w:tcPr>
            <w:tcW w:w="2073"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144" w:lineRule="auto"/>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144" w:lineRule="auto"/>
              <w:jc w:val="center"/>
              <w:rPr>
                <w:rFonts w:hint="eastAsia" w:ascii="宋体" w:hAnsi="宋体" w:eastAsia="宋体" w:cs="宋体"/>
                <w:i w:val="0"/>
                <w:iCs w:val="0"/>
                <w:color w:val="000000"/>
                <w:sz w:val="22"/>
                <w:szCs w:val="22"/>
                <w:u w:val="none"/>
              </w:rPr>
            </w:pPr>
          </w:p>
        </w:tc>
        <w:tc>
          <w:tcPr>
            <w:tcW w:w="4176"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kinsoku/>
              <w:wordWrap/>
              <w:overflowPunct/>
              <w:topLinePunct w:val="0"/>
              <w:autoSpaceDE/>
              <w:autoSpaceDN/>
              <w:bidi w:val="0"/>
              <w:adjustRightInd/>
              <w:snapToGrid/>
              <w:spacing w:line="144" w:lineRule="auto"/>
              <w:jc w:val="center"/>
              <w:rPr>
                <w:rFonts w:hint="eastAsia" w:ascii="宋体" w:hAnsi="宋体" w:eastAsia="宋体" w:cs="宋体"/>
                <w:i w:val="0"/>
                <w:iCs w:val="0"/>
                <w:color w:val="000000"/>
                <w:sz w:val="22"/>
                <w:szCs w:val="22"/>
                <w:u w:val="none"/>
              </w:rPr>
            </w:pPr>
          </w:p>
        </w:tc>
        <w:tc>
          <w:tcPr>
            <w:tcW w:w="159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144" w:lineRule="auto"/>
              <w:jc w:val="center"/>
              <w:rPr>
                <w:rFonts w:hint="eastAsia" w:ascii="宋体" w:hAnsi="宋体" w:eastAsia="宋体" w:cs="宋体"/>
                <w:i w:val="0"/>
                <w:iCs w:val="0"/>
                <w:color w:val="000000"/>
                <w:sz w:val="22"/>
                <w:szCs w:val="22"/>
                <w:u w:val="none"/>
              </w:rPr>
            </w:pPr>
          </w:p>
        </w:tc>
        <w:tc>
          <w:tcPr>
            <w:tcW w:w="119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144" w:lineRule="auto"/>
              <w:jc w:val="center"/>
              <w:rPr>
                <w:rFonts w:hint="eastAsia" w:ascii="宋体" w:hAnsi="宋体" w:eastAsia="宋体" w:cs="宋体"/>
                <w:i w:val="0"/>
                <w:iCs w:val="0"/>
                <w:color w:val="000000"/>
                <w:sz w:val="22"/>
                <w:szCs w:val="22"/>
                <w:u w:val="none"/>
              </w:rPr>
            </w:pPr>
          </w:p>
        </w:tc>
        <w:tc>
          <w:tcPr>
            <w:tcW w:w="142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144" w:lineRule="auto"/>
              <w:jc w:val="center"/>
              <w:rPr>
                <w:rFonts w:hint="eastAsia" w:ascii="宋体" w:hAnsi="宋体" w:eastAsia="宋体" w:cs="宋体"/>
                <w:i w:val="0"/>
                <w:iCs w:val="0"/>
                <w:color w:val="000000"/>
                <w:sz w:val="22"/>
                <w:szCs w:val="22"/>
                <w:u w:val="none"/>
              </w:rPr>
            </w:pPr>
          </w:p>
        </w:tc>
        <w:tc>
          <w:tcPr>
            <w:tcW w:w="151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144" w:lineRule="auto"/>
              <w:jc w:val="center"/>
              <w:rPr>
                <w:rFonts w:hint="eastAsia" w:ascii="宋体" w:hAnsi="宋体" w:eastAsia="宋体" w:cs="宋体"/>
                <w:i w:val="0"/>
                <w:iCs w:val="0"/>
                <w:color w:val="000000"/>
                <w:sz w:val="22"/>
                <w:szCs w:val="22"/>
                <w:u w:val="none"/>
              </w:rPr>
            </w:pPr>
          </w:p>
        </w:tc>
        <w:tc>
          <w:tcPr>
            <w:tcW w:w="1251"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144" w:lineRule="auto"/>
              <w:jc w:val="center"/>
              <w:rPr>
                <w:rFonts w:hint="eastAsia" w:ascii="宋体" w:hAnsi="宋体" w:eastAsia="宋体" w:cs="宋体"/>
                <w:i w:val="0"/>
                <w:iCs w:val="0"/>
                <w:color w:val="000000"/>
                <w:sz w:val="22"/>
                <w:szCs w:val="22"/>
                <w:u w:val="none"/>
              </w:rPr>
            </w:pPr>
          </w:p>
        </w:tc>
        <w:tc>
          <w:tcPr>
            <w:tcW w:w="2073"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144" w:lineRule="auto"/>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144" w:lineRule="auto"/>
              <w:jc w:val="center"/>
              <w:rPr>
                <w:rFonts w:hint="eastAsia" w:ascii="宋体" w:hAnsi="宋体" w:eastAsia="宋体" w:cs="宋体"/>
                <w:i w:val="0"/>
                <w:iCs w:val="0"/>
                <w:color w:val="000000"/>
                <w:sz w:val="22"/>
                <w:szCs w:val="22"/>
                <w:u w:val="none"/>
              </w:rPr>
            </w:pPr>
          </w:p>
        </w:tc>
        <w:tc>
          <w:tcPr>
            <w:tcW w:w="4176"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kinsoku/>
              <w:wordWrap/>
              <w:overflowPunct/>
              <w:topLinePunct w:val="0"/>
              <w:autoSpaceDE/>
              <w:autoSpaceDN/>
              <w:bidi w:val="0"/>
              <w:adjustRightInd/>
              <w:snapToGrid/>
              <w:spacing w:line="144" w:lineRule="auto"/>
              <w:jc w:val="center"/>
              <w:rPr>
                <w:rFonts w:hint="eastAsia" w:ascii="宋体" w:hAnsi="宋体" w:eastAsia="宋体" w:cs="宋体"/>
                <w:i w:val="0"/>
                <w:iCs w:val="0"/>
                <w:color w:val="000000"/>
                <w:sz w:val="22"/>
                <w:szCs w:val="22"/>
                <w:u w:val="none"/>
              </w:rPr>
            </w:pPr>
          </w:p>
        </w:tc>
        <w:tc>
          <w:tcPr>
            <w:tcW w:w="159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144" w:lineRule="auto"/>
              <w:jc w:val="center"/>
              <w:rPr>
                <w:rFonts w:hint="eastAsia" w:ascii="宋体" w:hAnsi="宋体" w:eastAsia="宋体" w:cs="宋体"/>
                <w:i w:val="0"/>
                <w:iCs w:val="0"/>
                <w:color w:val="000000"/>
                <w:sz w:val="22"/>
                <w:szCs w:val="22"/>
                <w:u w:val="none"/>
              </w:rPr>
            </w:pPr>
          </w:p>
        </w:tc>
        <w:tc>
          <w:tcPr>
            <w:tcW w:w="119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144" w:lineRule="auto"/>
              <w:jc w:val="center"/>
              <w:rPr>
                <w:rFonts w:hint="eastAsia" w:ascii="宋体" w:hAnsi="宋体" w:eastAsia="宋体" w:cs="宋体"/>
                <w:i w:val="0"/>
                <w:iCs w:val="0"/>
                <w:color w:val="000000"/>
                <w:sz w:val="22"/>
                <w:szCs w:val="22"/>
                <w:u w:val="none"/>
              </w:rPr>
            </w:pPr>
          </w:p>
        </w:tc>
        <w:tc>
          <w:tcPr>
            <w:tcW w:w="142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144" w:lineRule="auto"/>
              <w:jc w:val="center"/>
              <w:rPr>
                <w:rFonts w:hint="eastAsia" w:ascii="宋体" w:hAnsi="宋体" w:eastAsia="宋体" w:cs="宋体"/>
                <w:i w:val="0"/>
                <w:iCs w:val="0"/>
                <w:color w:val="000000"/>
                <w:sz w:val="22"/>
                <w:szCs w:val="22"/>
                <w:u w:val="none"/>
              </w:rPr>
            </w:pPr>
          </w:p>
        </w:tc>
        <w:tc>
          <w:tcPr>
            <w:tcW w:w="151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144" w:lineRule="auto"/>
              <w:jc w:val="center"/>
              <w:rPr>
                <w:rFonts w:hint="eastAsia" w:ascii="宋体" w:hAnsi="宋体" w:eastAsia="宋体" w:cs="宋体"/>
                <w:i w:val="0"/>
                <w:iCs w:val="0"/>
                <w:color w:val="000000"/>
                <w:sz w:val="22"/>
                <w:szCs w:val="22"/>
                <w:u w:val="none"/>
              </w:rPr>
            </w:pPr>
          </w:p>
        </w:tc>
        <w:tc>
          <w:tcPr>
            <w:tcW w:w="1251"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144" w:lineRule="auto"/>
              <w:jc w:val="center"/>
              <w:rPr>
                <w:rFonts w:hint="eastAsia" w:ascii="宋体" w:hAnsi="宋体" w:eastAsia="宋体" w:cs="宋体"/>
                <w:i w:val="0"/>
                <w:iCs w:val="0"/>
                <w:color w:val="000000"/>
                <w:sz w:val="22"/>
                <w:szCs w:val="22"/>
                <w:u w:val="none"/>
              </w:rPr>
            </w:pPr>
          </w:p>
        </w:tc>
        <w:tc>
          <w:tcPr>
            <w:tcW w:w="2073"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144" w:lineRule="auto"/>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2"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594"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199"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425"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51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251"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073"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2"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59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2,028.28</w:t>
            </w:r>
          </w:p>
        </w:tc>
        <w:tc>
          <w:tcPr>
            <w:tcW w:w="11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879.58</w:t>
            </w:r>
          </w:p>
        </w:tc>
        <w:tc>
          <w:tcPr>
            <w:tcW w:w="14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1,148.70</w:t>
            </w:r>
          </w:p>
        </w:tc>
        <w:tc>
          <w:tcPr>
            <w:tcW w:w="15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b/>
                <w:bCs/>
                <w:i w:val="0"/>
                <w:iCs w:val="0"/>
                <w:color w:val="000000"/>
                <w:sz w:val="22"/>
                <w:szCs w:val="22"/>
                <w:u w:val="none"/>
              </w:rPr>
            </w:pPr>
          </w:p>
        </w:tc>
        <w:tc>
          <w:tcPr>
            <w:tcW w:w="12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b/>
                <w:bCs/>
                <w:i w:val="0"/>
                <w:iCs w:val="0"/>
                <w:color w:val="000000"/>
                <w:sz w:val="22"/>
                <w:szCs w:val="22"/>
                <w:u w:val="none"/>
              </w:rPr>
            </w:pPr>
          </w:p>
        </w:tc>
        <w:tc>
          <w:tcPr>
            <w:tcW w:w="20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教育支出</w:t>
            </w:r>
          </w:p>
        </w:tc>
        <w:tc>
          <w:tcPr>
            <w:tcW w:w="159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1,044.16</w:t>
            </w:r>
          </w:p>
        </w:tc>
        <w:tc>
          <w:tcPr>
            <w:tcW w:w="11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4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1,044.16</w:t>
            </w:r>
          </w:p>
        </w:tc>
        <w:tc>
          <w:tcPr>
            <w:tcW w:w="15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2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20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20508</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进修及培训</w:t>
            </w:r>
          </w:p>
        </w:tc>
        <w:tc>
          <w:tcPr>
            <w:tcW w:w="159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1,044.16</w:t>
            </w:r>
          </w:p>
        </w:tc>
        <w:tc>
          <w:tcPr>
            <w:tcW w:w="11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4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1,044.16</w:t>
            </w:r>
          </w:p>
        </w:tc>
        <w:tc>
          <w:tcPr>
            <w:tcW w:w="15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2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20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2050803</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培训支出</w:t>
            </w:r>
          </w:p>
        </w:tc>
        <w:tc>
          <w:tcPr>
            <w:tcW w:w="159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1,044.16</w:t>
            </w:r>
          </w:p>
        </w:tc>
        <w:tc>
          <w:tcPr>
            <w:tcW w:w="11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4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1,044.16</w:t>
            </w:r>
          </w:p>
        </w:tc>
        <w:tc>
          <w:tcPr>
            <w:tcW w:w="15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2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20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159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141.87</w:t>
            </w:r>
          </w:p>
        </w:tc>
        <w:tc>
          <w:tcPr>
            <w:tcW w:w="11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141.87</w:t>
            </w:r>
          </w:p>
        </w:tc>
        <w:tc>
          <w:tcPr>
            <w:tcW w:w="14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5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2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20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159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140.42</w:t>
            </w:r>
          </w:p>
        </w:tc>
        <w:tc>
          <w:tcPr>
            <w:tcW w:w="11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140.42</w:t>
            </w:r>
          </w:p>
        </w:tc>
        <w:tc>
          <w:tcPr>
            <w:tcW w:w="14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5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2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20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2080502</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事业单位离退休</w:t>
            </w:r>
          </w:p>
        </w:tc>
        <w:tc>
          <w:tcPr>
            <w:tcW w:w="159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68.92</w:t>
            </w:r>
          </w:p>
        </w:tc>
        <w:tc>
          <w:tcPr>
            <w:tcW w:w="11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68.92</w:t>
            </w:r>
          </w:p>
        </w:tc>
        <w:tc>
          <w:tcPr>
            <w:tcW w:w="14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5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2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20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159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71.50</w:t>
            </w:r>
          </w:p>
        </w:tc>
        <w:tc>
          <w:tcPr>
            <w:tcW w:w="11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71.50</w:t>
            </w:r>
          </w:p>
        </w:tc>
        <w:tc>
          <w:tcPr>
            <w:tcW w:w="14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5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2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20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20899</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其他社会保障和就业支出</w:t>
            </w:r>
          </w:p>
        </w:tc>
        <w:tc>
          <w:tcPr>
            <w:tcW w:w="159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w:t>
            </w:r>
          </w:p>
        </w:tc>
        <w:tc>
          <w:tcPr>
            <w:tcW w:w="11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w:t>
            </w:r>
          </w:p>
        </w:tc>
        <w:tc>
          <w:tcPr>
            <w:tcW w:w="14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5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2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20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2089999</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其他社会保障和就业支出</w:t>
            </w:r>
          </w:p>
        </w:tc>
        <w:tc>
          <w:tcPr>
            <w:tcW w:w="159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w:t>
            </w:r>
          </w:p>
        </w:tc>
        <w:tc>
          <w:tcPr>
            <w:tcW w:w="11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w:t>
            </w:r>
          </w:p>
        </w:tc>
        <w:tc>
          <w:tcPr>
            <w:tcW w:w="14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5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2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20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卫生健康支出</w:t>
            </w:r>
          </w:p>
        </w:tc>
        <w:tc>
          <w:tcPr>
            <w:tcW w:w="159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11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14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5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2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20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行政事业单位医疗</w:t>
            </w:r>
          </w:p>
        </w:tc>
        <w:tc>
          <w:tcPr>
            <w:tcW w:w="159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11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14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5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2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20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2101102</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事业单位医疗</w:t>
            </w:r>
          </w:p>
        </w:tc>
        <w:tc>
          <w:tcPr>
            <w:tcW w:w="159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11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14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5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2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20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农林水支出</w:t>
            </w:r>
          </w:p>
        </w:tc>
        <w:tc>
          <w:tcPr>
            <w:tcW w:w="159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773.98</w:t>
            </w:r>
          </w:p>
        </w:tc>
        <w:tc>
          <w:tcPr>
            <w:tcW w:w="11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669.43</w:t>
            </w:r>
          </w:p>
        </w:tc>
        <w:tc>
          <w:tcPr>
            <w:tcW w:w="14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104.55</w:t>
            </w:r>
          </w:p>
        </w:tc>
        <w:tc>
          <w:tcPr>
            <w:tcW w:w="15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2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20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农业农村</w:t>
            </w:r>
          </w:p>
        </w:tc>
        <w:tc>
          <w:tcPr>
            <w:tcW w:w="159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603.02</w:t>
            </w:r>
          </w:p>
        </w:tc>
        <w:tc>
          <w:tcPr>
            <w:tcW w:w="11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527.10</w:t>
            </w:r>
          </w:p>
        </w:tc>
        <w:tc>
          <w:tcPr>
            <w:tcW w:w="14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75.92</w:t>
            </w:r>
          </w:p>
        </w:tc>
        <w:tc>
          <w:tcPr>
            <w:tcW w:w="15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2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20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2130102</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一般行政管理事务</w:t>
            </w:r>
          </w:p>
        </w:tc>
        <w:tc>
          <w:tcPr>
            <w:tcW w:w="159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75.92</w:t>
            </w:r>
          </w:p>
        </w:tc>
        <w:tc>
          <w:tcPr>
            <w:tcW w:w="11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4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75.92</w:t>
            </w:r>
          </w:p>
        </w:tc>
        <w:tc>
          <w:tcPr>
            <w:tcW w:w="15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2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20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2130104</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事业运行</w:t>
            </w:r>
          </w:p>
        </w:tc>
        <w:tc>
          <w:tcPr>
            <w:tcW w:w="159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527.10</w:t>
            </w:r>
          </w:p>
        </w:tc>
        <w:tc>
          <w:tcPr>
            <w:tcW w:w="11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527.10</w:t>
            </w:r>
          </w:p>
        </w:tc>
        <w:tc>
          <w:tcPr>
            <w:tcW w:w="14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5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2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20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21305</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巩固脱贫攻坚成果衔接乡村振兴</w:t>
            </w:r>
          </w:p>
        </w:tc>
        <w:tc>
          <w:tcPr>
            <w:tcW w:w="159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142.96</w:t>
            </w:r>
          </w:p>
        </w:tc>
        <w:tc>
          <w:tcPr>
            <w:tcW w:w="11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142.33</w:t>
            </w:r>
          </w:p>
        </w:tc>
        <w:tc>
          <w:tcPr>
            <w:tcW w:w="14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0.63</w:t>
            </w:r>
          </w:p>
        </w:tc>
        <w:tc>
          <w:tcPr>
            <w:tcW w:w="15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2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20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2130550</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事业运行</w:t>
            </w:r>
          </w:p>
        </w:tc>
        <w:tc>
          <w:tcPr>
            <w:tcW w:w="159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142.33</w:t>
            </w:r>
          </w:p>
        </w:tc>
        <w:tc>
          <w:tcPr>
            <w:tcW w:w="11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142.33</w:t>
            </w:r>
          </w:p>
        </w:tc>
        <w:tc>
          <w:tcPr>
            <w:tcW w:w="14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5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2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20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2130599</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其他巩固脱贫攻坚成果衔接乡村振兴支出</w:t>
            </w:r>
          </w:p>
        </w:tc>
        <w:tc>
          <w:tcPr>
            <w:tcW w:w="159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0.63</w:t>
            </w:r>
          </w:p>
        </w:tc>
        <w:tc>
          <w:tcPr>
            <w:tcW w:w="11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4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0.63</w:t>
            </w:r>
          </w:p>
        </w:tc>
        <w:tc>
          <w:tcPr>
            <w:tcW w:w="15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2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20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21399</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其他农林水支出</w:t>
            </w:r>
          </w:p>
        </w:tc>
        <w:tc>
          <w:tcPr>
            <w:tcW w:w="159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28.00</w:t>
            </w:r>
          </w:p>
        </w:tc>
        <w:tc>
          <w:tcPr>
            <w:tcW w:w="11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4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28.00</w:t>
            </w:r>
          </w:p>
        </w:tc>
        <w:tc>
          <w:tcPr>
            <w:tcW w:w="15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2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20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2139999</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其他农林水支出</w:t>
            </w:r>
          </w:p>
        </w:tc>
        <w:tc>
          <w:tcPr>
            <w:tcW w:w="159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28.00</w:t>
            </w:r>
          </w:p>
        </w:tc>
        <w:tc>
          <w:tcPr>
            <w:tcW w:w="11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4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28.00</w:t>
            </w:r>
          </w:p>
        </w:tc>
        <w:tc>
          <w:tcPr>
            <w:tcW w:w="15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2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20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住房保障支出</w:t>
            </w:r>
          </w:p>
        </w:tc>
        <w:tc>
          <w:tcPr>
            <w:tcW w:w="159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58.28</w:t>
            </w:r>
          </w:p>
        </w:tc>
        <w:tc>
          <w:tcPr>
            <w:tcW w:w="11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58.28</w:t>
            </w:r>
          </w:p>
        </w:tc>
        <w:tc>
          <w:tcPr>
            <w:tcW w:w="14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5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2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20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住房改革支出</w:t>
            </w:r>
          </w:p>
        </w:tc>
        <w:tc>
          <w:tcPr>
            <w:tcW w:w="159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58.28</w:t>
            </w:r>
          </w:p>
        </w:tc>
        <w:tc>
          <w:tcPr>
            <w:tcW w:w="11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58.28</w:t>
            </w:r>
          </w:p>
        </w:tc>
        <w:tc>
          <w:tcPr>
            <w:tcW w:w="14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5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2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20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8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w:t>
            </w:r>
          </w:p>
        </w:tc>
        <w:tc>
          <w:tcPr>
            <w:tcW w:w="159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58.28</w:t>
            </w:r>
          </w:p>
        </w:tc>
        <w:tc>
          <w:tcPr>
            <w:tcW w:w="119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58.28</w:t>
            </w:r>
          </w:p>
        </w:tc>
        <w:tc>
          <w:tcPr>
            <w:tcW w:w="14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51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125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c>
          <w:tcPr>
            <w:tcW w:w="20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144" w:lineRule="auto"/>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214" w:type="dxa"/>
            <w:gridSpan w:val="8"/>
            <w:tcBorders>
              <w:top w:val="single" w:color="D4D4D4" w:sz="4" w:space="0"/>
              <w:left w:val="nil"/>
              <w:bottom w:val="nil"/>
              <w:right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144"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注：本表反映部门本年度各项支出情况。</w:t>
            </w:r>
          </w:p>
        </w:tc>
      </w:tr>
    </w:tbl>
    <w:p>
      <w:pPr>
        <w:widowControl/>
        <w:tabs>
          <w:tab w:val="left" w:pos="3595"/>
          <w:tab w:val="left" w:pos="4031"/>
          <w:tab w:val="left" w:pos="5605"/>
          <w:tab w:val="left" w:pos="9152"/>
          <w:tab w:val="left" w:pos="9587"/>
          <w:tab w:val="left" w:pos="11160"/>
          <w:tab w:val="left" w:pos="12554"/>
        </w:tabs>
        <w:jc w:val="right"/>
        <w:rPr>
          <w:rFonts w:ascii="Times New Roman" w:hAnsi="Times New Roman" w:eastAsia="宋体" w:cs="Times New Roman"/>
          <w:kern w:val="0"/>
          <w:sz w:val="24"/>
          <w:szCs w:val="24"/>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br w:type="textWrapping"/>
      </w:r>
      <w:r>
        <w:rPr>
          <w:rFonts w:ascii="Times New Roman" w:hAnsi="Times New Roman" w:eastAsia="黑体" w:cs="Times New Roman"/>
          <w:color w:val="000000"/>
          <w:kern w:val="0"/>
          <w:sz w:val="36"/>
          <w:szCs w:val="36"/>
          <w:lang w:bidi="ar"/>
        </w:rPr>
        <w:br w:type="textWrapping"/>
      </w: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财政拨款收入支出决算总表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公开04表</w:t>
      </w:r>
    </w:p>
    <w:p>
      <w:pPr>
        <w:widowControl/>
        <w:tabs>
          <w:tab w:val="left" w:pos="3595"/>
          <w:tab w:val="left" w:pos="4031"/>
          <w:tab w:val="left" w:pos="5109"/>
          <w:tab w:val="left" w:pos="9152"/>
          <w:tab w:val="left" w:pos="9587"/>
          <w:tab w:val="left" w:pos="11160"/>
          <w:tab w:val="left" w:pos="12554"/>
          <w:tab w:val="left" w:pos="13948"/>
        </w:tabs>
        <w:jc w:val="both"/>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楷体_GB2312" w:cs="Times New Roman"/>
          <w:color w:val="000000"/>
          <w:kern w:val="0"/>
          <w:sz w:val="20"/>
          <w:szCs w:val="20"/>
          <w:lang w:val="en-US" w:eastAsia="zh-CN" w:bidi="ar"/>
        </w:rPr>
        <w:t>湖南省农民科技教育培训中心</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hint="eastAsia" w:ascii="Times New Roman" w:hAnsi="Times New Roman" w:eastAsia="仿宋_GB2312" w:cs="Times New Roman"/>
          <w:kern w:val="0"/>
          <w:sz w:val="24"/>
          <w:szCs w:val="24"/>
          <w:lang w:val="en-US" w:eastAsia="zh-CN"/>
        </w:rPr>
        <w:t xml:space="preserve">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hint="eastAsia" w:ascii="Times New Roman" w:hAnsi="Times New Roman" w:eastAsia="仿宋_GB2312" w:cs="Times New Roman"/>
          <w:kern w:val="0"/>
          <w:sz w:val="24"/>
          <w:szCs w:val="24"/>
          <w:lang w:val="en-US" w:eastAsia="zh-CN"/>
        </w:rPr>
        <w:t xml:space="preserve">       </w:t>
      </w:r>
      <w:r>
        <w:rPr>
          <w:rFonts w:ascii="Times New Roman" w:hAnsi="Times New Roman" w:eastAsia="仿宋_GB2312" w:cs="Times New Roman"/>
          <w:color w:val="000000"/>
          <w:kern w:val="0"/>
          <w:sz w:val="20"/>
          <w:szCs w:val="20"/>
        </w:rPr>
        <w:t>单位：万元</w:t>
      </w:r>
    </w:p>
    <w:tbl>
      <w:tblPr>
        <w:tblStyle w:val="12"/>
        <w:tblW w:w="1412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386"/>
        <w:gridCol w:w="590"/>
        <w:gridCol w:w="1325"/>
        <w:gridCol w:w="3613"/>
        <w:gridCol w:w="591"/>
        <w:gridCol w:w="1131"/>
        <w:gridCol w:w="1315"/>
        <w:gridCol w:w="1101"/>
        <w:gridCol w:w="10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301" w:type="dxa"/>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     入</w:t>
            </w:r>
          </w:p>
        </w:tc>
        <w:tc>
          <w:tcPr>
            <w:tcW w:w="8826" w:type="dxa"/>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38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59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32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3613"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591"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131" w:type="dxa"/>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31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一般公共预算财政拨款</w:t>
            </w:r>
          </w:p>
        </w:tc>
        <w:tc>
          <w:tcPr>
            <w:tcW w:w="1101"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政府性基金预算财政拨款</w:t>
            </w:r>
          </w:p>
        </w:tc>
        <w:tc>
          <w:tcPr>
            <w:tcW w:w="107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38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59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2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3613"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591"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131"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131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101"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07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13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113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31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10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0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一、一般公共预算财政拨款</w:t>
            </w: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2,827.32</w:t>
            </w: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二、政府性基金预算财政拨款</w:t>
            </w: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二、外交支出</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三、国有资本经营预算财政拨款</w:t>
            </w: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三、国防支出</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四、公共安全支出</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五、教育支出</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1,044.16</w:t>
            </w: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1,044.16</w:t>
            </w: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六、科学技术支出</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141.87</w:t>
            </w: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141.87</w:t>
            </w: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九、卫生健康支出</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十、节能环保支出</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十一、城乡社区支出</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十二、农林水支出</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768.53</w:t>
            </w: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768.53</w:t>
            </w: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十三、交通运输支出</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十六、金融支出</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十九、住房保障支出</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58.28</w:t>
            </w: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58.28</w:t>
            </w: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二十三、其他支出</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b/>
                <w:bCs/>
                <w:i w:val="0"/>
                <w:iCs w:val="0"/>
                <w:color w:val="000000"/>
                <w:sz w:val="20"/>
                <w:szCs w:val="20"/>
                <w:u w:val="none"/>
              </w:rPr>
            </w:pP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0"/>
                <w:szCs w:val="20"/>
                <w:u w:val="none"/>
              </w:rPr>
            </w:pP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0"/>
                <w:szCs w:val="20"/>
                <w:u w:val="none"/>
              </w:rPr>
            </w:pP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2,827.32</w:t>
            </w: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2,022.83</w:t>
            </w: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2,022.83</w:t>
            </w: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年初财政拨款结转和结余</w:t>
            </w: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31.05</w:t>
            </w: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年末财政拨款结转和结余</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835.54</w:t>
            </w: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835.54</w:t>
            </w: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一般公共预算财政拨款</w:t>
            </w: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31.05</w:t>
            </w: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政府性基金预算财政拨款</w:t>
            </w: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国有资本经营预算财政拨款</w:t>
            </w: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8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59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13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2,858.37</w:t>
            </w:r>
          </w:p>
        </w:tc>
        <w:tc>
          <w:tcPr>
            <w:tcW w:w="361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59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113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2,858.37</w:t>
            </w:r>
          </w:p>
        </w:tc>
        <w:tc>
          <w:tcPr>
            <w:tcW w:w="131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2,858.37</w:t>
            </w:r>
          </w:p>
        </w:tc>
        <w:tc>
          <w:tcPr>
            <w:tcW w:w="110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0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052" w:type="dxa"/>
            <w:gridSpan w:val="8"/>
            <w:tcBorders>
              <w:top w:val="single" w:color="D4D4D4" w:sz="4" w:space="0"/>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注：本表反映部门本年度一般公共预算财政拨款、政府性基金预算财政拨款和国有资本经营预算财政拨款的总收支和年末结转结余情况。</w:t>
            </w:r>
          </w:p>
        </w:tc>
        <w:tc>
          <w:tcPr>
            <w:tcW w:w="1075" w:type="dxa"/>
            <w:tcBorders>
              <w:top w:val="single" w:color="D4D4D4" w:sz="4" w:space="0"/>
              <w:left w:val="nil"/>
              <w:bottom w:val="nil"/>
              <w:right w:val="nil"/>
            </w:tcBorders>
            <w:shd w:val="clear" w:color="auto" w:fill="FFFFFF"/>
            <w:noWrap/>
            <w:vAlign w:val="center"/>
          </w:tcPr>
          <w:p>
            <w:pPr>
              <w:jc w:val="left"/>
              <w:rPr>
                <w:rFonts w:hint="eastAsia" w:ascii="宋体" w:hAnsi="宋体" w:eastAsia="宋体" w:cs="宋体"/>
                <w:i w:val="0"/>
                <w:iCs w:val="0"/>
                <w:color w:val="000000"/>
                <w:sz w:val="20"/>
                <w:szCs w:val="20"/>
                <w:u w:val="none"/>
              </w:rPr>
            </w:pPr>
          </w:p>
        </w:tc>
      </w:tr>
    </w:tbl>
    <w:p>
      <w:pPr>
        <w:widowControl/>
        <w:spacing w:after="156" w:afterLines="50"/>
        <w:jc w:val="both"/>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一般公共预算财政拨款支出决算表</w:t>
      </w:r>
      <w:bookmarkEnd w:id="0"/>
    </w:p>
    <w:p>
      <w:pPr>
        <w:widowControl/>
        <w:spacing w:before="156"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公开05表</w:t>
      </w:r>
    </w:p>
    <w:p>
      <w:pPr>
        <w:widowControl/>
        <w:ind w:left="10290" w:hanging="10290" w:hangingChars="49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 w:val="20"/>
          <w:szCs w:val="20"/>
        </w:rPr>
        <w:t>部门：</w:t>
      </w:r>
      <w:r>
        <w:rPr>
          <w:rFonts w:hint="eastAsia" w:ascii="Times New Roman" w:hAnsi="Times New Roman" w:eastAsia="楷体_GB2312" w:cs="Times New Roman"/>
          <w:color w:val="000000"/>
          <w:kern w:val="0"/>
          <w:sz w:val="20"/>
          <w:szCs w:val="20"/>
          <w:lang w:val="en-US" w:eastAsia="zh-CN" w:bidi="ar"/>
        </w:rPr>
        <w:t>湖南省农民科技教育培训中心</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tbl>
      <w:tblPr>
        <w:tblStyle w:val="12"/>
        <w:tblW w:w="116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90"/>
        <w:gridCol w:w="4176"/>
        <w:gridCol w:w="2173"/>
        <w:gridCol w:w="2158"/>
        <w:gridCol w:w="21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6"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6504" w:type="dxa"/>
            <w:gridSpan w:val="3"/>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highlight w:val="none"/>
                <w:u w:val="none"/>
                <w:lang w:val="en-US" w:eastAsia="zh-CN" w:bidi="ar"/>
              </w:rPr>
              <w:t>功能分类科目编码</w:t>
            </w:r>
          </w:p>
        </w:tc>
        <w:tc>
          <w:tcPr>
            <w:tcW w:w="4176" w:type="dxa"/>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2173"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2158"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2173"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9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sz w:val="22"/>
                <w:szCs w:val="22"/>
                <w:u w:val="none"/>
              </w:rPr>
            </w:pPr>
          </w:p>
        </w:tc>
        <w:tc>
          <w:tcPr>
            <w:tcW w:w="4176"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sz w:val="22"/>
                <w:szCs w:val="22"/>
                <w:u w:val="none"/>
              </w:rPr>
            </w:pPr>
          </w:p>
        </w:tc>
        <w:tc>
          <w:tcPr>
            <w:tcW w:w="2173"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sz w:val="22"/>
                <w:szCs w:val="22"/>
                <w:u w:val="none"/>
              </w:rPr>
            </w:pPr>
          </w:p>
        </w:tc>
        <w:tc>
          <w:tcPr>
            <w:tcW w:w="215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sz w:val="22"/>
                <w:szCs w:val="22"/>
                <w:u w:val="none"/>
              </w:rPr>
            </w:pPr>
          </w:p>
        </w:tc>
        <w:tc>
          <w:tcPr>
            <w:tcW w:w="2173"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sz w:val="22"/>
                <w:szCs w:val="22"/>
                <w:u w:val="none"/>
              </w:rPr>
            </w:pPr>
          </w:p>
        </w:tc>
        <w:tc>
          <w:tcPr>
            <w:tcW w:w="4176"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sz w:val="22"/>
                <w:szCs w:val="22"/>
                <w:u w:val="none"/>
              </w:rPr>
            </w:pPr>
          </w:p>
        </w:tc>
        <w:tc>
          <w:tcPr>
            <w:tcW w:w="2173"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sz w:val="22"/>
                <w:szCs w:val="22"/>
                <w:u w:val="none"/>
              </w:rPr>
            </w:pPr>
          </w:p>
        </w:tc>
        <w:tc>
          <w:tcPr>
            <w:tcW w:w="215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sz w:val="22"/>
                <w:szCs w:val="22"/>
                <w:u w:val="none"/>
              </w:rPr>
            </w:pPr>
          </w:p>
        </w:tc>
        <w:tc>
          <w:tcPr>
            <w:tcW w:w="2173"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pageBreakBefore w:val="0"/>
              <w:kinsoku/>
              <w:wordWrap/>
              <w:overflowPunct/>
              <w:topLinePunct w:val="0"/>
              <w:autoSpaceDE/>
              <w:autoSpaceDN/>
              <w:bidi w:val="0"/>
              <w:adjustRightInd/>
              <w:snapToGrid/>
              <w:spacing w:line="240" w:lineRule="atLeast"/>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6"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217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15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173"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166"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2,022.83</w:t>
            </w:r>
          </w:p>
        </w:tc>
        <w:tc>
          <w:tcPr>
            <w:tcW w:w="215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874.13</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1,148.70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教育支出</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1,044.16</w:t>
            </w:r>
          </w:p>
        </w:tc>
        <w:tc>
          <w:tcPr>
            <w:tcW w:w="215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1,044.16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20508</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进修及培训</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1,044.16</w:t>
            </w:r>
          </w:p>
        </w:tc>
        <w:tc>
          <w:tcPr>
            <w:tcW w:w="215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1,044.16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2050803</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培训支出</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1,044.16</w:t>
            </w:r>
          </w:p>
        </w:tc>
        <w:tc>
          <w:tcPr>
            <w:tcW w:w="215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1,044.16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141.87</w:t>
            </w:r>
          </w:p>
        </w:tc>
        <w:tc>
          <w:tcPr>
            <w:tcW w:w="215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141.87</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140.42</w:t>
            </w:r>
          </w:p>
        </w:tc>
        <w:tc>
          <w:tcPr>
            <w:tcW w:w="215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140.42</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2080502</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事业单位离退休</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68.92</w:t>
            </w:r>
          </w:p>
        </w:tc>
        <w:tc>
          <w:tcPr>
            <w:tcW w:w="215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68.92</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71.50</w:t>
            </w:r>
          </w:p>
        </w:tc>
        <w:tc>
          <w:tcPr>
            <w:tcW w:w="215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71.50</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20899</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其他社会保障和就业支出</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w:t>
            </w:r>
          </w:p>
        </w:tc>
        <w:tc>
          <w:tcPr>
            <w:tcW w:w="215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2089999</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其他社会保障和就业支出</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w:t>
            </w:r>
          </w:p>
        </w:tc>
        <w:tc>
          <w:tcPr>
            <w:tcW w:w="215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卫生健康支出</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215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行政事业单位医疗</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215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2101102</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事业单位医疗</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215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农林水支出</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768.53</w:t>
            </w:r>
          </w:p>
        </w:tc>
        <w:tc>
          <w:tcPr>
            <w:tcW w:w="215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663.98</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农业农村</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597.56</w:t>
            </w:r>
          </w:p>
        </w:tc>
        <w:tc>
          <w:tcPr>
            <w:tcW w:w="215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521.65</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2130102</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一般行政管理事务</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75.92</w:t>
            </w:r>
          </w:p>
        </w:tc>
        <w:tc>
          <w:tcPr>
            <w:tcW w:w="215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2130104</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事业运行</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521.65</w:t>
            </w:r>
          </w:p>
        </w:tc>
        <w:tc>
          <w:tcPr>
            <w:tcW w:w="215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521.65</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21305</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巩固脱贫攻坚成果衔接乡村振兴</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142.96</w:t>
            </w:r>
          </w:p>
        </w:tc>
        <w:tc>
          <w:tcPr>
            <w:tcW w:w="215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142.33</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2130550</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事业运行</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142.33</w:t>
            </w:r>
          </w:p>
        </w:tc>
        <w:tc>
          <w:tcPr>
            <w:tcW w:w="215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142.33</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2130599</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其他巩固脱贫攻坚成果衔接乡村振兴支出</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0.63</w:t>
            </w:r>
          </w:p>
        </w:tc>
        <w:tc>
          <w:tcPr>
            <w:tcW w:w="215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21399</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其他农林水支出</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28.00</w:t>
            </w:r>
          </w:p>
        </w:tc>
        <w:tc>
          <w:tcPr>
            <w:tcW w:w="215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2139999</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其他农林水支出</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28.00</w:t>
            </w:r>
          </w:p>
        </w:tc>
        <w:tc>
          <w:tcPr>
            <w:tcW w:w="215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住房保障支出</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58.28</w:t>
            </w:r>
          </w:p>
        </w:tc>
        <w:tc>
          <w:tcPr>
            <w:tcW w:w="215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58.28</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住房改革支出</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58.28</w:t>
            </w:r>
          </w:p>
        </w:tc>
        <w:tc>
          <w:tcPr>
            <w:tcW w:w="215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58.28</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41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58.28</w:t>
            </w:r>
          </w:p>
        </w:tc>
        <w:tc>
          <w:tcPr>
            <w:tcW w:w="215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58.28</w:t>
            </w:r>
          </w:p>
        </w:tc>
        <w:tc>
          <w:tcPr>
            <w:tcW w:w="217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670" w:type="dxa"/>
            <w:gridSpan w:val="5"/>
            <w:tcBorders>
              <w:top w:val="single" w:color="D4D4D4" w:sz="4" w:space="0"/>
              <w:left w:val="nil"/>
              <w:bottom w:val="nil"/>
              <w:right w:val="nil"/>
            </w:tcBorders>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spacing w:after="120"/>
        <w:jc w:val="center"/>
        <w:textAlignment w:val="center"/>
        <w:rPr>
          <w:rFonts w:ascii="Times New Roman" w:hAnsi="Times New Roman" w:eastAsia="黑体" w:cs="Times New Roman"/>
          <w:color w:val="000000"/>
          <w:kern w:val="0"/>
          <w:sz w:val="36"/>
          <w:szCs w:val="36"/>
          <w:lang w:bidi="ar"/>
        </w:rPr>
      </w:pPr>
      <w:bookmarkStart w:id="1" w:name="RANGE!A1:I34"/>
    </w:p>
    <w:p>
      <w:pPr>
        <w:widowControl/>
        <w:spacing w:after="120"/>
        <w:jc w:val="center"/>
        <w:textAlignment w:val="center"/>
        <w:rPr>
          <w:rFonts w:ascii="Times New Roman" w:hAnsi="Times New Roman" w:eastAsia="黑体" w:cs="Times New Roman"/>
          <w:color w:val="000000"/>
          <w:kern w:val="0"/>
          <w:sz w:val="36"/>
          <w:szCs w:val="36"/>
          <w:lang w:bidi="ar"/>
        </w:rPr>
      </w:pPr>
    </w:p>
    <w:p>
      <w:pPr>
        <w:widowControl/>
        <w:spacing w:after="120"/>
        <w:jc w:val="center"/>
        <w:textAlignment w:val="center"/>
        <w:rPr>
          <w:rFonts w:ascii="Times New Roman" w:hAnsi="Times New Roman" w:eastAsia="黑体" w:cs="Times New Roman"/>
          <w:color w:val="000000"/>
          <w:kern w:val="0"/>
          <w:sz w:val="36"/>
          <w:szCs w:val="36"/>
          <w:lang w:bidi="ar"/>
        </w:rPr>
      </w:pPr>
    </w:p>
    <w:p>
      <w:pPr>
        <w:widowControl/>
        <w:spacing w:after="120"/>
        <w:jc w:val="center"/>
        <w:textAlignment w:val="center"/>
        <w:rPr>
          <w:rFonts w:ascii="Times New Roman" w:hAnsi="Times New Roman" w:eastAsia="黑体" w:cs="Times New Roman"/>
          <w:color w:val="000000"/>
          <w:kern w:val="0"/>
          <w:sz w:val="36"/>
          <w:szCs w:val="36"/>
          <w:lang w:bidi="ar"/>
        </w:rPr>
      </w:pPr>
    </w:p>
    <w:p>
      <w:pPr>
        <w:widowControl/>
        <w:spacing w:after="120"/>
        <w:jc w:val="center"/>
        <w:textAlignment w:val="center"/>
        <w:rPr>
          <w:rFonts w:ascii="Times New Roman" w:hAnsi="Times New Roman" w:eastAsia="黑体" w:cs="Times New Roman"/>
          <w:color w:val="000000"/>
          <w:kern w:val="0"/>
          <w:sz w:val="36"/>
          <w:szCs w:val="36"/>
          <w:lang w:bidi="ar"/>
        </w:rPr>
      </w:pPr>
    </w:p>
    <w:p>
      <w:pPr>
        <w:widowControl/>
        <w:spacing w:after="120"/>
        <w:jc w:val="center"/>
        <w:textAlignment w:val="center"/>
        <w:rPr>
          <w:rFonts w:ascii="Times New Roman" w:hAnsi="Times New Roman" w:eastAsia="黑体" w:cs="Times New Roman"/>
          <w:color w:val="000000"/>
          <w:kern w:val="0"/>
          <w:sz w:val="36"/>
          <w:szCs w:val="36"/>
          <w:lang w:bidi="ar"/>
        </w:rPr>
      </w:pPr>
    </w:p>
    <w:p>
      <w:pPr>
        <w:widowControl/>
        <w:spacing w:after="120"/>
        <w:jc w:val="center"/>
        <w:textAlignment w:val="center"/>
        <w:rPr>
          <w:rFonts w:ascii="Times New Roman" w:hAnsi="Times New Roman" w:eastAsia="黑体" w:cs="Times New Roman"/>
          <w:color w:val="000000"/>
          <w:kern w:val="0"/>
          <w:sz w:val="36"/>
          <w:szCs w:val="36"/>
          <w:lang w:bidi="ar"/>
        </w:rPr>
      </w:pPr>
    </w:p>
    <w:p>
      <w:pPr>
        <w:widowControl/>
        <w:spacing w:after="120"/>
        <w:jc w:val="center"/>
        <w:textAlignment w:val="center"/>
        <w:rPr>
          <w:rFonts w:ascii="Times New Roman" w:hAnsi="Times New Roman" w:eastAsia="黑体" w:cs="Times New Roman"/>
          <w:color w:val="000000"/>
          <w:kern w:val="0"/>
          <w:sz w:val="36"/>
          <w:szCs w:val="36"/>
          <w:lang w:bidi="ar"/>
        </w:rPr>
      </w:pPr>
    </w:p>
    <w:p>
      <w:pPr>
        <w:widowControl/>
        <w:spacing w:after="120"/>
        <w:jc w:val="center"/>
        <w:textAlignment w:val="center"/>
        <w:rPr>
          <w:rFonts w:ascii="Times New Roman" w:hAnsi="Times New Roman" w:eastAsia="黑体" w:cs="Times New Roman"/>
          <w:color w:val="000000"/>
          <w:kern w:val="0"/>
          <w:sz w:val="36"/>
          <w:szCs w:val="36"/>
          <w:lang w:bidi="ar"/>
        </w:rPr>
      </w:pPr>
    </w:p>
    <w:p>
      <w:pPr>
        <w:widowControl/>
        <w:spacing w:after="120"/>
        <w:jc w:val="center"/>
        <w:textAlignment w:val="center"/>
        <w:rPr>
          <w:rFonts w:ascii="Times New Roman" w:hAnsi="Times New Roman" w:eastAsia="黑体" w:cs="Times New Roman"/>
          <w:color w:val="000000"/>
          <w:kern w:val="0"/>
          <w:sz w:val="36"/>
          <w:szCs w:val="36"/>
          <w:lang w:bidi="ar"/>
        </w:rPr>
      </w:pPr>
    </w:p>
    <w:p>
      <w:pPr>
        <w:widowControl/>
        <w:spacing w:after="12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一般公共预算财政拨款基本支出决算明细表</w:t>
      </w:r>
      <w:bookmarkEnd w:id="1"/>
    </w:p>
    <w:p>
      <w:pPr>
        <w:widowControl/>
        <w:wordWrap w:val="0"/>
        <w:spacing w:line="240" w:lineRule="exact"/>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公开06表</w:t>
      </w:r>
    </w:p>
    <w:p>
      <w:pPr>
        <w:widowControl/>
        <w:spacing w:line="240" w:lineRule="exact"/>
        <w:jc w:val="both"/>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部门：</w:t>
      </w:r>
      <w:r>
        <w:rPr>
          <w:rFonts w:hint="eastAsia" w:ascii="Times New Roman" w:hAnsi="Times New Roman" w:eastAsia="楷体_GB2312" w:cs="Times New Roman"/>
          <w:color w:val="000000"/>
          <w:kern w:val="0"/>
          <w:sz w:val="20"/>
          <w:szCs w:val="20"/>
          <w:lang w:val="en-US" w:eastAsia="zh-CN" w:bidi="ar"/>
        </w:rPr>
        <w:t xml:space="preserve">湖南省农民科技教育培训中心                                                                                                  </w:t>
      </w:r>
      <w:r>
        <w:rPr>
          <w:rFonts w:ascii="Times New Roman" w:hAnsi="Times New Roman" w:eastAsia="仿宋_GB2312" w:cs="Times New Roman"/>
          <w:color w:val="000000"/>
          <w:kern w:val="0"/>
          <w:szCs w:val="21"/>
        </w:rPr>
        <w:t xml:space="preserve">单位：万元 </w:t>
      </w:r>
    </w:p>
    <w:tbl>
      <w:tblPr>
        <w:tblStyle w:val="12"/>
        <w:tblW w:w="15431" w:type="dxa"/>
        <w:tblInd w:w="-44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05"/>
        <w:gridCol w:w="3295"/>
        <w:gridCol w:w="876"/>
        <w:gridCol w:w="1274"/>
        <w:gridCol w:w="2416"/>
        <w:gridCol w:w="876"/>
        <w:gridCol w:w="1280"/>
        <w:gridCol w:w="2885"/>
        <w:gridCol w:w="12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476" w:type="dxa"/>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人员经费</w:t>
            </w:r>
          </w:p>
        </w:tc>
        <w:tc>
          <w:tcPr>
            <w:tcW w:w="9955" w:type="dxa"/>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经济分类科目编码</w:t>
            </w:r>
          </w:p>
        </w:tc>
        <w:tc>
          <w:tcPr>
            <w:tcW w:w="329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87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c>
          <w:tcPr>
            <w:tcW w:w="1274"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经济分类科目编码</w:t>
            </w:r>
          </w:p>
        </w:tc>
        <w:tc>
          <w:tcPr>
            <w:tcW w:w="241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87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c>
          <w:tcPr>
            <w:tcW w:w="128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经济分类科目编码</w:t>
            </w:r>
          </w:p>
        </w:tc>
        <w:tc>
          <w:tcPr>
            <w:tcW w:w="288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224"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329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87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27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41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87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28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288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22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w:t>
            </w: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工资福利支出</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681.10</w:t>
            </w: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商品和服务支出</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120.86</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w:t>
            </w: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债务利息及费用支出</w:t>
            </w: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30101</w:t>
            </w: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基本工资</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172.56</w:t>
            </w: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30201</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办公费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30701</w:t>
            </w: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国内债务付息</w:t>
            </w: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30102</w:t>
            </w: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津贴补贴</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15.69</w:t>
            </w: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30202</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印刷费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0.70</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30702</w:t>
            </w: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国外债务付息</w:t>
            </w: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30103</w:t>
            </w: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奖金</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30203</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咨询费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w:t>
            </w: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资本性支出</w:t>
            </w: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30106</w:t>
            </w: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伙食补助费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w:t>
            </w: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30204</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手续费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31001</w:t>
            </w: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房屋建筑物购建</w:t>
            </w: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30107</w:t>
            </w: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绩效工资</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288.08</w:t>
            </w: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30205</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水费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31002</w:t>
            </w: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办公设备购置</w:t>
            </w: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30108</w:t>
            </w: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机关事业单位基本养老保险缴费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71.50</w:t>
            </w: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30206</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电费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31003</w:t>
            </w: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专用设备购置</w:t>
            </w: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30109</w:t>
            </w: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职业年金缴费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30207</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邮电费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0.32</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31005</w:t>
            </w: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基础设施建设</w:t>
            </w: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30110</w:t>
            </w: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职工基本医疗保险缴费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39.35</w:t>
            </w: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30208</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取暖费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31006</w:t>
            </w: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大型修缮</w:t>
            </w: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30111</w:t>
            </w: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公务员医疗补助缴费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30209</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物业管理费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31007</w:t>
            </w: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信息网络及软件购置更新</w:t>
            </w: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30112</w:t>
            </w: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其他社会保障缴费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4.65</w:t>
            </w: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30211</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差旅费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13.30</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31008</w:t>
            </w: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物资储备</w:t>
            </w: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30113</w:t>
            </w: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住房公积金</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58.28</w:t>
            </w: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30212</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因公出国（境）费用</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31009</w:t>
            </w: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土地补偿</w:t>
            </w: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30114</w:t>
            </w: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医疗费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30213</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维修（护）费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31010</w:t>
            </w: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安置补助</w:t>
            </w: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30199</w:t>
            </w: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其他工资福利支出</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30214</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租赁费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0.72</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31011</w:t>
            </w: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地上附着物和青苗补偿</w:t>
            </w: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w:t>
            </w: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对个人和家庭的补助</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72.17</w:t>
            </w: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30215</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会议费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31012</w:t>
            </w: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拆迁补偿</w:t>
            </w: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30301</w:t>
            </w: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离休费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30216</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培训费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31013</w:t>
            </w: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公务用车购置</w:t>
            </w: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30302</w:t>
            </w: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退休费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68.92</w:t>
            </w: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30217</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公务接待费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2.98</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31019</w:t>
            </w: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其他交通工具购置</w:t>
            </w: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30303</w:t>
            </w: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退职（役）费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30218</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专用材料费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31021</w:t>
            </w: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文物和陈列品购置</w:t>
            </w: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30304</w:t>
            </w: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抚恤金</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30224</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被装购置费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31022</w:t>
            </w: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无形资产购置</w:t>
            </w: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30305</w:t>
            </w: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生活补助</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30225</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专用燃料费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31099</w:t>
            </w: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其他资本性支出</w:t>
            </w: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30306</w:t>
            </w: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救济费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30226</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劳务费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11.18</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w:t>
            </w: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其他支出</w:t>
            </w: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30307</w:t>
            </w: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医疗费补助</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30227</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委托业务费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39907</w:t>
            </w: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国家赔偿费用支出</w:t>
            </w: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30308</w:t>
            </w: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助学金</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30228</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工会经费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18.10</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39908</w:t>
            </w: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对民间非营利组织和群众性自治组织补贴</w:t>
            </w: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30309</w:t>
            </w: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奖励金</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w:t>
            </w: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30229</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福利费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10.94</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39909</w:t>
            </w: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经常性赠与</w:t>
            </w: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30310</w:t>
            </w: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个人农业生产补贴</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30231</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公务用车运行维护费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39910</w:t>
            </w: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资本性赠与</w:t>
            </w: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30311</w:t>
            </w: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代缴社会保险费</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30239</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其他交通费用</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13.42</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39999</w:t>
            </w: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其他支出</w:t>
            </w: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30399</w:t>
            </w: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其他对个人和家庭的补助</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1.65</w:t>
            </w: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30240</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税金及附加费用</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32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27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30299</w:t>
            </w:r>
          </w:p>
        </w:tc>
        <w:tc>
          <w:tcPr>
            <w:tcW w:w="241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其他商品和服务支出</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44.20</w:t>
            </w:r>
          </w:p>
        </w:tc>
        <w:tc>
          <w:tcPr>
            <w:tcW w:w="128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288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00"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人员经费合计</w:t>
            </w:r>
          </w:p>
        </w:tc>
        <w:tc>
          <w:tcPr>
            <w:tcW w:w="87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753.27</w:t>
            </w:r>
          </w:p>
        </w:tc>
        <w:tc>
          <w:tcPr>
            <w:tcW w:w="8731" w:type="dxa"/>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公用经费合计</w:t>
            </w:r>
          </w:p>
        </w:tc>
        <w:tc>
          <w:tcPr>
            <w:tcW w:w="12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431" w:type="dxa"/>
            <w:gridSpan w:val="9"/>
            <w:tcBorders>
              <w:top w:val="single" w:color="D4D4D4" w:sz="4" w:space="0"/>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注：本表反映部门本年度一般公共预算财政拨款基本支出明细情况。</w:t>
            </w:r>
          </w:p>
        </w:tc>
      </w:tr>
    </w:tbl>
    <w:p>
      <w:pPr>
        <w:widowControl/>
        <w:jc w:val="left"/>
        <w:rPr>
          <w:rFonts w:ascii="Times New Roman" w:hAnsi="Times New Roman" w:eastAsia="仿宋_GB2312" w:cs="Times New Roman"/>
          <w:color w:val="000000"/>
          <w:kern w:val="0"/>
          <w:szCs w:val="24"/>
        </w:rPr>
      </w:pP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公开07表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楷体_GB2312" w:cs="Times New Roman"/>
          <w:color w:val="000000"/>
          <w:kern w:val="0"/>
          <w:sz w:val="20"/>
          <w:szCs w:val="20"/>
          <w:lang w:val="en-US" w:eastAsia="zh-CN" w:bidi="ar"/>
        </w:rPr>
        <w:t>湖南省农民科技教育培训中心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2"/>
        <w:tblW w:w="14326" w:type="dxa"/>
        <w:jc w:val="center"/>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Style w:val="19"/>
                <w:rFonts w:hint="default" w:ascii="Times New Roman" w:hAnsi="Times New Roman" w:eastAsia="仿宋_GB2312" w:cs="Times New Roman"/>
                <w:b/>
                <w:bCs/>
                <w:lang w:bidi="ar"/>
              </w:rPr>
              <w:t xml:space="preserve">   </w:t>
            </w:r>
            <w:r>
              <w:rPr>
                <w:rStyle w:val="20"/>
                <w:rFonts w:hint="default" w:ascii="Times New Roman" w:hAnsi="Times New Roman" w:eastAsia="仿宋_GB2312" w:cs="Times New Roman"/>
                <w:b/>
                <w:bCs/>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年末结转和结余</w:t>
            </w:r>
          </w:p>
        </w:tc>
      </w:tr>
      <w:tr>
        <w:tblPrEx>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6</w:t>
            </w: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注：本表反映部门本年度政府性基金预算财政拨款收入、支出及结转和结余情况。</w:t>
      </w:r>
    </w:p>
    <w:p>
      <w:pPr>
        <w:widowControl/>
        <w:jc w:val="left"/>
        <w:textAlignment w:val="center"/>
        <w:rPr>
          <w:rFonts w:ascii="Times New Roman" w:hAnsi="Times New Roman" w:eastAsia="仿宋_GB2312" w:cs="Times New Roman"/>
          <w:color w:val="000000"/>
          <w:kern w:val="0"/>
          <w:sz w:val="24"/>
          <w:szCs w:val="24"/>
          <w:lang w:bidi="ar"/>
        </w:rPr>
      </w:pPr>
    </w:p>
    <w:p>
      <w:pPr>
        <w:widowControl/>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b/>
          <w:bCs/>
          <w:kern w:val="0"/>
          <w:sz w:val="24"/>
          <w:szCs w:val="24"/>
          <w:lang w:bidi="ar"/>
        </w:rPr>
        <w:t>说明：我单位没有政府性基金收入，也没有使用政府性基金安排的支出，故本表无数据。</w:t>
      </w:r>
    </w:p>
    <w:p>
      <w:pPr>
        <w:widowControl/>
        <w:jc w:val="center"/>
        <w:rPr>
          <w:rFonts w:ascii="Times New Roman" w:hAnsi="Times New Roman" w:eastAsia="方正小标宋_GBK" w:cs="Times New Roman"/>
          <w:color w:val="000000"/>
          <w:kern w:val="0"/>
          <w:sz w:val="36"/>
          <w:szCs w:val="36"/>
        </w:rPr>
      </w:pPr>
    </w:p>
    <w:p>
      <w:pPr>
        <w:widowControl/>
        <w:spacing w:line="400" w:lineRule="exact"/>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国有资本经营预算财政拨款支出决算表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w:t>
      </w:r>
      <w:r>
        <w:rPr>
          <w:rFonts w:hint="eastAsia" w:ascii="Times New Roman" w:hAnsi="Times New Roman" w:eastAsia="仿宋_GB2312" w:cs="Times New Roman"/>
          <w:color w:val="000000"/>
          <w:kern w:val="0"/>
          <w:sz w:val="20"/>
          <w:szCs w:val="20"/>
          <w:lang w:val="en-US" w:eastAsia="zh-CN" w:bidi="ar"/>
        </w:rPr>
        <w:t xml:space="preserve">        </w:t>
      </w:r>
      <w:r>
        <w:rPr>
          <w:rFonts w:ascii="Times New Roman" w:hAnsi="Times New Roman" w:eastAsia="仿宋_GB2312" w:cs="Times New Roman"/>
          <w:color w:val="000000"/>
          <w:kern w:val="0"/>
          <w:sz w:val="20"/>
          <w:szCs w:val="20"/>
          <w:lang w:bidi="ar"/>
        </w:rPr>
        <w:t xml:space="preserve">  公开08表</w:t>
      </w:r>
    </w:p>
    <w:p>
      <w:pPr>
        <w:widowControl/>
        <w:tabs>
          <w:tab w:val="left" w:pos="1326"/>
          <w:tab w:val="left" w:pos="2027"/>
          <w:tab w:val="left" w:pos="4319"/>
          <w:tab w:val="left" w:pos="7634"/>
          <w:tab w:val="left" w:pos="10949"/>
        </w:tabs>
        <w:jc w:val="both"/>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楷体_GB2312" w:cs="Times New Roman"/>
          <w:color w:val="000000"/>
          <w:kern w:val="0"/>
          <w:sz w:val="20"/>
          <w:szCs w:val="20"/>
          <w:lang w:val="en-US" w:eastAsia="zh-CN" w:bidi="ar"/>
        </w:rPr>
        <w:t>湖南省农民科技教育培训中心</w:t>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sz w:val="20"/>
          <w:szCs w:val="20"/>
          <w:lang w:val="en-US" w:eastAsia="zh-CN"/>
        </w:rPr>
        <w:t xml:space="preserve">                  </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sz w:val="20"/>
          <w:szCs w:val="20"/>
          <w:lang w:val="en-US" w:eastAsia="zh-CN"/>
        </w:rPr>
        <w:t xml:space="preserve">          </w:t>
      </w:r>
      <w:r>
        <w:rPr>
          <w:rFonts w:ascii="Times New Roman" w:hAnsi="Times New Roman" w:eastAsia="仿宋_GB2312" w:cs="Times New Roman"/>
          <w:color w:val="000000"/>
          <w:kern w:val="0"/>
          <w:sz w:val="20"/>
          <w:szCs w:val="20"/>
          <w:lang w:bidi="ar"/>
        </w:rPr>
        <w:t>单位：万元</w:t>
      </w:r>
    </w:p>
    <w:tbl>
      <w:tblPr>
        <w:tblStyle w:val="12"/>
        <w:tblW w:w="14217" w:type="dxa"/>
        <w:tblInd w:w="0" w:type="dxa"/>
        <w:tblLayout w:type="fixed"/>
        <w:tblCellMar>
          <w:top w:w="0" w:type="dxa"/>
          <w:left w:w="108" w:type="dxa"/>
          <w:bottom w:w="0" w:type="dxa"/>
          <w:right w:w="108" w:type="dxa"/>
        </w:tblCellMar>
      </w:tblPr>
      <w:tblGrid>
        <w:gridCol w:w="3094"/>
        <w:gridCol w:w="3097"/>
        <w:gridCol w:w="1832"/>
        <w:gridCol w:w="3097"/>
        <w:gridCol w:w="3097"/>
      </w:tblGrid>
      <w:tr>
        <w:tblPrEx>
          <w:tblCellMar>
            <w:top w:w="0" w:type="dxa"/>
            <w:left w:w="108" w:type="dxa"/>
            <w:bottom w:w="0" w:type="dxa"/>
            <w:right w:w="108" w:type="dxa"/>
          </w:tblCellMar>
        </w:tblPrEx>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Fonts w:ascii="Times New Roman" w:hAnsi="Times New Roman" w:eastAsia="仿宋_GB2312" w:cs="Times New Roman"/>
                <w:b/>
                <w:bCs/>
                <w:color w:val="000000"/>
                <w:kern w:val="0"/>
                <w:sz w:val="22"/>
                <w:lang w:bidi="ar"/>
              </w:rPr>
              <w:t xml:space="preserve">   </w:t>
            </w:r>
            <w:r>
              <w:rPr>
                <w:rStyle w:val="21"/>
                <w:rFonts w:hint="default" w:ascii="Times New Roman" w:hAnsi="Times New Roman" w:eastAsia="仿宋_GB2312" w:cs="Times New Roman"/>
                <w:b/>
                <w:bCs/>
                <w:lang w:bidi="ar"/>
              </w:rPr>
              <w:t>目</w:t>
            </w:r>
          </w:p>
        </w:tc>
        <w:tc>
          <w:tcPr>
            <w:tcW w:w="80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r>
      <w:tr>
        <w:tblPrEx>
          <w:tblCellMar>
            <w:top w:w="0" w:type="dxa"/>
            <w:left w:w="108" w:type="dxa"/>
            <w:bottom w:w="0" w:type="dxa"/>
            <w:right w:w="108" w:type="dxa"/>
          </w:tblCellMar>
        </w:tblPrEx>
        <w:trPr>
          <w:trHeight w:val="312" w:hRule="exact"/>
        </w:trPr>
        <w:tc>
          <w:tcPr>
            <w:tcW w:w="3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合计</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r>
      <w:tr>
        <w:tblPrEx>
          <w:tblCellMar>
            <w:top w:w="0" w:type="dxa"/>
            <w:left w:w="108" w:type="dxa"/>
            <w:bottom w:w="0" w:type="dxa"/>
            <w:right w:w="108" w:type="dxa"/>
          </w:tblCellMar>
        </w:tblPrEx>
        <w:trPr>
          <w:trHeight w:val="312" w:hRule="exact"/>
        </w:trPr>
        <w:tc>
          <w:tcPr>
            <w:tcW w:w="3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312" w:hRule="atLeast"/>
        </w:trPr>
        <w:tc>
          <w:tcPr>
            <w:tcW w:w="3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r>
      <w:tr>
        <w:tblPrEx>
          <w:tblCellMar>
            <w:top w:w="0" w:type="dxa"/>
            <w:left w:w="108" w:type="dxa"/>
            <w:bottom w:w="0" w:type="dxa"/>
            <w:right w:w="108" w:type="dxa"/>
          </w:tblCellMar>
        </w:tblPrEx>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注：本表反映部门本年度国有资本经营预算财政拨款支出情况。</w:t>
      </w:r>
    </w:p>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说明：我单位没有使用国有资本经营预算安排的支出，故本表无数据。</w:t>
      </w:r>
    </w:p>
    <w:p>
      <w:pPr>
        <w:widowControl/>
        <w:jc w:val="center"/>
        <w:rPr>
          <w:rFonts w:ascii="Times New Roman" w:hAnsi="Times New Roman" w:eastAsia="方正小标宋_GBK" w:cs="Times New Roman"/>
          <w:color w:val="000000"/>
          <w:kern w:val="0"/>
          <w:sz w:val="36"/>
          <w:szCs w:val="36"/>
        </w:rPr>
      </w:pPr>
    </w:p>
    <w:p>
      <w:pPr>
        <w:pStyle w:val="10"/>
        <w:spacing w:line="400" w:lineRule="exact"/>
        <w:rPr>
          <w:rFonts w:ascii="Times New Roman" w:hAnsi="Times New Roman" w:eastAsia="华文中宋"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财政拨款“三公”经费支出决算表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公开09表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both"/>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lang w:bidi="ar"/>
        </w:rPr>
        <w:t>部门：</w:t>
      </w:r>
      <w:r>
        <w:rPr>
          <w:rFonts w:hint="eastAsia" w:ascii="Times New Roman" w:hAnsi="Times New Roman" w:eastAsia="楷体_GB2312" w:cs="Times New Roman"/>
          <w:color w:val="000000"/>
          <w:kern w:val="0"/>
          <w:sz w:val="20"/>
          <w:szCs w:val="20"/>
          <w:lang w:val="en-US" w:eastAsia="zh-CN" w:bidi="ar"/>
        </w:rPr>
        <w:t>湖南省农民科技教育培训中心</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hint="eastAsia" w:ascii="Times New Roman" w:hAnsi="Times New Roman" w:eastAsia="楷体_GB2312" w:cs="Times New Roman"/>
          <w:color w:val="000000"/>
          <w:sz w:val="20"/>
          <w:szCs w:val="20"/>
          <w:lang w:val="en-US" w:eastAsia="zh-CN"/>
        </w:rPr>
        <w:t xml:space="preserve">  </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hint="eastAsia" w:ascii="Times New Roman" w:hAnsi="Times New Roman" w:eastAsia="楷体_GB2312" w:cs="Times New Roman"/>
          <w:color w:val="000000"/>
          <w:sz w:val="20"/>
          <w:szCs w:val="20"/>
          <w:lang w:val="en-US" w:eastAsia="zh-CN"/>
        </w:rPr>
        <w:t xml:space="preserve">    </w:t>
      </w:r>
      <w:r>
        <w:rPr>
          <w:rFonts w:ascii="Times New Roman" w:hAnsi="Times New Roman" w:eastAsia="楷体_GB2312" w:cs="Times New Roman"/>
          <w:color w:val="000000"/>
          <w:kern w:val="0"/>
          <w:sz w:val="20"/>
          <w:szCs w:val="20"/>
          <w:lang w:bidi="ar"/>
        </w:rPr>
        <w:t>单位：万元</w:t>
      </w:r>
    </w:p>
    <w:tbl>
      <w:tblPr>
        <w:tblStyle w:val="12"/>
        <w:tblW w:w="1412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24"/>
        <w:gridCol w:w="1663"/>
        <w:gridCol w:w="621"/>
        <w:gridCol w:w="1317"/>
        <w:gridCol w:w="1596"/>
        <w:gridCol w:w="1142"/>
        <w:gridCol w:w="724"/>
        <w:gridCol w:w="1663"/>
        <w:gridCol w:w="621"/>
        <w:gridCol w:w="1317"/>
        <w:gridCol w:w="1596"/>
        <w:gridCol w:w="11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063" w:type="dxa"/>
            <w:gridSpan w:val="6"/>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7064" w:type="dxa"/>
            <w:gridSpan w:val="6"/>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4"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663"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3534" w:type="dxa"/>
            <w:gridSpan w:val="3"/>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1142"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724"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663"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3534" w:type="dxa"/>
            <w:gridSpan w:val="3"/>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1143"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2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663"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621"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317"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1596"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公务用车运行维护费</w:t>
            </w:r>
          </w:p>
        </w:tc>
        <w:tc>
          <w:tcPr>
            <w:tcW w:w="114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72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663"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621"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317"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1596"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公务用车运行维护费</w:t>
            </w:r>
          </w:p>
        </w:tc>
        <w:tc>
          <w:tcPr>
            <w:tcW w:w="1143"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4"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663"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621"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317"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596"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142"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724"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663"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621"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317"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96"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143"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7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w:t>
            </w:r>
          </w:p>
        </w:tc>
        <w:tc>
          <w:tcPr>
            <w:tcW w:w="166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62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1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5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w:t>
            </w:r>
          </w:p>
        </w:tc>
        <w:tc>
          <w:tcPr>
            <w:tcW w:w="72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2.98</w:t>
            </w:r>
          </w:p>
        </w:tc>
        <w:tc>
          <w:tcPr>
            <w:tcW w:w="166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621"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1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5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4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4127" w:type="dxa"/>
            <w:gridSpan w:val="12"/>
            <w:tcBorders>
              <w:top w:val="single" w:color="D4D4D4" w:sz="4" w:space="0"/>
              <w:left w:val="nil"/>
              <w:bottom w:val="single" w:color="D4D4D4" w:sz="4" w:space="0"/>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4127" w:type="dxa"/>
            <w:gridSpan w:val="12"/>
            <w:tcBorders>
              <w:top w:val="single" w:color="D4D4D4" w:sz="4" w:space="0"/>
              <w:left w:val="nil"/>
              <w:bottom w:val="nil"/>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bl>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widowControl/>
        <w:rPr>
          <w:rFonts w:ascii="Times New Roman" w:hAnsi="Times New Roman" w:cs="Times New Roman"/>
          <w:sz w:val="72"/>
          <w:szCs w:val="72"/>
        </w:rPr>
        <w:sectPr>
          <w:pgSz w:w="16838" w:h="11906" w:orient="landscape"/>
          <w:pgMar w:top="1134" w:right="1417" w:bottom="1134" w:left="1417" w:header="851" w:footer="992" w:gutter="0"/>
          <w:cols w:space="425" w:num="1"/>
          <w:docGrid w:type="lines" w:linePitch="312" w:charSpace="0"/>
        </w:sectPr>
      </w:pPr>
      <w:r>
        <w:rPr>
          <w:rFonts w:ascii="Times New Roman" w:hAnsi="Times New Roman" w:eastAsia="黑体" w:cs="Times New Roman"/>
          <w:szCs w:val="21"/>
        </w:rPr>
        <w:br w:type="page"/>
      </w:r>
    </w:p>
    <w:p>
      <w:pPr>
        <w:pStyle w:val="16"/>
        <w:rPr>
          <w:rFonts w:ascii="Times New Roman" w:hAnsi="Times New Roman" w:cs="Times New Roman"/>
          <w:sz w:val="72"/>
          <w:szCs w:val="72"/>
        </w:rPr>
      </w:pPr>
    </w:p>
    <w:p>
      <w:pPr>
        <w:pStyle w:val="16"/>
        <w:rPr>
          <w:rFonts w:ascii="Times New Roman" w:hAnsi="Times New Roman" w:cs="Times New Roman"/>
          <w:sz w:val="72"/>
          <w:szCs w:val="72"/>
        </w:rPr>
      </w:pPr>
    </w:p>
    <w:p>
      <w:pPr>
        <w:pStyle w:val="16"/>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center"/>
        <w:rPr>
          <w:rFonts w:ascii="Times New Roman" w:hAnsi="Times New Roman" w:eastAsia="方正小标宋_GBK" w:cs="Times New Roman"/>
          <w:sz w:val="72"/>
          <w:szCs w:val="72"/>
        </w:rPr>
      </w:pPr>
    </w:p>
    <w:p>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rPr>
        <w:t>2863.88</w:t>
      </w:r>
      <w:r>
        <w:rPr>
          <w:rFonts w:ascii="Times New Roman" w:hAnsi="Times New Roman" w:eastAsia="仿宋_GB2312" w:cs="Times New Roman"/>
          <w:sz w:val="32"/>
          <w:szCs w:val="32"/>
        </w:rPr>
        <w:t>万元。与上年相比，增加</w:t>
      </w:r>
      <w:r>
        <w:rPr>
          <w:rFonts w:hint="eastAsia" w:ascii="Times New Roman" w:hAnsi="Times New Roman" w:eastAsia="仿宋_GB2312" w:cs="Times New Roman"/>
          <w:sz w:val="32"/>
          <w:szCs w:val="32"/>
          <w:lang w:val="en-US" w:eastAsia="zh-CN"/>
        </w:rPr>
        <w:t>817.75</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39.96</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eastAsia="zh-CN"/>
        </w:rPr>
        <w:t>机构改革并入原扶贫培训中心导致各项经费增加。</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rPr>
        <w:t>2832.83</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rPr>
        <w:t>2827.32</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99.80</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%；事业收入</w:t>
      </w:r>
      <w:r>
        <w:rPr>
          <w:rFonts w:hint="eastAsia" w:ascii="Times New Roman" w:hAnsi="Times New Roman" w:eastAsia="仿宋_GB2312" w:cs="Times New Roman"/>
          <w:sz w:val="32"/>
          <w:szCs w:val="32"/>
        </w:rPr>
        <w:t>5.43</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0.19</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%；附属单位上缴收入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%；其他收入</w:t>
      </w:r>
      <w:r>
        <w:rPr>
          <w:rFonts w:hint="eastAsia" w:ascii="Times New Roman" w:hAnsi="Times New Roman" w:eastAsia="仿宋_GB2312" w:cs="Times New Roman"/>
          <w:sz w:val="32"/>
          <w:szCs w:val="32"/>
        </w:rPr>
        <w:t>0.07</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0.01</w:t>
      </w:r>
      <w:r>
        <w:rPr>
          <w:rFonts w:ascii="Times New Roman" w:hAnsi="Times New Roman" w:eastAsia="仿宋_GB2312" w:cs="Times New Roman"/>
          <w:sz w:val="32"/>
          <w:szCs w:val="32"/>
        </w:rPr>
        <w:t>%。</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rPr>
        <w:t>2028.28</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rPr>
        <w:t>879.58</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43.37</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rPr>
        <w:t>1148.7</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56.63</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%；对附属单位补助支出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rPr>
        <w:t>2858.37</w:t>
      </w:r>
      <w:r>
        <w:rPr>
          <w:rFonts w:ascii="Times New Roman" w:hAnsi="Times New Roman" w:eastAsia="仿宋_GB2312" w:cs="Times New Roman"/>
          <w:sz w:val="32"/>
          <w:szCs w:val="32"/>
        </w:rPr>
        <w:t>万元，与上年相比，增加</w:t>
      </w:r>
      <w:r>
        <w:rPr>
          <w:rFonts w:hint="eastAsia" w:ascii="Times New Roman" w:hAnsi="Times New Roman" w:eastAsia="仿宋_GB2312" w:cs="Times New Roman"/>
          <w:sz w:val="32"/>
          <w:szCs w:val="32"/>
          <w:lang w:val="en-US" w:eastAsia="zh-CN"/>
        </w:rPr>
        <w:t>839.62</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41.59</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eastAsia="zh-CN"/>
        </w:rPr>
        <w:t>机构改革并入原扶贫培训中心导致各项经费增加。</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rPr>
        <w:t>2022.83</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lang w:val="en-US" w:eastAsia="zh-CN"/>
        </w:rPr>
        <w:t>99.73</w:t>
      </w:r>
      <w:r>
        <w:rPr>
          <w:rFonts w:ascii="Times New Roman" w:hAnsi="Times New Roman" w:eastAsia="仿宋_GB2312" w:cs="Times New Roman"/>
          <w:sz w:val="32"/>
          <w:szCs w:val="32"/>
        </w:rPr>
        <w:t>%，与上年相比，财政拨款支出增加</w:t>
      </w:r>
      <w:r>
        <w:rPr>
          <w:rFonts w:hint="eastAsia" w:ascii="Times New Roman" w:hAnsi="Times New Roman" w:eastAsia="仿宋_GB2312" w:cs="Times New Roman"/>
          <w:sz w:val="32"/>
          <w:szCs w:val="32"/>
          <w:lang w:val="en-US" w:eastAsia="zh-CN"/>
        </w:rPr>
        <w:t>235.17</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13.16</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eastAsia="zh-CN"/>
        </w:rPr>
        <w:t>机构改革并入原扶贫培训中心导致各项经费增加。</w:t>
      </w:r>
    </w:p>
    <w:p>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rPr>
        <w:t>2022.83</w:t>
      </w:r>
      <w:r>
        <w:rPr>
          <w:rFonts w:ascii="Times New Roman" w:hAnsi="Times New Roman" w:eastAsia="仿宋_GB2312" w:cs="Times New Roman"/>
          <w:sz w:val="32"/>
          <w:szCs w:val="32"/>
        </w:rPr>
        <w:t>万元，主要用于以下方面：教育（类）支出</w:t>
      </w:r>
      <w:r>
        <w:rPr>
          <w:rFonts w:hint="eastAsia" w:ascii="Times New Roman" w:hAnsi="Times New Roman" w:eastAsia="仿宋_GB2312" w:cs="Times New Roman"/>
          <w:sz w:val="32"/>
          <w:szCs w:val="32"/>
          <w:lang w:val="en-US" w:eastAsia="zh-CN"/>
        </w:rPr>
        <w:t>1044.16</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51.62</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sz w:val="32"/>
          <w:szCs w:val="32"/>
        </w:rPr>
        <w:t>社会保障和就业（类）支出</w:t>
      </w:r>
      <w:r>
        <w:rPr>
          <w:rFonts w:hint="eastAsia" w:ascii="Times New Roman" w:hAnsi="Times New Roman" w:eastAsia="仿宋_GB2312"/>
          <w:sz w:val="32"/>
          <w:szCs w:val="32"/>
          <w:lang w:val="en-US" w:eastAsia="zh-CN"/>
        </w:rPr>
        <w:t>141.87万元，占7.01%；卫生健康</w:t>
      </w:r>
      <w:r>
        <w:rPr>
          <w:rFonts w:ascii="Times New Roman" w:hAnsi="Times New Roman" w:eastAsia="仿宋_GB2312" w:cs="Times New Roman"/>
          <w:sz w:val="32"/>
          <w:szCs w:val="32"/>
        </w:rPr>
        <w:t>（类）</w:t>
      </w:r>
      <w:r>
        <w:rPr>
          <w:rFonts w:hint="eastAsia" w:ascii="Times New Roman" w:hAnsi="Times New Roman" w:eastAsia="仿宋_GB2312"/>
          <w:sz w:val="32"/>
          <w:szCs w:val="32"/>
          <w:lang w:val="en-US" w:eastAsia="zh-CN"/>
        </w:rPr>
        <w:t>支出10万元，占0.5%；农林水</w:t>
      </w:r>
      <w:r>
        <w:rPr>
          <w:rFonts w:ascii="Times New Roman" w:hAnsi="Times New Roman" w:eastAsia="仿宋_GB2312" w:cs="Times New Roman"/>
          <w:sz w:val="32"/>
          <w:szCs w:val="32"/>
        </w:rPr>
        <w:t>（类）</w:t>
      </w:r>
      <w:r>
        <w:rPr>
          <w:rFonts w:hint="eastAsia" w:ascii="Times New Roman" w:hAnsi="Times New Roman" w:eastAsia="仿宋_GB2312"/>
          <w:sz w:val="32"/>
          <w:szCs w:val="32"/>
          <w:lang w:val="en-US" w:eastAsia="zh-CN"/>
        </w:rPr>
        <w:t>支出768.53万元，占37.99%；住房保障</w:t>
      </w:r>
      <w:r>
        <w:rPr>
          <w:rFonts w:hint="eastAsia" w:ascii="Times New Roman" w:hAnsi="Times New Roman" w:eastAsia="仿宋_GB2312"/>
          <w:sz w:val="32"/>
          <w:szCs w:val="32"/>
        </w:rPr>
        <w:t>（类）</w:t>
      </w:r>
      <w:r>
        <w:rPr>
          <w:rFonts w:hint="eastAsia" w:ascii="Times New Roman" w:hAnsi="Times New Roman" w:eastAsia="仿宋_GB2312"/>
          <w:sz w:val="32"/>
          <w:szCs w:val="32"/>
          <w:lang w:val="en-US" w:eastAsia="zh-CN"/>
        </w:rPr>
        <w:t>支出</w:t>
      </w:r>
      <w:r>
        <w:rPr>
          <w:rFonts w:hint="eastAsia" w:ascii="Times New Roman" w:hAnsi="Times New Roman" w:eastAsia="仿宋_GB2312" w:cs="Times New Roman"/>
          <w:sz w:val="32"/>
          <w:szCs w:val="32"/>
          <w:lang w:val="en-US" w:eastAsia="zh-CN"/>
        </w:rPr>
        <w:t>58.28万元，占2.88%。</w:t>
      </w:r>
    </w:p>
    <w:p>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lang w:val="en-US" w:eastAsia="zh-CN"/>
        </w:rPr>
        <w:t>2458.37</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rPr>
        <w:t>2022.8</w:t>
      </w:r>
      <w:r>
        <w:rPr>
          <w:rFonts w:hint="eastAsia" w:ascii="Times New Roman" w:hAnsi="Times New Roman" w:eastAsia="仿宋_GB2312" w:cs="Times New Roman"/>
          <w:sz w:val="32"/>
          <w:szCs w:val="32"/>
          <w:lang w:eastAsia="zh-CN"/>
        </w:rPr>
        <w:t>3万元，完成</w:t>
      </w:r>
      <w:r>
        <w:rPr>
          <w:rFonts w:hint="eastAsia" w:ascii="Times New Roman" w:hAnsi="Times New Roman" w:eastAsia="仿宋_GB2312" w:cs="Times New Roman"/>
          <w:sz w:val="32"/>
          <w:szCs w:val="32"/>
        </w:rPr>
        <w:t>年初</w:t>
      </w:r>
      <w:r>
        <w:rPr>
          <w:rFonts w:ascii="Times New Roman" w:hAnsi="Times New Roman" w:eastAsia="仿宋_GB2312" w:cs="Times New Roman"/>
          <w:sz w:val="32"/>
          <w:szCs w:val="32"/>
        </w:rPr>
        <w:t>预算的</w:t>
      </w:r>
      <w:r>
        <w:rPr>
          <w:rFonts w:hint="eastAsia" w:ascii="Times New Roman" w:hAnsi="Times New Roman" w:eastAsia="仿宋_GB2312" w:cs="Times New Roman"/>
          <w:sz w:val="32"/>
          <w:szCs w:val="32"/>
          <w:lang w:val="en-US" w:eastAsia="zh-CN"/>
        </w:rPr>
        <w:t>82.28</w:t>
      </w:r>
      <w:r>
        <w:rPr>
          <w:rFonts w:ascii="Times New Roman" w:hAnsi="Times New Roman" w:eastAsia="仿宋_GB2312" w:cs="Times New Roman"/>
          <w:sz w:val="32"/>
          <w:szCs w:val="32"/>
        </w:rPr>
        <w:t>%，其中：</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1、教育（类）</w:t>
      </w:r>
      <w:r>
        <w:rPr>
          <w:rFonts w:hint="eastAsia" w:ascii="Times New Roman" w:hAnsi="Times New Roman" w:eastAsia="仿宋_GB2312" w:cs="Times New Roman"/>
          <w:sz w:val="32"/>
          <w:szCs w:val="32"/>
        </w:rPr>
        <w:t>进修及培训</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rPr>
        <w:t>培训支出</w:t>
      </w:r>
      <w:r>
        <w:rPr>
          <w:rFonts w:ascii="Times New Roman" w:hAnsi="Times New Roman" w:eastAsia="仿宋_GB2312" w:cs="Times New Roman"/>
          <w:sz w:val="32"/>
          <w:szCs w:val="32"/>
        </w:rPr>
        <w:t>（项）。</w:t>
      </w:r>
    </w:p>
    <w:p>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1095.27</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1044.16</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95.33</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小于</w:t>
      </w:r>
      <w:r>
        <w:rPr>
          <w:rFonts w:ascii="Times New Roman" w:hAnsi="Times New Roman" w:eastAsia="仿宋_GB2312" w:cs="Times New Roman"/>
          <w:sz w:val="32"/>
          <w:szCs w:val="32"/>
        </w:rPr>
        <w:t>年初预算数的主要原因是</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highlight w:val="none"/>
          <w:lang w:val="en-US" w:eastAsia="zh-CN"/>
        </w:rPr>
        <w:t>培训支出有结余</w:t>
      </w:r>
      <w:r>
        <w:rPr>
          <w:rFonts w:hint="eastAsia" w:ascii="Times New Roman" w:hAnsi="Times New Roman" w:eastAsia="仿宋_GB2312" w:cs="Times New Roman"/>
          <w:sz w:val="32"/>
          <w:szCs w:val="32"/>
          <w:highlight w:val="none"/>
          <w:lang w:eastAsia="zh-CN"/>
        </w:rPr>
        <w:t>。</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sz w:val="32"/>
          <w:szCs w:val="32"/>
        </w:rPr>
        <w:t>社会保障和就业</w:t>
      </w:r>
      <w:r>
        <w:rPr>
          <w:rFonts w:hint="eastAsia" w:ascii="Times New Roman" w:hAnsi="Times New Roman" w:eastAsia="仿宋_GB2312"/>
          <w:sz w:val="32"/>
          <w:szCs w:val="32"/>
          <w:lang w:val="en-US" w:eastAsia="zh-CN"/>
        </w:rPr>
        <w:t>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rPr>
        <w:t>行政事业单位养老支出</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rPr>
        <w:t>事业单位离退休</w:t>
      </w:r>
      <w:r>
        <w:rPr>
          <w:rFonts w:ascii="Times New Roman" w:hAnsi="Times New Roman" w:eastAsia="仿宋_GB2312" w:cs="Times New Roman"/>
          <w:sz w:val="32"/>
          <w:szCs w:val="32"/>
        </w:rPr>
        <w:t>（项）。</w:t>
      </w:r>
    </w:p>
    <w:p>
      <w:pPr>
        <w:pStyle w:val="16"/>
        <w:numPr>
          <w:ilvl w:val="0"/>
          <w:numId w:val="0"/>
        </w:numPr>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highlight w:val="none"/>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76</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68.92</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90.68</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小于</w:t>
      </w:r>
      <w:r>
        <w:rPr>
          <w:rFonts w:ascii="Times New Roman" w:hAnsi="Times New Roman" w:eastAsia="仿宋_GB2312" w:cs="Times New Roman"/>
          <w:sz w:val="32"/>
          <w:szCs w:val="32"/>
        </w:rPr>
        <w:t>年初预算数的主要原因是：</w:t>
      </w:r>
      <w:r>
        <w:rPr>
          <w:rFonts w:hint="eastAsia" w:ascii="Times New Roman" w:hAnsi="Times New Roman" w:eastAsia="仿宋_GB2312" w:cs="Times New Roman"/>
          <w:sz w:val="32"/>
          <w:szCs w:val="32"/>
          <w:highlight w:val="none"/>
          <w:lang w:eastAsia="zh-CN"/>
        </w:rPr>
        <w:t>机构改革，人员异动。</w:t>
      </w:r>
    </w:p>
    <w:p>
      <w:pPr>
        <w:pStyle w:val="16"/>
        <w:numPr>
          <w:ilvl w:val="0"/>
          <w:numId w:val="1"/>
        </w:numPr>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sz w:val="32"/>
          <w:szCs w:val="32"/>
        </w:rPr>
        <w:t>社会保障和就业</w:t>
      </w:r>
      <w:r>
        <w:rPr>
          <w:rFonts w:hint="eastAsia" w:ascii="Times New Roman" w:hAnsi="Times New Roman" w:eastAsia="仿宋_GB2312"/>
          <w:sz w:val="32"/>
          <w:szCs w:val="32"/>
          <w:lang w:val="en-US" w:eastAsia="zh-CN"/>
        </w:rPr>
        <w:t>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rPr>
        <w:t>行政事业单位养老支出</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rPr>
        <w:t>机关事业单位基本养老保险缴费</w:t>
      </w:r>
      <w:r>
        <w:rPr>
          <w:rFonts w:ascii="Times New Roman" w:hAnsi="Times New Roman" w:eastAsia="仿宋_GB2312" w:cs="Times New Roman"/>
          <w:sz w:val="32"/>
          <w:szCs w:val="32"/>
        </w:rPr>
        <w:t>（项）</w:t>
      </w:r>
      <w:r>
        <w:rPr>
          <w:rFonts w:hint="eastAsia" w:ascii="Times New Roman" w:hAnsi="Times New Roman" w:eastAsia="仿宋_GB2312" w:cs="Times New Roman"/>
          <w:sz w:val="32"/>
          <w:szCs w:val="32"/>
          <w:lang w:eastAsia="zh-CN"/>
        </w:rPr>
        <w:t>。</w:t>
      </w:r>
    </w:p>
    <w:p>
      <w:pPr>
        <w:pStyle w:val="16"/>
        <w:numPr>
          <w:ilvl w:val="0"/>
          <w:numId w:val="0"/>
        </w:numPr>
        <w:overflowPunct w:val="0"/>
        <w:autoSpaceDE/>
        <w:autoSpaceDN/>
        <w:spacing w:line="600" w:lineRule="exact"/>
        <w:ind w:firstLine="640" w:firstLineChars="200"/>
        <w:jc w:val="both"/>
        <w:rPr>
          <w:rFonts w:hint="default" w:ascii="Times New Roman" w:hAnsi="Times New Roman" w:eastAsia="仿宋_GB2312" w:cs="Times New Roman"/>
          <w:sz w:val="32"/>
          <w:szCs w:val="32"/>
          <w:highlight w:val="none"/>
          <w:lang w:val="en-US"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82</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71.5</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87.2</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小于</w:t>
      </w:r>
      <w:r>
        <w:rPr>
          <w:rFonts w:ascii="Times New Roman" w:hAnsi="Times New Roman" w:eastAsia="仿宋_GB2312" w:cs="Times New Roman"/>
          <w:sz w:val="32"/>
          <w:szCs w:val="32"/>
        </w:rPr>
        <w:t>年初预算数的主要原因是：</w:t>
      </w:r>
      <w:r>
        <w:rPr>
          <w:rFonts w:hint="eastAsia" w:ascii="Times New Roman" w:hAnsi="Times New Roman" w:eastAsia="仿宋_GB2312" w:cs="Times New Roman"/>
          <w:sz w:val="32"/>
          <w:szCs w:val="32"/>
          <w:highlight w:val="none"/>
          <w:lang w:eastAsia="zh-CN"/>
        </w:rPr>
        <w:t>机构改革，人员异动。</w:t>
      </w:r>
    </w:p>
    <w:p>
      <w:pPr>
        <w:pStyle w:val="16"/>
        <w:numPr>
          <w:ilvl w:val="0"/>
          <w:numId w:val="1"/>
        </w:numPr>
        <w:overflowPunct w:val="0"/>
        <w:autoSpaceDE/>
        <w:autoSpaceDN/>
        <w:spacing w:line="600" w:lineRule="exact"/>
        <w:ind w:left="0" w:leftChars="0" w:firstLine="640" w:firstLineChars="200"/>
        <w:jc w:val="both"/>
        <w:rPr>
          <w:rFonts w:hint="eastAsia" w:ascii="Times New Roman" w:hAnsi="Times New Roman" w:eastAsia="仿宋_GB2312" w:cs="Times New Roman"/>
          <w:sz w:val="32"/>
          <w:szCs w:val="32"/>
          <w:lang w:eastAsia="zh-CN"/>
        </w:rPr>
      </w:pPr>
      <w:r>
        <w:rPr>
          <w:rFonts w:hint="eastAsia" w:ascii="Times New Roman" w:hAnsi="Times New Roman" w:eastAsia="仿宋_GB2312"/>
          <w:sz w:val="32"/>
          <w:szCs w:val="32"/>
        </w:rPr>
        <w:t>社会保障和就业</w:t>
      </w:r>
      <w:r>
        <w:rPr>
          <w:rFonts w:hint="eastAsia" w:ascii="Times New Roman" w:hAnsi="Times New Roman" w:eastAsia="仿宋_GB2312"/>
          <w:sz w:val="32"/>
          <w:szCs w:val="32"/>
          <w:lang w:val="en-US" w:eastAsia="zh-CN"/>
        </w:rPr>
        <w:t>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rPr>
        <w:t>行政事业单位养老支出</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rPr>
        <w:t>其他社会保障和就业支出</w:t>
      </w:r>
      <w:r>
        <w:rPr>
          <w:rFonts w:ascii="Times New Roman" w:hAnsi="Times New Roman" w:eastAsia="仿宋_GB2312" w:cs="Times New Roman"/>
          <w:sz w:val="32"/>
          <w:szCs w:val="32"/>
        </w:rPr>
        <w:t>（项）</w:t>
      </w:r>
      <w:r>
        <w:rPr>
          <w:rFonts w:hint="eastAsia" w:ascii="Times New Roman" w:hAnsi="Times New Roman" w:eastAsia="仿宋_GB2312" w:cs="Times New Roman"/>
          <w:sz w:val="32"/>
          <w:szCs w:val="32"/>
          <w:lang w:eastAsia="zh-CN"/>
        </w:rPr>
        <w:t>。</w:t>
      </w:r>
    </w:p>
    <w:p>
      <w:pPr>
        <w:pStyle w:val="16"/>
        <w:overflowPunct w:val="0"/>
        <w:autoSpaceDE/>
        <w:autoSpaceDN/>
        <w:spacing w:line="600" w:lineRule="exact"/>
        <w:ind w:firstLine="640" w:firstLineChars="200"/>
        <w:jc w:val="both"/>
        <w:rPr>
          <w:rFonts w:hint="default" w:ascii="Times New Roman" w:hAnsi="Times New Roman" w:eastAsia="仿宋_GB2312" w:cs="Times New Roman"/>
          <w:sz w:val="32"/>
          <w:szCs w:val="32"/>
          <w:highlight w:val="none"/>
          <w:lang w:val="en-US"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1.45</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72.5</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小于</w:t>
      </w:r>
      <w:r>
        <w:rPr>
          <w:rFonts w:ascii="Times New Roman" w:hAnsi="Times New Roman" w:eastAsia="仿宋_GB2312" w:cs="Times New Roman"/>
          <w:sz w:val="32"/>
          <w:szCs w:val="32"/>
        </w:rPr>
        <w:t>年初预算数的主要原因是：</w:t>
      </w:r>
      <w:r>
        <w:rPr>
          <w:rFonts w:hint="eastAsia" w:ascii="Times New Roman" w:hAnsi="Times New Roman" w:eastAsia="仿宋_GB2312" w:cs="Times New Roman"/>
          <w:sz w:val="32"/>
          <w:szCs w:val="32"/>
          <w:highlight w:val="none"/>
          <w:lang w:eastAsia="zh-CN"/>
        </w:rPr>
        <w:t>机构改革，</w:t>
      </w:r>
      <w:r>
        <w:rPr>
          <w:rFonts w:hint="eastAsia" w:ascii="Times New Roman" w:hAnsi="Times New Roman" w:eastAsia="仿宋_GB2312" w:cs="Times New Roman"/>
          <w:sz w:val="32"/>
          <w:szCs w:val="32"/>
          <w:lang w:eastAsia="zh-CN"/>
        </w:rPr>
        <w:t>此项经费有结余</w:t>
      </w:r>
      <w:r>
        <w:rPr>
          <w:rFonts w:hint="eastAsia" w:ascii="Times New Roman" w:hAnsi="Times New Roman" w:eastAsia="仿宋_GB2312" w:cs="Times New Roman"/>
          <w:sz w:val="32"/>
          <w:szCs w:val="32"/>
          <w:highlight w:val="none"/>
          <w:lang w:eastAsia="zh-CN"/>
        </w:rPr>
        <w:t>。</w:t>
      </w:r>
    </w:p>
    <w:p>
      <w:pPr>
        <w:pStyle w:val="16"/>
        <w:numPr>
          <w:ilvl w:val="0"/>
          <w:numId w:val="0"/>
        </w:numPr>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5 、</w:t>
      </w:r>
      <w:r>
        <w:rPr>
          <w:rFonts w:hint="eastAsia" w:ascii="Times New Roman" w:hAnsi="Times New Roman" w:eastAsia="仿宋_GB2312"/>
          <w:sz w:val="32"/>
          <w:szCs w:val="32"/>
          <w:lang w:val="en-US" w:eastAsia="zh-CN"/>
        </w:rPr>
        <w:t>卫生健康支出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rPr>
        <w:t>行政事业单位医疗</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rPr>
        <w:t>事业单位医疗</w:t>
      </w:r>
      <w:r>
        <w:rPr>
          <w:rFonts w:ascii="Times New Roman" w:hAnsi="Times New Roman" w:eastAsia="仿宋_GB2312" w:cs="Times New Roman"/>
          <w:sz w:val="32"/>
          <w:szCs w:val="32"/>
        </w:rPr>
        <w:t>（项）</w:t>
      </w:r>
      <w:r>
        <w:rPr>
          <w:rFonts w:hint="eastAsia" w:ascii="Times New Roman" w:hAnsi="Times New Roman" w:eastAsia="仿宋_GB2312" w:cs="Times New Roman"/>
          <w:sz w:val="32"/>
          <w:szCs w:val="32"/>
          <w:lang w:eastAsia="zh-CN"/>
        </w:rPr>
        <w:t>。</w:t>
      </w:r>
    </w:p>
    <w:p>
      <w:pPr>
        <w:pStyle w:val="16"/>
        <w:numPr>
          <w:ilvl w:val="0"/>
          <w:numId w:val="0"/>
        </w:numPr>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10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10</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pPr>
        <w:pStyle w:val="16"/>
        <w:numPr>
          <w:ilvl w:val="0"/>
          <w:numId w:val="1"/>
        </w:numPr>
        <w:overflowPunct w:val="0"/>
        <w:autoSpaceDE/>
        <w:autoSpaceDN/>
        <w:spacing w:line="600" w:lineRule="exact"/>
        <w:ind w:left="0" w:leftChars="0" w:firstLine="640" w:firstLineChars="200"/>
        <w:jc w:val="both"/>
        <w:rPr>
          <w:rFonts w:hint="eastAsia" w:ascii="Times New Roman" w:hAnsi="Times New Roman" w:eastAsia="仿宋_GB2312" w:cs="Times New Roman"/>
          <w:sz w:val="32"/>
          <w:szCs w:val="32"/>
          <w:lang w:eastAsia="zh-CN"/>
        </w:rPr>
      </w:pPr>
      <w:r>
        <w:rPr>
          <w:rFonts w:hint="eastAsia" w:ascii="Times New Roman" w:hAnsi="Times New Roman" w:eastAsia="仿宋_GB2312"/>
          <w:sz w:val="32"/>
          <w:szCs w:val="32"/>
          <w:lang w:val="en-US" w:eastAsia="zh-CN"/>
        </w:rPr>
        <w:t>农林水支出</w:t>
      </w:r>
      <w:r>
        <w:rPr>
          <w:rFonts w:ascii="Times New Roman" w:hAnsi="Times New Roman" w:eastAsia="仿宋_GB2312" w:cs="Times New Roman"/>
          <w:sz w:val="32"/>
          <w:szCs w:val="32"/>
        </w:rPr>
        <w:t>（类）</w:t>
      </w:r>
      <w:r>
        <w:rPr>
          <w:rFonts w:hint="eastAsia" w:ascii="Times New Roman" w:hAnsi="Times New Roman" w:eastAsia="仿宋_GB2312"/>
          <w:sz w:val="32"/>
          <w:szCs w:val="32"/>
          <w:lang w:val="en-US" w:eastAsia="zh-CN"/>
        </w:rPr>
        <w:t>农业农村</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rPr>
        <w:t>一般行政管理事务</w:t>
      </w:r>
      <w:r>
        <w:rPr>
          <w:rFonts w:ascii="Times New Roman" w:hAnsi="Times New Roman" w:eastAsia="仿宋_GB2312" w:cs="Times New Roman"/>
          <w:sz w:val="32"/>
          <w:szCs w:val="32"/>
        </w:rPr>
        <w:t>（项）</w:t>
      </w:r>
      <w:r>
        <w:rPr>
          <w:rFonts w:hint="eastAsia" w:ascii="Times New Roman" w:hAnsi="Times New Roman" w:eastAsia="仿宋_GB2312" w:cs="Times New Roman"/>
          <w:sz w:val="32"/>
          <w:szCs w:val="32"/>
          <w:lang w:eastAsia="zh-CN"/>
        </w:rPr>
        <w:t>。</w:t>
      </w:r>
    </w:p>
    <w:p>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yellow"/>
          <w:lang w:val="en-US"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84.81</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75.92</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89.52</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小</w:t>
      </w:r>
      <w:r>
        <w:rPr>
          <w:rFonts w:ascii="Times New Roman" w:hAnsi="Times New Roman" w:eastAsia="仿宋_GB2312" w:cs="Times New Roman"/>
          <w:sz w:val="32"/>
          <w:szCs w:val="32"/>
        </w:rPr>
        <w:t>于年初预算数的主要原因是：</w:t>
      </w:r>
      <w:r>
        <w:rPr>
          <w:rFonts w:hint="eastAsia" w:ascii="Times New Roman" w:hAnsi="Times New Roman" w:eastAsia="仿宋_GB2312" w:cs="Times New Roman"/>
          <w:sz w:val="32"/>
          <w:szCs w:val="32"/>
          <w:lang w:eastAsia="zh-CN"/>
        </w:rPr>
        <w:t>年末资金有结余。</w:t>
      </w:r>
    </w:p>
    <w:p>
      <w:pPr>
        <w:pStyle w:val="16"/>
        <w:numPr>
          <w:ilvl w:val="0"/>
          <w:numId w:val="1"/>
        </w:numPr>
        <w:overflowPunct w:val="0"/>
        <w:autoSpaceDE/>
        <w:autoSpaceDN/>
        <w:spacing w:line="600" w:lineRule="exact"/>
        <w:ind w:left="0" w:leftChars="0" w:firstLine="640" w:firstLineChars="200"/>
        <w:jc w:val="both"/>
        <w:rPr>
          <w:rFonts w:hint="eastAsia" w:ascii="Times New Roman" w:hAnsi="Times New Roman" w:eastAsia="仿宋_GB2312" w:cs="Times New Roman"/>
          <w:sz w:val="32"/>
          <w:szCs w:val="32"/>
          <w:lang w:eastAsia="zh-CN"/>
        </w:rPr>
      </w:pPr>
      <w:r>
        <w:rPr>
          <w:rFonts w:hint="eastAsia" w:ascii="Times New Roman" w:hAnsi="Times New Roman" w:eastAsia="仿宋_GB2312"/>
          <w:sz w:val="32"/>
          <w:szCs w:val="32"/>
          <w:lang w:val="en-US" w:eastAsia="zh-CN"/>
        </w:rPr>
        <w:t>农林水支出</w:t>
      </w:r>
      <w:r>
        <w:rPr>
          <w:rFonts w:ascii="Times New Roman" w:hAnsi="Times New Roman" w:eastAsia="仿宋_GB2312" w:cs="Times New Roman"/>
          <w:sz w:val="32"/>
          <w:szCs w:val="32"/>
        </w:rPr>
        <w:t>（类）</w:t>
      </w:r>
      <w:r>
        <w:rPr>
          <w:rFonts w:hint="eastAsia" w:ascii="Times New Roman" w:hAnsi="Times New Roman" w:eastAsia="仿宋_GB2312"/>
          <w:sz w:val="32"/>
          <w:szCs w:val="32"/>
          <w:lang w:val="en-US" w:eastAsia="zh-CN"/>
        </w:rPr>
        <w:t>农业农村</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rPr>
        <w:t>事业运行</w:t>
      </w:r>
      <w:r>
        <w:rPr>
          <w:rFonts w:ascii="Times New Roman" w:hAnsi="Times New Roman" w:eastAsia="仿宋_GB2312" w:cs="Times New Roman"/>
          <w:sz w:val="32"/>
          <w:szCs w:val="32"/>
        </w:rPr>
        <w:t>（项）</w:t>
      </w:r>
      <w:r>
        <w:rPr>
          <w:rFonts w:hint="eastAsia" w:ascii="Times New Roman" w:hAnsi="Times New Roman" w:eastAsia="仿宋_GB2312" w:cs="Times New Roman"/>
          <w:sz w:val="32"/>
          <w:szCs w:val="32"/>
          <w:lang w:eastAsia="zh-CN"/>
        </w:rPr>
        <w:t>。</w:t>
      </w:r>
    </w:p>
    <w:p>
      <w:pPr>
        <w:pStyle w:val="16"/>
        <w:numPr>
          <w:ilvl w:val="0"/>
          <w:numId w:val="0"/>
        </w:numPr>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656.2</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521.65</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79.5</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小</w:t>
      </w:r>
      <w:r>
        <w:rPr>
          <w:rFonts w:ascii="Times New Roman" w:hAnsi="Times New Roman" w:eastAsia="仿宋_GB2312" w:cs="Times New Roman"/>
          <w:sz w:val="32"/>
          <w:szCs w:val="32"/>
        </w:rPr>
        <w:t>于年初预算数的主要原因是：</w:t>
      </w:r>
      <w:r>
        <w:rPr>
          <w:rFonts w:hint="eastAsia" w:ascii="Times New Roman" w:hAnsi="Times New Roman" w:eastAsia="仿宋_GB2312" w:cs="Times New Roman"/>
          <w:sz w:val="32"/>
          <w:szCs w:val="32"/>
          <w:lang w:eastAsia="zh-CN"/>
        </w:rPr>
        <w:t>机构改革，指标调整。</w:t>
      </w:r>
    </w:p>
    <w:p>
      <w:pPr>
        <w:pStyle w:val="16"/>
        <w:numPr>
          <w:ilvl w:val="0"/>
          <w:numId w:val="1"/>
        </w:numPr>
        <w:overflowPunct w:val="0"/>
        <w:autoSpaceDE/>
        <w:autoSpaceDN/>
        <w:spacing w:line="600" w:lineRule="exact"/>
        <w:ind w:left="0" w:leftChars="0" w:firstLine="640" w:firstLineChars="200"/>
        <w:jc w:val="both"/>
        <w:rPr>
          <w:rFonts w:hint="eastAsia" w:ascii="Times New Roman" w:hAnsi="Times New Roman" w:eastAsia="仿宋_GB2312" w:cs="Times New Roman"/>
          <w:sz w:val="32"/>
          <w:szCs w:val="32"/>
          <w:lang w:eastAsia="zh-CN"/>
        </w:rPr>
      </w:pPr>
      <w:r>
        <w:rPr>
          <w:rFonts w:hint="eastAsia" w:ascii="Times New Roman" w:hAnsi="Times New Roman" w:eastAsia="仿宋_GB2312"/>
          <w:sz w:val="32"/>
          <w:szCs w:val="32"/>
          <w:lang w:val="en-US" w:eastAsia="zh-CN"/>
        </w:rPr>
        <w:t>农林水支出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rPr>
        <w:t>巩固脱贫攻坚成果衔接乡村振兴</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事业运行</w:t>
      </w:r>
      <w:r>
        <w:rPr>
          <w:rFonts w:ascii="Times New Roman" w:hAnsi="Times New Roman" w:eastAsia="仿宋_GB2312" w:cs="Times New Roman"/>
          <w:sz w:val="32"/>
          <w:szCs w:val="32"/>
        </w:rPr>
        <w:t>（项）</w:t>
      </w:r>
      <w:r>
        <w:rPr>
          <w:rFonts w:hint="eastAsia" w:ascii="Times New Roman" w:hAnsi="Times New Roman" w:eastAsia="仿宋_GB2312" w:cs="Times New Roman"/>
          <w:sz w:val="32"/>
          <w:szCs w:val="32"/>
          <w:lang w:eastAsia="zh-CN"/>
        </w:rPr>
        <w:t>。</w:t>
      </w:r>
    </w:p>
    <w:p>
      <w:pPr>
        <w:pStyle w:val="16"/>
        <w:numPr>
          <w:ilvl w:val="0"/>
          <w:numId w:val="0"/>
        </w:numPr>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157.56</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142.33</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90.33</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小</w:t>
      </w:r>
      <w:r>
        <w:rPr>
          <w:rFonts w:ascii="Times New Roman" w:hAnsi="Times New Roman" w:eastAsia="仿宋_GB2312" w:cs="Times New Roman"/>
          <w:sz w:val="32"/>
          <w:szCs w:val="32"/>
        </w:rPr>
        <w:t>于年初预算数的主要原因是：</w:t>
      </w:r>
      <w:r>
        <w:rPr>
          <w:rFonts w:hint="eastAsia" w:ascii="Times New Roman" w:hAnsi="Times New Roman" w:eastAsia="仿宋_GB2312" w:cs="Times New Roman"/>
          <w:sz w:val="32"/>
          <w:szCs w:val="32"/>
          <w:lang w:eastAsia="zh-CN"/>
        </w:rPr>
        <w:t>机构改革，项目调整。</w:t>
      </w:r>
    </w:p>
    <w:p>
      <w:pPr>
        <w:pStyle w:val="16"/>
        <w:numPr>
          <w:ilvl w:val="0"/>
          <w:numId w:val="1"/>
        </w:numPr>
        <w:overflowPunct w:val="0"/>
        <w:autoSpaceDE/>
        <w:autoSpaceDN/>
        <w:spacing w:line="600" w:lineRule="exact"/>
        <w:ind w:left="0" w:leftChars="0" w:firstLine="640" w:firstLineChars="200"/>
        <w:jc w:val="both"/>
        <w:rPr>
          <w:rFonts w:hint="eastAsia" w:ascii="Times New Roman" w:hAnsi="Times New Roman" w:eastAsia="仿宋_GB2312" w:cs="Times New Roman"/>
          <w:sz w:val="32"/>
          <w:szCs w:val="32"/>
          <w:lang w:eastAsia="zh-CN"/>
        </w:rPr>
      </w:pPr>
      <w:r>
        <w:rPr>
          <w:rFonts w:hint="eastAsia" w:ascii="Times New Roman" w:hAnsi="Times New Roman" w:eastAsia="仿宋_GB2312"/>
          <w:sz w:val="32"/>
          <w:szCs w:val="32"/>
          <w:lang w:val="en-US" w:eastAsia="zh-CN"/>
        </w:rPr>
        <w:t>农林水支出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rPr>
        <w:t>巩固脱贫攻坚成果衔接乡村振兴</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rPr>
        <w:t>其他巩固脱贫攻坚成果衔接乡村振兴支出</w:t>
      </w:r>
      <w:r>
        <w:rPr>
          <w:rFonts w:ascii="Times New Roman" w:hAnsi="Times New Roman" w:eastAsia="仿宋_GB2312" w:cs="Times New Roman"/>
          <w:sz w:val="32"/>
          <w:szCs w:val="32"/>
        </w:rPr>
        <w:t>（项）</w:t>
      </w:r>
      <w:r>
        <w:rPr>
          <w:rFonts w:hint="eastAsia" w:ascii="Times New Roman" w:hAnsi="Times New Roman" w:eastAsia="仿宋_GB2312" w:cs="Times New Roman"/>
          <w:sz w:val="32"/>
          <w:szCs w:val="32"/>
          <w:lang w:eastAsia="zh-CN"/>
        </w:rPr>
        <w:t>。</w:t>
      </w:r>
    </w:p>
    <w:p>
      <w:pPr>
        <w:pStyle w:val="16"/>
        <w:numPr>
          <w:ilvl w:val="0"/>
          <w:numId w:val="0"/>
        </w:numPr>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199.53</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0.63</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0.32</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小</w:t>
      </w:r>
      <w:r>
        <w:rPr>
          <w:rFonts w:ascii="Times New Roman" w:hAnsi="Times New Roman" w:eastAsia="仿宋_GB2312" w:cs="Times New Roman"/>
          <w:sz w:val="32"/>
          <w:szCs w:val="32"/>
        </w:rPr>
        <w:t>于年初预算数的主要原因是：</w:t>
      </w:r>
      <w:r>
        <w:rPr>
          <w:rFonts w:hint="eastAsia" w:ascii="Times New Roman" w:hAnsi="Times New Roman" w:eastAsia="仿宋_GB2312" w:cs="Times New Roman"/>
          <w:sz w:val="32"/>
          <w:szCs w:val="32"/>
          <w:lang w:eastAsia="zh-CN"/>
        </w:rPr>
        <w:t>机构改革，项目调整。</w:t>
      </w:r>
    </w:p>
    <w:p>
      <w:pPr>
        <w:pStyle w:val="16"/>
        <w:numPr>
          <w:ilvl w:val="0"/>
          <w:numId w:val="1"/>
        </w:numPr>
        <w:overflowPunct w:val="0"/>
        <w:autoSpaceDE/>
        <w:autoSpaceDN/>
        <w:spacing w:line="600" w:lineRule="exact"/>
        <w:ind w:left="0" w:leftChars="0" w:firstLine="640" w:firstLineChars="200"/>
        <w:jc w:val="both"/>
        <w:rPr>
          <w:rFonts w:hint="eastAsia" w:ascii="Times New Roman" w:hAnsi="Times New Roman" w:eastAsia="仿宋_GB2312" w:cs="Times New Roman"/>
          <w:sz w:val="32"/>
          <w:szCs w:val="32"/>
          <w:lang w:eastAsia="zh-CN"/>
        </w:rPr>
      </w:pPr>
      <w:r>
        <w:rPr>
          <w:rFonts w:hint="eastAsia" w:ascii="Times New Roman" w:hAnsi="Times New Roman" w:eastAsia="仿宋_GB2312"/>
          <w:sz w:val="32"/>
          <w:szCs w:val="32"/>
          <w:lang w:val="en-US" w:eastAsia="zh-CN"/>
        </w:rPr>
        <w:t>农林水支出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rPr>
        <w:t>其他农林水支出</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rPr>
        <w:t>其他农林水支出</w:t>
      </w:r>
      <w:r>
        <w:rPr>
          <w:rFonts w:ascii="Times New Roman" w:hAnsi="Times New Roman" w:eastAsia="仿宋_GB2312" w:cs="Times New Roman"/>
          <w:sz w:val="32"/>
          <w:szCs w:val="32"/>
        </w:rPr>
        <w:t>（项）</w:t>
      </w:r>
      <w:r>
        <w:rPr>
          <w:rFonts w:hint="eastAsia" w:ascii="Times New Roman" w:hAnsi="Times New Roman" w:eastAsia="仿宋_GB2312" w:cs="Times New Roman"/>
          <w:sz w:val="32"/>
          <w:szCs w:val="32"/>
          <w:lang w:eastAsia="zh-CN"/>
        </w:rPr>
        <w:t>。</w:t>
      </w:r>
    </w:p>
    <w:p>
      <w:pPr>
        <w:pStyle w:val="16"/>
        <w:numPr>
          <w:ilvl w:val="0"/>
          <w:numId w:val="0"/>
        </w:numPr>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28</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28</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pPr>
        <w:pStyle w:val="16"/>
        <w:numPr>
          <w:ilvl w:val="0"/>
          <w:numId w:val="1"/>
        </w:numPr>
        <w:overflowPunct w:val="0"/>
        <w:autoSpaceDE/>
        <w:autoSpaceDN/>
        <w:spacing w:line="600" w:lineRule="exact"/>
        <w:ind w:left="0" w:leftChars="0" w:firstLine="640" w:firstLineChars="200"/>
        <w:jc w:val="both"/>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住房保障</w:t>
      </w:r>
      <w:r>
        <w:rPr>
          <w:rFonts w:hint="eastAsia" w:ascii="Times New Roman" w:hAnsi="Times New Roman" w:eastAsia="仿宋_GB2312"/>
          <w:sz w:val="32"/>
          <w:szCs w:val="32"/>
          <w:lang w:val="en-US" w:eastAsia="zh-CN"/>
        </w:rPr>
        <w:t>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rPr>
        <w:t>住房改革支出</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rPr>
        <w:t>住房公积金</w:t>
      </w:r>
      <w:r>
        <w:rPr>
          <w:rFonts w:ascii="Times New Roman" w:hAnsi="Times New Roman" w:eastAsia="仿宋_GB2312" w:cs="Times New Roman"/>
          <w:sz w:val="32"/>
          <w:szCs w:val="32"/>
        </w:rPr>
        <w:t>（项）</w:t>
      </w:r>
      <w:r>
        <w:rPr>
          <w:rFonts w:hint="eastAsia" w:ascii="Times New Roman" w:hAnsi="Times New Roman" w:eastAsia="仿宋_GB2312" w:cs="Times New Roman"/>
          <w:sz w:val="32"/>
          <w:szCs w:val="32"/>
          <w:lang w:eastAsia="zh-CN"/>
        </w:rPr>
        <w:t>。</w:t>
      </w:r>
    </w:p>
    <w:p>
      <w:pPr>
        <w:pStyle w:val="16"/>
        <w:numPr>
          <w:ilvl w:val="0"/>
          <w:numId w:val="0"/>
        </w:numPr>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67</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58.28</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86.99</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小</w:t>
      </w:r>
      <w:r>
        <w:rPr>
          <w:rFonts w:ascii="Times New Roman" w:hAnsi="Times New Roman" w:eastAsia="仿宋_GB2312" w:cs="Times New Roman"/>
          <w:sz w:val="32"/>
          <w:szCs w:val="32"/>
        </w:rPr>
        <w:t>于年初预算数的主要原因是：</w:t>
      </w:r>
      <w:r>
        <w:rPr>
          <w:rFonts w:hint="eastAsia" w:ascii="Times New Roman" w:hAnsi="Times New Roman" w:eastAsia="仿宋_GB2312" w:cs="Times New Roman"/>
          <w:sz w:val="32"/>
          <w:szCs w:val="32"/>
          <w:lang w:eastAsia="zh-CN"/>
        </w:rPr>
        <w:t>机构改革，人员变动。</w:t>
      </w:r>
    </w:p>
    <w:p>
      <w:pPr>
        <w:pStyle w:val="16"/>
        <w:overflowPunct w:val="0"/>
        <w:autoSpaceDE/>
        <w:autoSpaceDN/>
        <w:spacing w:line="600" w:lineRule="exact"/>
        <w:ind w:firstLine="320" w:firstLineChars="1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lang w:val="en-US" w:eastAsia="zh-CN"/>
        </w:rPr>
        <w:t>874.13</w:t>
      </w:r>
      <w:r>
        <w:rPr>
          <w:rFonts w:ascii="Times New Roman" w:hAnsi="Times New Roman" w:eastAsia="仿宋_GB2312" w:cs="Times New Roman"/>
          <w:sz w:val="32"/>
          <w:szCs w:val="32"/>
        </w:rPr>
        <w:t>万元，其中：</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sz w:val="32"/>
          <w:szCs w:val="32"/>
        </w:rPr>
        <w:t>753.27</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86.17</w:t>
      </w:r>
      <w:r>
        <w:rPr>
          <w:rFonts w:ascii="Times New Roman" w:hAnsi="Times New Roman" w:eastAsia="仿宋_GB2312" w:cs="Times New Roman"/>
          <w:sz w:val="32"/>
          <w:szCs w:val="32"/>
        </w:rPr>
        <w:t>%,主要包括基本工资、津贴补贴、伙食补助费</w:t>
      </w:r>
      <w:r>
        <w:rPr>
          <w:rFonts w:hint="eastAsia" w:ascii="Times New Roman" w:hAnsi="Times New Roman" w:eastAsia="仿宋_GB2312" w:cs="Times New Roman"/>
          <w:sz w:val="32"/>
          <w:szCs w:val="32"/>
          <w:lang w:eastAsia="zh-CN"/>
        </w:rPr>
        <w:t>、绩效工资、机关事业单位基本养老保险缴费、职工基本医疗保险缴费、其他社会保障缴费、住房公积金、退休费、奖励金、其他对个人和家庭的补助</w:t>
      </w:r>
      <w:r>
        <w:rPr>
          <w:rFonts w:ascii="Times New Roman" w:hAnsi="Times New Roman" w:eastAsia="仿宋_GB2312" w:cs="Times New Roman"/>
          <w:sz w:val="32"/>
          <w:szCs w:val="32"/>
        </w:rPr>
        <w:t>。</w:t>
      </w:r>
    </w:p>
    <w:p>
      <w:pPr>
        <w:pStyle w:val="16"/>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lang w:val="en-US" w:eastAsia="zh-CN"/>
        </w:rPr>
        <w:t>120.86</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13.83</w:t>
      </w:r>
      <w:r>
        <w:rPr>
          <w:rFonts w:ascii="Times New Roman" w:hAnsi="Times New Roman" w:eastAsia="仿宋_GB2312" w:cs="Times New Roman"/>
          <w:sz w:val="32"/>
          <w:szCs w:val="32"/>
        </w:rPr>
        <w:t>%，主要包括办公费、印刷费、</w:t>
      </w:r>
      <w:r>
        <w:rPr>
          <w:rFonts w:hint="eastAsia" w:ascii="Times New Roman" w:hAnsi="Times New Roman" w:eastAsia="仿宋_GB2312" w:cs="Times New Roman"/>
          <w:sz w:val="32"/>
          <w:szCs w:val="32"/>
        </w:rPr>
        <w:t>邮电费</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差旅费</w:t>
      </w:r>
      <w:r>
        <w:rPr>
          <w:rFonts w:hint="eastAsia" w:ascii="Times New Roman" w:hAnsi="Times New Roman" w:eastAsia="仿宋_GB2312" w:cs="Times New Roman"/>
          <w:sz w:val="32"/>
          <w:szCs w:val="32"/>
          <w:lang w:eastAsia="zh-CN"/>
        </w:rPr>
        <w:t>、租赁费、公务接待费、劳务费、工会经费、福利费、其他交通费用、其他商品和服务支出</w:t>
      </w:r>
      <w:r>
        <w:rPr>
          <w:rFonts w:ascii="Times New Roman" w:hAnsi="Times New Roman" w:eastAsia="仿宋_GB2312" w:cs="Times New Roman"/>
          <w:sz w:val="32"/>
          <w:szCs w:val="32"/>
        </w:rPr>
        <w:t>。</w:t>
      </w:r>
    </w:p>
    <w:p>
      <w:pPr>
        <w:pStyle w:val="16"/>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cs="Times New Roman"/>
          <w:bCs/>
          <w:sz w:val="32"/>
          <w:szCs w:val="32"/>
        </w:rPr>
        <w:t>七、财政拨款“三公”经费支出决算情况说明</w:t>
      </w:r>
    </w:p>
    <w:p>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pPr>
        <w:pStyle w:val="16"/>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6</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2.98</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49.67</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0.08</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2.76</w:t>
      </w:r>
      <w:r>
        <w:rPr>
          <w:rFonts w:ascii="Times New Roman" w:hAnsi="Times New Roman" w:eastAsia="仿宋_GB2312" w:cs="Times New Roman"/>
          <w:sz w:val="32"/>
          <w:szCs w:val="32"/>
        </w:rPr>
        <w:t>%。决算数小于预算数的主要原因</w:t>
      </w:r>
      <w:r>
        <w:rPr>
          <w:rFonts w:hint="eastAsia" w:ascii="Times New Roman" w:hAnsi="Times New Roman" w:eastAsia="仿宋_GB2312"/>
          <w:sz w:val="32"/>
          <w:szCs w:val="32"/>
        </w:rPr>
        <w:t>是</w:t>
      </w:r>
      <w:r>
        <w:rPr>
          <w:rFonts w:hint="eastAsia" w:ascii="Times New Roman" w:hAnsi="Times New Roman" w:eastAsia="仿宋_GB2312"/>
          <w:sz w:val="32"/>
          <w:szCs w:val="32"/>
          <w:lang w:eastAsia="zh-CN"/>
        </w:rPr>
        <w:t>厉行节约，压减三公经费开支</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lang w:eastAsia="zh-CN"/>
        </w:rPr>
        <w:t>机构改革，公务接待费有所增长</w:t>
      </w:r>
      <w:r>
        <w:rPr>
          <w:rFonts w:ascii="Times New Roman" w:hAnsi="Times New Roman" w:eastAsia="仿宋_GB2312" w:cs="Times New Roman"/>
          <w:sz w:val="32"/>
          <w:szCs w:val="32"/>
        </w:rPr>
        <w:t>。</w:t>
      </w:r>
    </w:p>
    <w:p>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（二）“三公”经费财政拨款支出决算具体情况说明</w:t>
      </w:r>
    </w:p>
    <w:p>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val="en-US" w:eastAsia="zh-CN"/>
        </w:rPr>
      </w:pPr>
      <w:r>
        <w:rPr>
          <w:rFonts w:ascii="Times New Roman" w:hAnsi="Times New Roman" w:eastAsia="仿宋_GB2312" w:cs="Times New Roman"/>
          <w:sz w:val="32"/>
          <w:szCs w:val="32"/>
          <w:highlight w:val="none"/>
        </w:rPr>
        <w:t>1.因公出国（境）费支出预算为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val="en-US" w:eastAsia="zh-CN"/>
        </w:rPr>
        <w:t>与上年持平。</w:t>
      </w:r>
      <w:r>
        <w:rPr>
          <w:rFonts w:ascii="Times New Roman" w:hAnsi="Times New Roman" w:eastAsia="仿宋_GB2312" w:cs="Times New Roman"/>
          <w:sz w:val="32"/>
          <w:szCs w:val="32"/>
          <w:highlight w:val="none"/>
        </w:rPr>
        <w:t>2024年度安排因公出国（境）团组</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个，累计</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人次。</w:t>
      </w:r>
    </w:p>
    <w:p>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2.</w:t>
      </w:r>
      <w:r>
        <w:rPr>
          <w:rFonts w:ascii="Times New Roman" w:hAnsi="Times New Roman" w:eastAsia="仿宋_GB2312" w:cs="Times New Roman"/>
          <w:sz w:val="32"/>
          <w:szCs w:val="32"/>
          <w:highlight w:val="none"/>
        </w:rPr>
        <w:t>公务用车购置费及运行维护费支出预算为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val="en-US" w:eastAsia="zh-CN"/>
        </w:rPr>
        <w:t>,与上年持平。</w:t>
      </w:r>
    </w:p>
    <w:p>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val="en-US" w:eastAsia="zh-CN"/>
        </w:rPr>
      </w:pPr>
      <w:r>
        <w:rPr>
          <w:rFonts w:ascii="Times New Roman" w:hAnsi="Times New Roman" w:eastAsia="仿宋_GB2312" w:cs="Times New Roman"/>
          <w:sz w:val="32"/>
          <w:szCs w:val="32"/>
          <w:highlight w:val="none"/>
        </w:rPr>
        <w:t>公务用车购置费支出预算为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val="en-US" w:eastAsia="zh-CN"/>
        </w:rPr>
        <w:t>与上年相比持平。湖南省农民科技教育培训中心</w:t>
      </w:r>
      <w:r>
        <w:rPr>
          <w:rFonts w:ascii="Times New Roman" w:hAnsi="Times New Roman" w:eastAsia="仿宋_GB2312" w:cs="Times New Roman"/>
          <w:sz w:val="32"/>
          <w:szCs w:val="32"/>
          <w:highlight w:val="none"/>
        </w:rPr>
        <w:t>更新公务用车</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辆</w:t>
      </w:r>
      <w:r>
        <w:rPr>
          <w:rFonts w:hint="eastAsia" w:ascii="Times New Roman" w:hAnsi="Times New Roman" w:eastAsia="仿宋_GB2312" w:cs="Times New Roman"/>
          <w:sz w:val="32"/>
          <w:szCs w:val="32"/>
          <w:highlight w:val="none"/>
          <w:lang w:val="en-US" w:eastAsia="zh-CN"/>
        </w:rPr>
        <w:t>。</w:t>
      </w:r>
    </w:p>
    <w:p>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公务用车运行维护费支出预算为0万元，支出决算为0万元,与上年持平。</w:t>
      </w:r>
    </w:p>
    <w:p>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截止2024年12月31日，我单位开支财政拨款的公务用车保有量为0辆。</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ascii="Times New Roman" w:hAnsi="Times New Roman" w:eastAsia="仿宋_GB2312" w:cs="Times New Roman"/>
          <w:sz w:val="32"/>
          <w:szCs w:val="32"/>
          <w:highlight w:val="none"/>
        </w:rPr>
        <w:t>3.公务接待费支出预算为</w:t>
      </w:r>
      <w:r>
        <w:rPr>
          <w:rFonts w:hint="eastAsia" w:ascii="Times New Roman" w:hAnsi="Times New Roman" w:eastAsia="仿宋_GB2312" w:cs="Times New Roman"/>
          <w:sz w:val="32"/>
          <w:szCs w:val="32"/>
          <w:highlight w:val="none"/>
          <w:lang w:val="en-US" w:eastAsia="zh-CN"/>
        </w:rPr>
        <w:t>6</w:t>
      </w:r>
      <w:r>
        <w:rPr>
          <w:rFonts w:ascii="Times New Roman" w:hAnsi="Times New Roman" w:eastAsia="仿宋_GB2312" w:cs="Times New Roman"/>
          <w:sz w:val="32"/>
          <w:szCs w:val="32"/>
          <w:highlight w:val="none"/>
        </w:rPr>
        <w:t>万元，</w:t>
      </w:r>
      <w:r>
        <w:rPr>
          <w:rFonts w:ascii="Times New Roman" w:hAnsi="Times New Roman" w:eastAsia="仿宋_GB2312" w:cs="Times New Roman"/>
          <w:sz w:val="32"/>
          <w:szCs w:val="32"/>
        </w:rPr>
        <w:t>支出决算为</w:t>
      </w:r>
      <w:r>
        <w:rPr>
          <w:rFonts w:hint="eastAsia" w:ascii="Times New Roman" w:hAnsi="Times New Roman" w:eastAsia="仿宋_GB2312" w:cs="Times New Roman"/>
          <w:sz w:val="32"/>
          <w:szCs w:val="32"/>
          <w:lang w:val="en-US" w:eastAsia="zh-CN"/>
        </w:rPr>
        <w:t>2.98</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2.76</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0.08</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2.76</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sz w:val="32"/>
          <w:szCs w:val="32"/>
          <w:lang w:eastAsia="zh-CN"/>
        </w:rPr>
        <w:t>厉行节约，压减三公经费开支</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lang w:eastAsia="zh-CN"/>
        </w:rPr>
        <w:t>机构改革，公务接待费有所增长</w:t>
      </w:r>
      <w:r>
        <w:rPr>
          <w:rFonts w:ascii="Times New Roman" w:hAnsi="Times New Roman" w:eastAsia="仿宋_GB2312" w:cs="Times New Roman"/>
          <w:sz w:val="32"/>
          <w:szCs w:val="32"/>
        </w:rPr>
        <w:t>。2024年度</w:t>
      </w:r>
      <w:r>
        <w:rPr>
          <w:rFonts w:hint="eastAsia" w:ascii="Times New Roman" w:hAnsi="Times New Roman" w:eastAsia="仿宋_GB2312"/>
          <w:sz w:val="32"/>
          <w:szCs w:val="32"/>
        </w:rPr>
        <w:t>共接待</w:t>
      </w:r>
      <w:r>
        <w:rPr>
          <w:rFonts w:hint="eastAsia" w:ascii="Times New Roman" w:hAnsi="Times New Roman" w:eastAsia="仿宋_GB2312"/>
          <w:sz w:val="32"/>
          <w:szCs w:val="32"/>
          <w:lang w:val="en-US" w:eastAsia="zh-CN"/>
        </w:rPr>
        <w:t>团组38个，来宾162人次</w:t>
      </w:r>
      <w:r>
        <w:rPr>
          <w:rFonts w:hint="eastAsia" w:ascii="Times New Roman" w:hAnsi="Times New Roman" w:eastAsia="仿宋_GB2312"/>
          <w:sz w:val="32"/>
          <w:szCs w:val="32"/>
        </w:rPr>
        <w:t>，主要是</w:t>
      </w:r>
      <w:r>
        <w:rPr>
          <w:rFonts w:hint="eastAsia" w:ascii="Times New Roman" w:hAnsi="Times New Roman" w:eastAsia="仿宋_GB2312"/>
          <w:sz w:val="32"/>
          <w:szCs w:val="32"/>
          <w:lang w:val="en-US" w:eastAsia="zh-CN"/>
        </w:rPr>
        <w:t>各市州及所辖县市区农广校到省校来汇报工作、对接培训事宜发生的接待支出。</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pPr>
        <w:pStyle w:val="16"/>
        <w:overflowPunct w:val="0"/>
        <w:autoSpaceDE/>
        <w:autoSpaceDN/>
        <w:spacing w:line="600" w:lineRule="exact"/>
        <w:ind w:firstLine="640" w:firstLineChars="200"/>
        <w:jc w:val="both"/>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本单位无政府性基金收支。</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九、关于机关运行经费支出说明</w:t>
      </w:r>
    </w:p>
    <w:p>
      <w:pPr>
        <w:pStyle w:val="16"/>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本部门2024年度机关运行经费支出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sz w:val="32"/>
          <w:szCs w:val="32"/>
          <w:lang w:val="en-US" w:eastAsia="zh-CN"/>
        </w:rPr>
        <w:t>。与上年决算数持平。</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十、一般性支出情况说明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2024年本部门开支会议费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万元；开支培训费</w:t>
      </w:r>
      <w:r>
        <w:rPr>
          <w:rFonts w:hint="eastAsia" w:ascii="Times New Roman" w:hAnsi="Times New Roman" w:eastAsia="仿宋_GB2312" w:cs="Times New Roman"/>
          <w:sz w:val="32"/>
          <w:szCs w:val="32"/>
          <w:lang w:val="en-US" w:eastAsia="zh-CN"/>
        </w:rPr>
        <w:t>1044.16</w:t>
      </w:r>
      <w:r>
        <w:rPr>
          <w:rFonts w:ascii="Times New Roman" w:hAnsi="Times New Roman" w:eastAsia="仿宋_GB2312" w:cs="Times New Roman"/>
          <w:sz w:val="32"/>
          <w:szCs w:val="32"/>
        </w:rPr>
        <w:t>万元，用于开展</w:t>
      </w:r>
      <w:r>
        <w:rPr>
          <w:rFonts w:hint="eastAsia" w:ascii="Times New Roman" w:hAnsi="Times New Roman" w:eastAsia="仿宋_GB2312" w:cs="Times New Roman"/>
          <w:sz w:val="32"/>
          <w:szCs w:val="32"/>
          <w:lang w:eastAsia="zh-CN"/>
        </w:rPr>
        <w:t>以下六个方面的</w:t>
      </w:r>
      <w:r>
        <w:rPr>
          <w:rFonts w:ascii="Times New Roman" w:hAnsi="Times New Roman" w:eastAsia="仿宋_GB2312" w:cs="Times New Roman"/>
          <w:sz w:val="32"/>
          <w:szCs w:val="32"/>
        </w:rPr>
        <w:t>培训</w:t>
      </w:r>
      <w:r>
        <w:rPr>
          <w:rFonts w:hint="eastAsia" w:ascii="Times New Roman" w:hAnsi="Times New Roman" w:eastAsia="仿宋_GB2312" w:cs="Times New Roman"/>
          <w:sz w:val="32"/>
          <w:szCs w:val="32"/>
          <w:lang w:eastAsia="zh-CN"/>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一是</w:t>
      </w:r>
      <w:r>
        <w:rPr>
          <w:rFonts w:hint="eastAsia" w:ascii="Times New Roman" w:hAnsi="Times New Roman" w:eastAsia="仿宋_GB2312" w:cs="Times New Roman"/>
          <w:sz w:val="32"/>
          <w:szCs w:val="32"/>
        </w:rPr>
        <w:t>“农广助农”产业领军人才培训班</w:t>
      </w:r>
      <w:r>
        <w:rPr>
          <w:rFonts w:hint="eastAsia" w:ascii="Times New Roman" w:hAnsi="Times New Roman" w:eastAsia="仿宋_GB2312" w:cs="Times New Roman"/>
          <w:sz w:val="32"/>
          <w:szCs w:val="32"/>
          <w:lang w:val="en-US" w:eastAsia="zh-CN"/>
        </w:rPr>
        <w:t>39</w:t>
      </w:r>
      <w:r>
        <w:rPr>
          <w:rFonts w:hint="eastAsia" w:ascii="Times New Roman" w:hAnsi="Times New Roman" w:eastAsia="仿宋_GB2312" w:cs="Times New Roman"/>
          <w:sz w:val="32"/>
          <w:szCs w:val="32"/>
        </w:rPr>
        <w:t>期开支</w:t>
      </w:r>
      <w:r>
        <w:rPr>
          <w:rFonts w:hint="eastAsia" w:ascii="Times New Roman" w:hAnsi="Times New Roman" w:eastAsia="仿宋_GB2312" w:cs="Times New Roman"/>
          <w:sz w:val="32"/>
          <w:szCs w:val="32"/>
          <w:lang w:val="en-US" w:eastAsia="zh-CN"/>
        </w:rPr>
        <w:t>351.55</w:t>
      </w:r>
      <w:r>
        <w:rPr>
          <w:rFonts w:hint="eastAsia" w:ascii="Times New Roman" w:hAnsi="Times New Roman" w:eastAsia="仿宋_GB2312" w:cs="Times New Roman"/>
          <w:sz w:val="32"/>
          <w:szCs w:val="32"/>
        </w:rPr>
        <w:t>万元，培训</w:t>
      </w:r>
      <w:r>
        <w:rPr>
          <w:rFonts w:hint="eastAsia" w:ascii="Times New Roman" w:hAnsi="Times New Roman" w:eastAsia="仿宋_GB2312" w:cs="Times New Roman"/>
          <w:sz w:val="32"/>
          <w:szCs w:val="32"/>
          <w:lang w:val="en-US" w:eastAsia="zh-CN"/>
        </w:rPr>
        <w:t>3386</w:t>
      </w:r>
      <w:r>
        <w:rPr>
          <w:rFonts w:hint="eastAsia" w:ascii="Times New Roman" w:hAnsi="Times New Roman" w:eastAsia="仿宋_GB2312" w:cs="Times New Roman"/>
          <w:sz w:val="32"/>
          <w:szCs w:val="32"/>
        </w:rPr>
        <w:t>人次，主要培训全省各市州、县市区农业产业领军人才、家庭农场主、合作社理事长等新型农业经营主体</w:t>
      </w:r>
      <w:r>
        <w:rPr>
          <w:rFonts w:hint="eastAsia" w:ascii="Times New Roman" w:hAnsi="Times New Roman" w:eastAsia="仿宋_GB2312" w:cs="Times New Roman"/>
          <w:sz w:val="32"/>
          <w:szCs w:val="32"/>
          <w:lang w:eastAsia="zh-CN"/>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二是开展“三农”干部走出去培训班</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期，</w:t>
      </w:r>
      <w:r>
        <w:rPr>
          <w:rFonts w:hint="eastAsia" w:ascii="Times New Roman" w:hAnsi="Times New Roman" w:eastAsia="仿宋_GB2312" w:cs="Times New Roman"/>
          <w:sz w:val="32"/>
          <w:szCs w:val="32"/>
          <w:lang w:val="en-US" w:eastAsia="zh-CN"/>
        </w:rPr>
        <w:t>培训131人次，</w:t>
      </w:r>
      <w:r>
        <w:rPr>
          <w:rFonts w:hint="eastAsia" w:ascii="Times New Roman" w:hAnsi="Times New Roman" w:eastAsia="仿宋_GB2312" w:cs="Times New Roman"/>
          <w:sz w:val="32"/>
          <w:szCs w:val="32"/>
        </w:rPr>
        <w:t>开支培训费</w:t>
      </w:r>
      <w:r>
        <w:rPr>
          <w:rFonts w:hint="eastAsia" w:ascii="Times New Roman" w:hAnsi="Times New Roman" w:eastAsia="仿宋_GB2312" w:cs="Times New Roman"/>
          <w:sz w:val="32"/>
          <w:szCs w:val="32"/>
          <w:lang w:val="en-US" w:eastAsia="zh-CN"/>
        </w:rPr>
        <w:t>24.37</w:t>
      </w:r>
      <w:r>
        <w:rPr>
          <w:rFonts w:hint="eastAsia"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主要是培训全省各市州、县市区“三农”战线的干部。</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三是2024年用于现代农业农村发展专项开支456.18万元，开展农业农村业务培训班34期，培训人数5883人次。</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四</w:t>
      </w:r>
      <w:r>
        <w:rPr>
          <w:rFonts w:hint="eastAsia" w:ascii="Times New Roman" w:hAnsi="Times New Roman" w:eastAsia="仿宋_GB2312" w:cs="Times New Roman"/>
          <w:sz w:val="32"/>
          <w:szCs w:val="32"/>
        </w:rPr>
        <w:t>是农民田间学校实用技术培训班</w:t>
      </w:r>
      <w:r>
        <w:rPr>
          <w:rFonts w:hint="eastAsia" w:ascii="Times New Roman" w:hAnsi="Times New Roman" w:eastAsia="仿宋_GB2312" w:cs="Times New Roman"/>
          <w:sz w:val="32"/>
          <w:szCs w:val="32"/>
          <w:lang w:val="en-US" w:eastAsia="zh-CN"/>
        </w:rPr>
        <w:t>38</w:t>
      </w:r>
      <w:r>
        <w:rPr>
          <w:rFonts w:hint="eastAsia" w:ascii="Times New Roman" w:hAnsi="Times New Roman" w:eastAsia="仿宋_GB2312" w:cs="Times New Roman"/>
          <w:sz w:val="32"/>
          <w:szCs w:val="32"/>
        </w:rPr>
        <w:t>期开支</w:t>
      </w:r>
      <w:r>
        <w:rPr>
          <w:rFonts w:hint="eastAsia" w:ascii="Times New Roman" w:hAnsi="Times New Roman" w:eastAsia="仿宋_GB2312" w:cs="Times New Roman"/>
          <w:sz w:val="32"/>
          <w:szCs w:val="32"/>
          <w:lang w:val="en-US" w:eastAsia="zh-CN"/>
        </w:rPr>
        <w:t>130.46</w:t>
      </w:r>
      <w:r>
        <w:rPr>
          <w:rFonts w:hint="eastAsia" w:ascii="Times New Roman" w:hAnsi="Times New Roman" w:eastAsia="仿宋_GB2312" w:cs="Times New Roman"/>
          <w:sz w:val="32"/>
          <w:szCs w:val="32"/>
        </w:rPr>
        <w:t>万元，培训人数</w:t>
      </w:r>
      <w:r>
        <w:rPr>
          <w:rFonts w:hint="eastAsia" w:ascii="Times New Roman" w:hAnsi="Times New Roman" w:eastAsia="仿宋_GB2312" w:cs="Times New Roman"/>
          <w:sz w:val="32"/>
          <w:szCs w:val="32"/>
          <w:lang w:val="en-US" w:eastAsia="zh-CN"/>
        </w:rPr>
        <w:t>1927</w:t>
      </w:r>
      <w:r>
        <w:rPr>
          <w:rFonts w:hint="eastAsia" w:ascii="Times New Roman" w:hAnsi="Times New Roman" w:eastAsia="仿宋_GB2312" w:cs="Times New Roman"/>
          <w:sz w:val="32"/>
          <w:szCs w:val="32"/>
        </w:rPr>
        <w:t>人</w:t>
      </w:r>
      <w:r>
        <w:rPr>
          <w:rFonts w:hint="eastAsia" w:ascii="Times New Roman" w:hAnsi="Times New Roman" w:eastAsia="仿宋_GB2312" w:cs="Times New Roman"/>
          <w:sz w:val="32"/>
          <w:szCs w:val="32"/>
          <w:lang w:val="en-US" w:eastAsia="zh-CN"/>
        </w:rPr>
        <w:t>次</w:t>
      </w:r>
      <w:r>
        <w:rPr>
          <w:rFonts w:hint="eastAsia" w:ascii="Times New Roman" w:hAnsi="Times New Roman" w:eastAsia="仿宋_GB2312" w:cs="Times New Roman"/>
          <w:sz w:val="32"/>
          <w:szCs w:val="32"/>
        </w:rPr>
        <w:t>，主要是农业实用新技术的培训推广</w:t>
      </w:r>
      <w:r>
        <w:rPr>
          <w:rFonts w:hint="eastAsia" w:ascii="Times New Roman" w:hAnsi="Times New Roman" w:eastAsia="仿宋_GB2312" w:cs="Times New Roman"/>
          <w:sz w:val="32"/>
          <w:szCs w:val="32"/>
          <w:lang w:eastAsia="zh-CN"/>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五是开展农村体育文化健身活动4期，开支金额64.92万元，参训人数500余人，主要</w:t>
      </w:r>
      <w:r>
        <w:rPr>
          <w:rFonts w:hint="eastAsia" w:ascii="Times New Roman" w:hAnsi="Times New Roman" w:eastAsia="仿宋_GB2312" w:cs="Times New Roman"/>
          <w:sz w:val="32"/>
          <w:szCs w:val="32"/>
        </w:rPr>
        <w:t>举办全省广场舞、八段锦等农村社会体育指导员培训</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及</w:t>
      </w:r>
      <w:r>
        <w:rPr>
          <w:rFonts w:hint="eastAsia" w:ascii="Times New Roman" w:hAnsi="Times New Roman" w:eastAsia="仿宋_GB2312" w:cs="Times New Roman"/>
          <w:sz w:val="32"/>
          <w:szCs w:val="32"/>
        </w:rPr>
        <w:t>篮球、气排球二级裁判员培训</w:t>
      </w:r>
      <w:r>
        <w:rPr>
          <w:rFonts w:hint="eastAsia" w:ascii="Times New Roman" w:hAnsi="Times New Roman" w:eastAsia="仿宋_GB2312" w:cs="Times New Roman"/>
          <w:sz w:val="32"/>
          <w:szCs w:val="32"/>
          <w:lang w:eastAsia="zh-CN"/>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六</w:t>
      </w:r>
      <w:r>
        <w:rPr>
          <w:rFonts w:hint="eastAsia" w:ascii="Times New Roman" w:hAnsi="Times New Roman" w:eastAsia="仿宋_GB2312" w:cs="Times New Roman"/>
          <w:sz w:val="32"/>
          <w:szCs w:val="32"/>
          <w:lang w:val="en-US" w:eastAsia="zh-CN"/>
        </w:rPr>
        <w:t>是举办</w:t>
      </w:r>
      <w:r>
        <w:rPr>
          <w:rFonts w:hint="eastAsia" w:ascii="Times New Roman" w:hAnsi="Times New Roman" w:eastAsia="仿宋_GB2312" w:cs="Times New Roman"/>
          <w:sz w:val="32"/>
          <w:szCs w:val="32"/>
        </w:rPr>
        <w:t>全省农民教育培训提质暨基层农广校校长能力提升班</w:t>
      </w:r>
      <w:r>
        <w:rPr>
          <w:rFonts w:hint="eastAsia" w:ascii="Times New Roman" w:hAnsi="Times New Roman" w:eastAsia="仿宋_GB2312" w:cs="Times New Roman"/>
          <w:sz w:val="32"/>
          <w:szCs w:val="32"/>
          <w:lang w:val="en-US" w:eastAsia="zh-CN"/>
        </w:rPr>
        <w:t>1期16.68万元，召开市州农广校校长座谈会，全面提升体系业务能力，全面梳理体系存在问题、面临的挑战机遇，初步明确体系未来发展方向。</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未举办节庆、晚会、论坛、赛事活动</w:t>
      </w:r>
      <w:r>
        <w:rPr>
          <w:rFonts w:ascii="Times New Roman" w:hAnsi="Times New Roman" w:eastAsia="仿宋_GB2312" w:cs="Times New Roman"/>
          <w:sz w:val="32"/>
          <w:szCs w:val="32"/>
        </w:rPr>
        <w:t>。</w:t>
      </w:r>
    </w:p>
    <w:p>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lang w:val="en-US" w:eastAsia="zh-CN"/>
        </w:rPr>
        <w:t>本部门2024年度政府采购支出总额67.17万元，其中：政府采购货物支出0.71万元、政府采购工程支出0万元、政府采购服务支出66.46万元。授予中小企业合同金额67.17万元，占政府采购支出总额的100%，其中：授予小微企业合同金额67.17万元，占授予中小企业合同金额的100%</w:t>
      </w:r>
      <w:r>
        <w:rPr>
          <w:rFonts w:hint="eastAsia" w:ascii="Times New Roman" w:hAnsi="Times New Roman" w:eastAsia="仿宋_GB2312" w:cs="Times New Roman"/>
          <w:sz w:val="32"/>
          <w:szCs w:val="32"/>
          <w:highlight w:val="none"/>
          <w:lang w:val="en-US" w:eastAsia="zh-CN"/>
        </w:rPr>
        <w:t>。货物采购授予中小企业合同金额占货物支出金额的100%，务采购授予中小企业合同金额占服务支出金额的100%。</w:t>
      </w:r>
    </w:p>
    <w:p>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截至2024年12月31日，单位共有车辆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辆，其中，副部（省）级及以上领导用车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辆、主要负责人用车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辆、机要通信用车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辆、特种专业技术用车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辆、其他用车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辆；单位价值100万元以上设备（不含车辆）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台（套）。</w:t>
      </w:r>
    </w:p>
    <w:p>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pPr>
        <w:overflowPunct w:val="0"/>
        <w:spacing w:line="600" w:lineRule="exact"/>
        <w:ind w:firstLine="640" w:firstLineChars="200"/>
        <w:rPr>
          <w:rFonts w:ascii="Times New Roman" w:hAnsi="Times New Roman" w:eastAsia="仿宋_GB2312" w:cs="Times New Roman"/>
          <w:kern w:val="0"/>
          <w:sz w:val="32"/>
          <w:szCs w:val="32"/>
          <w:highlight w:val="yellow"/>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b/>
          <w:bCs/>
          <w:kern w:val="0"/>
          <w:sz w:val="32"/>
          <w:szCs w:val="32"/>
        </w:rPr>
        <w:t>一是绩效自评开展情况。</w:t>
      </w:r>
      <w:r>
        <w:rPr>
          <w:rFonts w:ascii="Times New Roman" w:hAnsi="Times New Roman" w:eastAsia="仿宋_GB2312" w:cs="Times New Roman"/>
          <w:kern w:val="0"/>
          <w:sz w:val="32"/>
          <w:szCs w:val="32"/>
        </w:rPr>
        <w:t>组织对2024年度</w:t>
      </w:r>
      <w:r>
        <w:rPr>
          <w:rFonts w:ascii="Times New Roman" w:hAnsi="Times New Roman" w:eastAsia="仿宋_GB2312" w:cs="Times New Roman"/>
          <w:color w:val="auto"/>
          <w:sz w:val="32"/>
          <w:szCs w:val="32"/>
        </w:rPr>
        <w:t>单位</w:t>
      </w:r>
      <w:r>
        <w:rPr>
          <w:rFonts w:ascii="Times New Roman" w:hAnsi="Times New Roman" w:eastAsia="仿宋_GB2312" w:cs="Times New Roman"/>
          <w:kern w:val="0"/>
          <w:sz w:val="32"/>
          <w:szCs w:val="32"/>
        </w:rPr>
        <w:t>整体支出开展绩效自评，涉及项目</w:t>
      </w:r>
      <w:r>
        <w:rPr>
          <w:rFonts w:hint="eastAsia" w:ascii="Times New Roman" w:hAnsi="Times New Roman" w:eastAsia="仿宋_GB2312" w:cs="Times New Roman"/>
          <w:kern w:val="0"/>
          <w:sz w:val="32"/>
          <w:szCs w:val="32"/>
          <w:lang w:val="en-US" w:eastAsia="zh-CN"/>
        </w:rPr>
        <w:t>4</w:t>
      </w:r>
      <w:r>
        <w:rPr>
          <w:rFonts w:ascii="Times New Roman" w:hAnsi="Times New Roman" w:eastAsia="仿宋_GB2312" w:cs="Times New Roman"/>
          <w:kern w:val="0"/>
          <w:sz w:val="32"/>
          <w:szCs w:val="32"/>
        </w:rPr>
        <w:t>个，共涉</w:t>
      </w:r>
      <w:r>
        <w:rPr>
          <w:rFonts w:ascii="Times New Roman" w:hAnsi="Times New Roman" w:eastAsia="仿宋_GB2312" w:cs="Times New Roman"/>
          <w:kern w:val="0"/>
          <w:sz w:val="32"/>
          <w:szCs w:val="32"/>
          <w:highlight w:val="none"/>
        </w:rPr>
        <w:t>及资金</w:t>
      </w:r>
      <w:r>
        <w:rPr>
          <w:rFonts w:hint="eastAsia" w:ascii="Times New Roman" w:hAnsi="Times New Roman" w:eastAsia="仿宋_GB2312" w:cs="Times New Roman"/>
          <w:kern w:val="0"/>
          <w:sz w:val="32"/>
          <w:szCs w:val="32"/>
          <w:highlight w:val="none"/>
          <w:lang w:val="en-US" w:eastAsia="zh-CN"/>
        </w:rPr>
        <w:t>1148.7</w:t>
      </w:r>
      <w:r>
        <w:rPr>
          <w:rFonts w:ascii="Times New Roman" w:hAnsi="Times New Roman" w:eastAsia="仿宋_GB2312" w:cs="Times New Roman"/>
          <w:kern w:val="0"/>
          <w:sz w:val="32"/>
          <w:szCs w:val="32"/>
          <w:highlight w:val="none"/>
        </w:rPr>
        <w:t>万元。其中，一般公共预算项目</w:t>
      </w:r>
      <w:r>
        <w:rPr>
          <w:rFonts w:hint="eastAsia" w:ascii="Times New Roman" w:hAnsi="Times New Roman" w:eastAsia="仿宋_GB2312" w:cs="Times New Roman"/>
          <w:kern w:val="0"/>
          <w:sz w:val="32"/>
          <w:szCs w:val="32"/>
          <w:highlight w:val="none"/>
          <w:lang w:val="en-US" w:eastAsia="zh-CN"/>
        </w:rPr>
        <w:t>4</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1148.7</w:t>
      </w:r>
      <w:r>
        <w:rPr>
          <w:rFonts w:ascii="Times New Roman" w:hAnsi="Times New Roman" w:eastAsia="仿宋_GB2312" w:cs="Times New Roman"/>
          <w:kern w:val="0"/>
          <w:sz w:val="32"/>
          <w:szCs w:val="32"/>
          <w:highlight w:val="none"/>
        </w:rPr>
        <w:t>万元，占一般公共预算支出总额的</w:t>
      </w:r>
      <w:r>
        <w:rPr>
          <w:rFonts w:hint="eastAsia" w:ascii="Times New Roman" w:hAnsi="Times New Roman" w:eastAsia="仿宋_GB2312" w:cs="Times New Roman"/>
          <w:kern w:val="0"/>
          <w:sz w:val="32"/>
          <w:szCs w:val="32"/>
          <w:highlight w:val="none"/>
          <w:lang w:val="en-US" w:eastAsia="zh-CN"/>
        </w:rPr>
        <w:t>56.79</w:t>
      </w:r>
      <w:r>
        <w:rPr>
          <w:rFonts w:ascii="Times New Roman" w:hAnsi="Times New Roman" w:eastAsia="仿宋_GB2312" w:cs="Times New Roman"/>
          <w:kern w:val="0"/>
          <w:sz w:val="32"/>
          <w:szCs w:val="32"/>
          <w:highlight w:val="none"/>
        </w:rPr>
        <w:t>%；政府性基金预算项</w:t>
      </w:r>
      <w:r>
        <w:rPr>
          <w:rFonts w:ascii="Times New Roman" w:hAnsi="Times New Roman" w:eastAsia="仿宋_GB2312" w:cs="Times New Roman"/>
          <w:kern w:val="0"/>
          <w:sz w:val="32"/>
          <w:szCs w:val="32"/>
        </w:rPr>
        <w:t>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w:t>
      </w:r>
      <w:r>
        <w:rPr>
          <w:rFonts w:ascii="Times New Roman" w:hAnsi="Times New Roman" w:eastAsia="仿宋_GB2312" w:cs="Times New Roman"/>
          <w:kern w:val="0"/>
          <w:sz w:val="32"/>
          <w:szCs w:val="32"/>
          <w:highlight w:val="none"/>
        </w:rPr>
        <w:t>万元；国有资本经营预算项目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 xml:space="preserve"> 个</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 xml:space="preserve"> 万元；社会保险基金预算项目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 xml:space="preserve"> 个</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万元。</w:t>
      </w:r>
      <w:bookmarkStart w:id="3" w:name="_GoBack"/>
      <w:bookmarkEnd w:id="3"/>
    </w:p>
    <w:p>
      <w:pPr>
        <w:spacing w:line="560" w:lineRule="atLeast"/>
        <w:ind w:firstLine="640" w:firstLineChars="200"/>
        <w:rPr>
          <w:rFonts w:ascii="Times New Roman" w:hAnsi="Times New Roman" w:eastAsia="仿宋_GB2312" w:cs="Times New Roman"/>
          <w:sz w:val="32"/>
          <w:szCs w:val="32"/>
        </w:rPr>
      </w:pPr>
      <w:r>
        <w:rPr>
          <w:rFonts w:ascii="Times New Roman" w:hAnsi="Times New Roman" w:eastAsia="楷体_GB2312" w:cs="Times New Roman"/>
          <w:b/>
          <w:bCs/>
          <w:sz w:val="32"/>
          <w:szCs w:val="32"/>
        </w:rPr>
        <w:t>（二）绩效评价结果。</w:t>
      </w:r>
      <w:r>
        <w:rPr>
          <w:rFonts w:ascii="Times New Roman" w:hAnsi="Times New Roman" w:eastAsia="仿宋_GB2312" w:cs="Times New Roman"/>
          <w:b/>
          <w:bCs/>
          <w:kern w:val="0"/>
          <w:sz w:val="32"/>
          <w:szCs w:val="32"/>
        </w:rPr>
        <w:t>一是绩效自评结果。</w:t>
      </w:r>
      <w:r>
        <w:rPr>
          <w:rFonts w:ascii="Times New Roman" w:hAnsi="Times New Roman" w:eastAsia="仿宋_GB2312" w:cs="Times New Roman"/>
          <w:kern w:val="0"/>
          <w:sz w:val="32"/>
          <w:szCs w:val="32"/>
        </w:rPr>
        <w:t>2024年度</w:t>
      </w:r>
      <w:r>
        <w:rPr>
          <w:rFonts w:ascii="Times New Roman" w:hAnsi="Times New Roman" w:eastAsia="仿宋_GB2312" w:cs="Times New Roman"/>
          <w:color w:val="auto"/>
          <w:sz w:val="32"/>
          <w:szCs w:val="32"/>
        </w:rPr>
        <w:t>单位</w:t>
      </w:r>
      <w:r>
        <w:rPr>
          <w:rFonts w:ascii="Times New Roman" w:hAnsi="Times New Roman" w:eastAsia="仿宋_GB2312" w:cs="Times New Roman"/>
          <w:kern w:val="0"/>
          <w:sz w:val="32"/>
          <w:szCs w:val="32"/>
        </w:rPr>
        <w:t>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2858.37</w:t>
      </w:r>
      <w:r>
        <w:rPr>
          <w:rFonts w:ascii="Times New Roman" w:hAnsi="Times New Roman" w:eastAsia="仿宋_GB2312" w:cs="Times New Roman"/>
          <w:sz w:val="32"/>
          <w:szCs w:val="32"/>
        </w:rPr>
        <w:t>万元，执行数</w:t>
      </w:r>
      <w:r>
        <w:rPr>
          <w:rFonts w:hint="eastAsia" w:ascii="Times New Roman" w:hAnsi="Times New Roman" w:eastAsia="仿宋_GB2312" w:cs="Times New Roman"/>
          <w:kern w:val="0"/>
          <w:sz w:val="32"/>
          <w:szCs w:val="32"/>
          <w:lang w:val="en-US" w:eastAsia="zh-CN"/>
        </w:rPr>
        <w:t>2022.83</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70.77</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91.1</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w:t>
      </w:r>
      <w:r>
        <w:rPr>
          <w:rFonts w:ascii="Times New Roman" w:hAnsi="Times New Roman" w:eastAsia="仿宋_GB2312" w:cs="Times New Roman"/>
          <w:sz w:val="32"/>
          <w:szCs w:val="32"/>
        </w:rPr>
        <w:t>评价等级为“</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w:t>
      </w:r>
    </w:p>
    <w:p>
      <w:pPr>
        <w:spacing w:line="560" w:lineRule="atLeast"/>
        <w:ind w:firstLine="640" w:firstLineChars="200"/>
        <w:rPr>
          <w:rFonts w:hint="eastAsia" w:ascii="Times New Roman" w:hAnsi="Times New Roman" w:eastAsia="仿宋_GB2312"/>
          <w:color w:val="auto"/>
          <w:sz w:val="32"/>
          <w:szCs w:val="32"/>
          <w:lang w:eastAsia="zh-CN"/>
        </w:rPr>
      </w:pPr>
      <w:r>
        <w:rPr>
          <w:rFonts w:ascii="Times New Roman" w:hAnsi="Times New Roman" w:eastAsia="仿宋_GB2312" w:cs="Times New Roman"/>
          <w:sz w:val="32"/>
          <w:szCs w:val="32"/>
        </w:rPr>
        <w:t>绩效目标完成情况：一是</w:t>
      </w:r>
      <w:r>
        <w:rPr>
          <w:rFonts w:hint="eastAsia" w:ascii="Times New Roman" w:hAnsi="Times New Roman" w:eastAsia="仿宋_GB2312" w:cs="Times New Roman"/>
          <w:kern w:val="0"/>
          <w:sz w:val="32"/>
          <w:szCs w:val="32"/>
        </w:rPr>
        <w:t>严控运行成本</w:t>
      </w:r>
      <w:r>
        <w:rPr>
          <w:rFonts w:hint="eastAsia" w:ascii="Times New Roman" w:hAnsi="Times New Roman" w:eastAsia="仿宋_GB2312" w:cs="Times New Roman"/>
          <w:kern w:val="0"/>
          <w:sz w:val="32"/>
          <w:szCs w:val="32"/>
          <w:lang w:eastAsia="zh-CN"/>
        </w:rPr>
        <w:t>方面：</w:t>
      </w:r>
      <w:r>
        <w:rPr>
          <w:rFonts w:hint="eastAsia" w:ascii="Times New Roman" w:hAnsi="Times New Roman" w:eastAsia="仿宋_GB2312"/>
          <w:color w:val="auto"/>
          <w:sz w:val="32"/>
          <w:szCs w:val="32"/>
        </w:rPr>
        <w:t>资金使用效率良好，确保了各项培训工作的顺利开展</w:t>
      </w:r>
      <w:r>
        <w:rPr>
          <w:rFonts w:ascii="Times New Roman" w:hAnsi="Times New Roman" w:eastAsia="仿宋_GB2312" w:cs="Times New Roman"/>
          <w:sz w:val="32"/>
          <w:szCs w:val="32"/>
        </w:rPr>
        <w:t>；</w:t>
      </w:r>
      <w:r>
        <w:rPr>
          <w:rFonts w:hint="eastAsia" w:ascii="Times New Roman" w:hAnsi="Times New Roman" w:eastAsia="仿宋_GB2312"/>
          <w:color w:val="auto"/>
          <w:sz w:val="32"/>
          <w:szCs w:val="32"/>
        </w:rPr>
        <w:t>其中公务接待费</w:t>
      </w:r>
      <w:r>
        <w:rPr>
          <w:rFonts w:hint="eastAsia" w:ascii="Times New Roman" w:hAnsi="Times New Roman" w:eastAsia="仿宋_GB2312"/>
          <w:color w:val="auto"/>
          <w:sz w:val="32"/>
          <w:szCs w:val="32"/>
          <w:lang w:val="en-US" w:eastAsia="zh-CN"/>
        </w:rPr>
        <w:t>2.98</w:t>
      </w:r>
      <w:r>
        <w:rPr>
          <w:rFonts w:hint="eastAsia" w:ascii="Times New Roman" w:hAnsi="Times New Roman" w:eastAsia="仿宋_GB2312"/>
          <w:color w:val="auto"/>
          <w:sz w:val="32"/>
          <w:szCs w:val="32"/>
        </w:rPr>
        <w:t>万元、公务用车运行维护费</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万元、车辆购置费支出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万元，较年初预算</w:t>
      </w:r>
      <w:r>
        <w:rPr>
          <w:rFonts w:hint="eastAsia" w:ascii="Times New Roman" w:hAnsi="Times New Roman" w:eastAsia="仿宋_GB2312"/>
          <w:color w:val="auto"/>
          <w:sz w:val="32"/>
          <w:szCs w:val="32"/>
          <w:lang w:val="en-US" w:eastAsia="zh-CN"/>
        </w:rPr>
        <w:t>6</w:t>
      </w:r>
      <w:r>
        <w:rPr>
          <w:rFonts w:hint="eastAsia" w:ascii="Times New Roman" w:hAnsi="Times New Roman" w:eastAsia="仿宋_GB2312"/>
          <w:color w:val="auto"/>
          <w:sz w:val="32"/>
          <w:szCs w:val="32"/>
        </w:rPr>
        <w:t>万元节约</w:t>
      </w:r>
      <w:r>
        <w:rPr>
          <w:rFonts w:hint="eastAsia" w:ascii="Times New Roman" w:hAnsi="Times New Roman" w:eastAsia="仿宋_GB2312"/>
          <w:color w:val="auto"/>
          <w:sz w:val="32"/>
          <w:szCs w:val="32"/>
          <w:lang w:val="en-US" w:eastAsia="zh-CN"/>
        </w:rPr>
        <w:t>3.02</w:t>
      </w:r>
      <w:r>
        <w:rPr>
          <w:rFonts w:hint="eastAsia" w:ascii="Times New Roman" w:hAnsi="Times New Roman" w:eastAsia="仿宋_GB2312"/>
          <w:color w:val="auto"/>
          <w:sz w:val="32"/>
          <w:szCs w:val="32"/>
        </w:rPr>
        <w:t>万元，节约比为</w:t>
      </w:r>
      <w:r>
        <w:rPr>
          <w:rFonts w:hint="eastAsia" w:ascii="Times New Roman" w:hAnsi="Times New Roman" w:eastAsia="仿宋_GB2312"/>
          <w:color w:val="auto"/>
          <w:sz w:val="32"/>
          <w:szCs w:val="32"/>
          <w:lang w:val="en-US" w:eastAsia="zh-CN"/>
        </w:rPr>
        <w:t>50.33</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通过严格的财务管理和审计监督，确保了资金使用的合规性和有效性，全年未发现违纪违法情况</w:t>
      </w:r>
      <w:r>
        <w:rPr>
          <w:rFonts w:hint="eastAsia" w:ascii="Times New Roman" w:hAnsi="Times New Roman" w:eastAsia="仿宋_GB2312"/>
          <w:color w:val="auto"/>
          <w:sz w:val="32"/>
          <w:szCs w:val="32"/>
          <w:lang w:eastAsia="zh-CN"/>
        </w:rPr>
        <w:t>。</w:t>
      </w:r>
    </w:p>
    <w:p>
      <w:pPr>
        <w:spacing w:line="560" w:lineRule="atLeast"/>
        <w:ind w:firstLine="640" w:firstLineChars="200"/>
        <w:rPr>
          <w:rFonts w:hint="eastAsia" w:ascii="仿宋_GB2312" w:hAnsi="仿宋" w:eastAsia="仿宋_GB2312" w:cs="仿宋"/>
          <w:color w:val="000000"/>
          <w:kern w:val="0"/>
          <w:sz w:val="32"/>
          <w:szCs w:val="32"/>
        </w:rPr>
      </w:pPr>
      <w:r>
        <w:rPr>
          <w:rFonts w:ascii="Times New Roman" w:hAnsi="Times New Roman" w:eastAsia="仿宋_GB2312" w:cs="Times New Roman"/>
          <w:sz w:val="32"/>
          <w:szCs w:val="32"/>
        </w:rPr>
        <w:t>二是</w:t>
      </w:r>
      <w:r>
        <w:rPr>
          <w:rFonts w:hint="eastAsia" w:eastAsia="仿宋_GB2312"/>
          <w:b w:val="0"/>
          <w:bCs w:val="0"/>
          <w:color w:val="auto"/>
          <w:sz w:val="32"/>
          <w:szCs w:val="32"/>
          <w:lang w:val="en-US" w:eastAsia="zh-CN"/>
        </w:rPr>
        <w:t>培训管理方面：1、</w:t>
      </w:r>
      <w:r>
        <w:rPr>
          <w:rFonts w:hint="eastAsia" w:ascii="Times New Roman" w:hAnsi="Times New Roman" w:eastAsia="仿宋_GB2312"/>
          <w:color w:val="auto"/>
          <w:sz w:val="32"/>
          <w:szCs w:val="32"/>
        </w:rPr>
        <w:t>围绕全省农业主导产业、优势产业和特色产业，联合基层农广校以及省畜牧兽医研究所、省蚕科所等科研院所，面向产业生产经营主要从业人员，开展产业技术和经营管理知识专项培训，组织培训</w:t>
      </w:r>
      <w:r>
        <w:rPr>
          <w:rFonts w:hint="eastAsia" w:eastAsia="仿宋_GB2312"/>
          <w:color w:val="auto"/>
          <w:sz w:val="32"/>
          <w:szCs w:val="32"/>
          <w:lang w:val="en-US" w:eastAsia="zh-CN"/>
        </w:rPr>
        <w:t>39</w:t>
      </w:r>
      <w:r>
        <w:rPr>
          <w:rFonts w:hint="eastAsia" w:ascii="Times New Roman" w:hAnsi="Times New Roman" w:eastAsia="仿宋_GB2312"/>
          <w:color w:val="auto"/>
          <w:sz w:val="32"/>
          <w:szCs w:val="32"/>
        </w:rPr>
        <w:t>期，培训</w:t>
      </w:r>
      <w:r>
        <w:rPr>
          <w:rFonts w:hint="eastAsia" w:eastAsia="仿宋_GB2312"/>
          <w:color w:val="auto"/>
          <w:sz w:val="32"/>
          <w:szCs w:val="32"/>
          <w:lang w:val="en-US" w:eastAsia="zh-CN"/>
        </w:rPr>
        <w:t>3386</w:t>
      </w:r>
      <w:r>
        <w:rPr>
          <w:rFonts w:hint="eastAsia" w:ascii="Times New Roman" w:hAnsi="Times New Roman" w:eastAsia="仿宋_GB2312"/>
          <w:color w:val="auto"/>
          <w:sz w:val="32"/>
          <w:szCs w:val="32"/>
        </w:rPr>
        <w:t>人次</w:t>
      </w:r>
      <w:r>
        <w:rPr>
          <w:rFonts w:hint="eastAsia" w:ascii="仿宋_GB2312" w:hAnsi="仿宋_GB2312" w:eastAsia="仿宋_GB2312" w:cs="仿宋_GB2312"/>
          <w:sz w:val="32"/>
          <w:szCs w:val="32"/>
          <w:lang w:val="en-US" w:eastAsia="zh-CN"/>
        </w:rPr>
        <w:t>。2、组织</w:t>
      </w:r>
      <w:r>
        <w:rPr>
          <w:rFonts w:hint="default" w:ascii="仿宋_GB2312" w:hAnsi="仿宋_GB2312" w:eastAsia="仿宋_GB2312" w:cs="仿宋_GB2312"/>
          <w:sz w:val="32"/>
          <w:szCs w:val="32"/>
          <w:lang w:val="en-US" w:eastAsia="zh-CN"/>
        </w:rPr>
        <w:t>全省</w:t>
      </w:r>
      <w:r>
        <w:rPr>
          <w:rFonts w:hint="eastAsia" w:ascii="仿宋_GB2312" w:hAnsi="仿宋_GB2312" w:eastAsia="仿宋_GB2312" w:cs="仿宋_GB2312"/>
          <w:sz w:val="32"/>
          <w:szCs w:val="32"/>
          <w:lang w:val="en-US" w:eastAsia="zh-CN"/>
        </w:rPr>
        <w:t>村级集体经济发展、农村人才培养等</w:t>
      </w:r>
      <w:r>
        <w:rPr>
          <w:rFonts w:hint="default" w:ascii="仿宋_GB2312" w:hAnsi="仿宋_GB2312" w:eastAsia="仿宋_GB2312" w:cs="仿宋_GB2312"/>
          <w:sz w:val="32"/>
          <w:szCs w:val="32"/>
          <w:lang w:val="en-US" w:eastAsia="zh-CN"/>
        </w:rPr>
        <w:t>领域的</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三农</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干部，实地</w:t>
      </w:r>
      <w:r>
        <w:rPr>
          <w:rFonts w:hint="eastAsia" w:ascii="仿宋_GB2312" w:hAnsi="仿宋_GB2312" w:eastAsia="仿宋_GB2312" w:cs="仿宋_GB2312"/>
          <w:sz w:val="32"/>
          <w:szCs w:val="32"/>
          <w:lang w:val="en-US" w:eastAsia="zh-CN"/>
        </w:rPr>
        <w:t>考察学习外省先进经验和做法。</w:t>
      </w:r>
      <w:r>
        <w:rPr>
          <w:rFonts w:hint="default" w:ascii="仿宋_GB2312" w:hAnsi="仿宋_GB2312" w:eastAsia="仿宋_GB2312" w:cs="仿宋_GB2312"/>
          <w:sz w:val="32"/>
          <w:szCs w:val="32"/>
          <w:lang w:val="en-US" w:eastAsia="zh-CN"/>
        </w:rPr>
        <w:t>全年</w:t>
      </w:r>
      <w:r>
        <w:rPr>
          <w:rFonts w:hint="eastAsia" w:ascii="仿宋_GB2312" w:hAnsi="方正仿宋_GBK" w:eastAsia="仿宋_GB2312" w:cs="方正仿宋_GBK"/>
          <w:sz w:val="32"/>
          <w:szCs w:val="32"/>
        </w:rPr>
        <w:t>共开展</w:t>
      </w:r>
      <w:r>
        <w:rPr>
          <w:rFonts w:hint="eastAsia" w:ascii="Times New Roman" w:hAnsi="Times New Roman" w:eastAsia="仿宋_GB2312"/>
          <w:sz w:val="32"/>
          <w:szCs w:val="32"/>
        </w:rPr>
        <w:t>培训</w:t>
      </w: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期，</w:t>
      </w:r>
      <w:r>
        <w:rPr>
          <w:rFonts w:hint="eastAsia" w:ascii="仿宋_GB2312" w:hAnsi="仿宋_GB2312" w:eastAsia="仿宋_GB2312" w:cs="仿宋_GB2312"/>
          <w:sz w:val="32"/>
          <w:szCs w:val="32"/>
          <w:lang w:val="en-US" w:eastAsia="zh-CN"/>
        </w:rPr>
        <w:t>组织131名“三农”</w:t>
      </w:r>
      <w:r>
        <w:rPr>
          <w:rFonts w:hint="default" w:ascii="仿宋_GB2312" w:hAnsi="仿宋_GB2312" w:eastAsia="仿宋_GB2312" w:cs="仿宋_GB2312"/>
          <w:sz w:val="32"/>
          <w:szCs w:val="32"/>
          <w:lang w:val="en-US" w:eastAsia="zh-CN"/>
        </w:rPr>
        <w:t>干部赴浙江</w:t>
      </w:r>
      <w:r>
        <w:rPr>
          <w:rFonts w:hint="eastAsia" w:ascii="仿宋_GB2312" w:hAnsi="仿宋_GB2312" w:eastAsia="仿宋_GB2312" w:cs="仿宋_GB2312"/>
          <w:sz w:val="32"/>
          <w:szCs w:val="32"/>
          <w:lang w:val="en-US" w:eastAsia="zh-CN"/>
        </w:rPr>
        <w:t>、北京</w:t>
      </w:r>
      <w:r>
        <w:rPr>
          <w:rFonts w:hint="default" w:ascii="仿宋_GB2312" w:hAnsi="仿宋_GB2312" w:eastAsia="仿宋_GB2312" w:cs="仿宋_GB2312"/>
          <w:sz w:val="32"/>
          <w:szCs w:val="32"/>
          <w:lang w:val="en-US" w:eastAsia="zh-CN"/>
        </w:rPr>
        <w:t>学习</w:t>
      </w:r>
      <w:r>
        <w:rPr>
          <w:rFonts w:hint="eastAsia" w:ascii="仿宋_GB2312" w:hAnsi="仿宋_GB2312" w:eastAsia="仿宋_GB2312" w:cs="仿宋_GB2312"/>
          <w:sz w:val="32"/>
          <w:szCs w:val="32"/>
          <w:lang w:val="en-US" w:eastAsia="zh-CN"/>
        </w:rPr>
        <w:t>交流</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3、</w:t>
      </w:r>
      <w:r>
        <w:rPr>
          <w:rFonts w:hint="eastAsia" w:ascii="Times New Roman" w:hAnsi="Times New Roman" w:eastAsia="仿宋_GB2312"/>
          <w:color w:val="auto"/>
          <w:sz w:val="32"/>
          <w:szCs w:val="32"/>
        </w:rPr>
        <w:t>积极承办厅机关处室培训。</w:t>
      </w:r>
      <w:r>
        <w:rPr>
          <w:rFonts w:hint="default" w:ascii="仿宋_GB2312" w:hAnsi="仿宋_GB2312" w:eastAsia="仿宋_GB2312" w:cs="仿宋_GB2312"/>
          <w:color w:val="auto"/>
          <w:sz w:val="32"/>
          <w:szCs w:val="32"/>
          <w:lang w:val="en-US" w:eastAsia="zh-CN"/>
        </w:rPr>
        <w:t>组建4个培训工作小组，分别对口服务</w:t>
      </w:r>
      <w:r>
        <w:rPr>
          <w:rFonts w:hint="eastAsia" w:ascii="仿宋_GB2312" w:hAnsi="仿宋_GB2312" w:eastAsia="仿宋_GB2312" w:cs="仿宋_GB2312"/>
          <w:color w:val="auto"/>
          <w:sz w:val="32"/>
          <w:szCs w:val="32"/>
          <w:lang w:val="en-US" w:eastAsia="zh-CN"/>
        </w:rPr>
        <w:t>6—7</w:t>
      </w:r>
      <w:r>
        <w:rPr>
          <w:rFonts w:hint="default" w:ascii="仿宋_GB2312" w:hAnsi="仿宋_GB2312" w:eastAsia="仿宋_GB2312" w:cs="仿宋_GB2312"/>
          <w:color w:val="auto"/>
          <w:sz w:val="32"/>
          <w:szCs w:val="32"/>
          <w:lang w:val="en-US" w:eastAsia="zh-CN"/>
        </w:rPr>
        <w:t>个</w:t>
      </w:r>
      <w:r>
        <w:rPr>
          <w:rFonts w:hint="eastAsia" w:ascii="仿宋_GB2312" w:hAnsi="仿宋_GB2312" w:eastAsia="仿宋_GB2312" w:cs="仿宋_GB2312"/>
          <w:color w:val="auto"/>
          <w:sz w:val="32"/>
          <w:szCs w:val="32"/>
          <w:lang w:val="en-US" w:eastAsia="zh-CN"/>
        </w:rPr>
        <w:t>厅机关</w:t>
      </w:r>
      <w:r>
        <w:rPr>
          <w:rFonts w:hint="default" w:ascii="仿宋_GB2312" w:hAnsi="仿宋_GB2312" w:eastAsia="仿宋_GB2312" w:cs="仿宋_GB2312"/>
          <w:color w:val="auto"/>
          <w:sz w:val="32"/>
          <w:szCs w:val="32"/>
          <w:lang w:val="en-US" w:eastAsia="zh-CN"/>
        </w:rPr>
        <w:t>处室</w:t>
      </w:r>
      <w:r>
        <w:rPr>
          <w:rFonts w:hint="eastAsia" w:ascii="仿宋_GB2312" w:hAnsi="仿宋_GB2312" w:eastAsia="仿宋_GB2312" w:cs="仿宋_GB2312"/>
          <w:color w:val="auto"/>
          <w:sz w:val="32"/>
          <w:szCs w:val="32"/>
          <w:lang w:val="en-US" w:eastAsia="zh-CN"/>
        </w:rPr>
        <w:t>培训工作。全</w:t>
      </w:r>
      <w:r>
        <w:rPr>
          <w:rFonts w:hint="default" w:ascii="仿宋_GB2312" w:hAnsi="仿宋_GB2312" w:eastAsia="仿宋_GB2312" w:cs="仿宋_GB2312"/>
          <w:color w:val="auto"/>
          <w:sz w:val="32"/>
          <w:szCs w:val="32"/>
          <w:lang w:val="en-US" w:eastAsia="zh-CN"/>
        </w:rPr>
        <w:t>年</w:t>
      </w:r>
      <w:r>
        <w:rPr>
          <w:rFonts w:hint="eastAsia" w:ascii="仿宋_GB2312" w:hAnsi="仿宋_GB2312" w:eastAsia="仿宋_GB2312" w:cs="仿宋_GB2312"/>
          <w:color w:val="auto"/>
          <w:sz w:val="32"/>
          <w:szCs w:val="32"/>
          <w:lang w:val="en-US" w:eastAsia="zh-CN"/>
        </w:rPr>
        <w:t>完成34</w:t>
      </w:r>
      <w:r>
        <w:rPr>
          <w:rFonts w:hint="default" w:ascii="仿宋_GB2312" w:hAnsi="仿宋_GB2312" w:eastAsia="仿宋_GB2312" w:cs="仿宋_GB2312"/>
          <w:color w:val="auto"/>
          <w:sz w:val="32"/>
          <w:szCs w:val="32"/>
          <w:lang w:val="en-US" w:eastAsia="zh-CN"/>
        </w:rPr>
        <w:t>期</w:t>
      </w:r>
      <w:r>
        <w:rPr>
          <w:rFonts w:hint="eastAsia" w:ascii="仿宋_GB2312" w:hAnsi="仿宋_GB2312" w:eastAsia="仿宋_GB2312" w:cs="仿宋_GB2312"/>
          <w:color w:val="auto"/>
          <w:sz w:val="32"/>
          <w:szCs w:val="32"/>
          <w:lang w:val="en-US" w:eastAsia="zh-CN"/>
        </w:rPr>
        <w:t>，5883人参加培训</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rPr>
        <w:t>大力开展农民田间学校和现场教学点实用技术培训。</w:t>
      </w:r>
      <w:r>
        <w:rPr>
          <w:rFonts w:hint="eastAsia" w:ascii="仿宋_GB2312" w:hAnsi="方正仿宋_GBK" w:eastAsia="仿宋_GB2312" w:cs="方正仿宋_GBK"/>
          <w:sz w:val="32"/>
          <w:szCs w:val="32"/>
        </w:rPr>
        <w:t>围绕区域主导产业、特色产业、富民产业，全年实施田间学校实用技术培训</w:t>
      </w:r>
      <w:r>
        <w:rPr>
          <w:rFonts w:hint="eastAsia" w:ascii="Times New Roman" w:hAnsi="Times New Roman" w:eastAsia="仿宋_GB2312"/>
          <w:sz w:val="32"/>
          <w:szCs w:val="32"/>
        </w:rPr>
        <w:t>38期，参训学员19</w:t>
      </w:r>
      <w:r>
        <w:rPr>
          <w:rFonts w:hint="eastAsia" w:ascii="Times New Roman" w:hAnsi="Times New Roman" w:eastAsia="仿宋_GB2312"/>
          <w:sz w:val="32"/>
          <w:szCs w:val="32"/>
          <w:lang w:val="en-US" w:eastAsia="zh-CN"/>
        </w:rPr>
        <w:t>27</w:t>
      </w:r>
      <w:r>
        <w:rPr>
          <w:rFonts w:hint="eastAsia" w:ascii="Times New Roman" w:hAnsi="Times New Roman" w:eastAsia="仿宋_GB2312"/>
          <w:sz w:val="32"/>
          <w:szCs w:val="32"/>
        </w:rPr>
        <w:t>余人次</w:t>
      </w:r>
      <w:r>
        <w:rPr>
          <w:rFonts w:hint="eastAsia" w:ascii="仿宋_GB2312" w:hAnsi="仿宋_GB2312" w:eastAsia="仿宋_GB2312" w:cs="仿宋_GB2312"/>
          <w:color w:val="auto"/>
          <w:sz w:val="32"/>
          <w:szCs w:val="32"/>
          <w:lang w:val="en-US" w:eastAsia="zh-CN"/>
        </w:rPr>
        <w:t>。5、</w:t>
      </w:r>
      <w:r>
        <w:rPr>
          <w:rFonts w:hint="eastAsia" w:ascii="仿宋_GB2312" w:hAnsi="方正仿宋_GBK" w:eastAsia="仿宋_GB2312" w:cs="方正仿宋_GBK"/>
          <w:sz w:val="32"/>
          <w:szCs w:val="32"/>
        </w:rPr>
        <w:t>举办全省广场舞、八段锦等农村社会体育指导员培训班</w:t>
      </w:r>
      <w:r>
        <w:rPr>
          <w:rFonts w:hint="eastAsia" w:ascii="Times New Roman" w:hAnsi="Times New Roman" w:eastAsia="仿宋_GB2312"/>
          <w:sz w:val="32"/>
          <w:szCs w:val="32"/>
        </w:rPr>
        <w:t>3期，举办篮球、气排球二级裁判员培训班各1期，培训得到所有参训学员的一致认可。共培养社会体育指导员、裁判员500余人，带动农民2万</w:t>
      </w:r>
      <w:r>
        <w:rPr>
          <w:rFonts w:hint="eastAsia" w:ascii="仿宋_GB2312" w:hAnsi="方正仿宋_GBK" w:eastAsia="仿宋_GB2312" w:cs="方正仿宋_GBK"/>
          <w:sz w:val="32"/>
          <w:szCs w:val="32"/>
        </w:rPr>
        <w:t>余人开展体育健身，为农村地区体育事业培养了人才、注入了活力，有力促进乡村文化事业繁荣发展。</w:t>
      </w:r>
    </w:p>
    <w:p>
      <w:pPr>
        <w:pStyle w:val="11"/>
        <w:rPr>
          <w:rFonts w:hint="eastAsia" w:ascii="仿宋_GB2312" w:hAnsi="方正仿宋_GBK" w:eastAsia="仿宋_GB2312" w:cs="方正仿宋_GBK"/>
          <w:kern w:val="2"/>
          <w:sz w:val="32"/>
          <w:szCs w:val="32"/>
          <w:lang w:val="en-US" w:eastAsia="zh-CN" w:bidi="ar-SA"/>
        </w:rPr>
      </w:pPr>
      <w:r>
        <w:rPr>
          <w:rFonts w:hint="eastAsia" w:ascii="仿宋_GB2312" w:hAnsi="方正仿宋_GBK" w:eastAsia="仿宋_GB2312" w:cs="方正仿宋_GBK"/>
          <w:b w:val="0"/>
          <w:bCs w:val="0"/>
          <w:kern w:val="2"/>
          <w:sz w:val="32"/>
          <w:szCs w:val="32"/>
          <w:lang w:val="en-US" w:eastAsia="zh-CN" w:bidi="ar-SA"/>
        </w:rPr>
        <w:t>三是体系管理方面：</w:t>
      </w:r>
      <w:r>
        <w:rPr>
          <w:rFonts w:hint="eastAsia" w:ascii="仿宋_GB2312" w:hAnsi="方正仿宋_GBK" w:eastAsia="仿宋_GB2312" w:cs="方正仿宋_GBK"/>
          <w:b/>
          <w:bCs/>
          <w:kern w:val="2"/>
          <w:sz w:val="32"/>
          <w:szCs w:val="32"/>
          <w:lang w:val="en-US" w:eastAsia="zh-CN" w:bidi="ar-SA"/>
        </w:rPr>
        <w:t>1、</w:t>
      </w:r>
      <w:r>
        <w:rPr>
          <w:rFonts w:hint="eastAsia" w:ascii="仿宋_GB2312" w:hAnsi="方正仿宋_GBK" w:eastAsia="仿宋_GB2312" w:cs="方正仿宋_GBK"/>
          <w:kern w:val="2"/>
          <w:sz w:val="32"/>
          <w:szCs w:val="32"/>
          <w:lang w:val="en-US" w:eastAsia="zh-CN" w:bidi="ar-SA"/>
        </w:rPr>
        <w:t>完成了中央农广校布置的各项工作，高质量完成了我省农广校体系综合统计报表审核、汇编、上报工作</w:t>
      </w:r>
      <w:r>
        <w:rPr>
          <w:rFonts w:hint="eastAsia" w:ascii="Times New Roman" w:hAnsi="Times New Roman" w:eastAsia="仿宋_GB2312"/>
          <w:sz w:val="32"/>
          <w:szCs w:val="32"/>
        </w:rPr>
        <w:t>。</w:t>
      </w:r>
      <w:r>
        <w:rPr>
          <w:rFonts w:hint="eastAsia" w:ascii="Times New Roman" w:hAnsi="Times New Roman" w:eastAsia="仿宋_GB2312"/>
          <w:b/>
          <w:bCs/>
          <w:sz w:val="32"/>
          <w:szCs w:val="32"/>
          <w:lang w:val="en-US" w:eastAsia="zh-CN"/>
        </w:rPr>
        <w:t>2、</w:t>
      </w:r>
      <w:r>
        <w:rPr>
          <w:rFonts w:hint="eastAsia" w:ascii="Times New Roman" w:hAnsi="Times New Roman" w:eastAsia="仿宋_GB2312"/>
          <w:sz w:val="32"/>
          <w:szCs w:val="32"/>
        </w:rPr>
        <w:t>加强省农广校自身机构建设、文化建设，顺利完成单位主要负责人调任、原省扶贫开发培训中心6名职工转隶，启动岗位设置工</w:t>
      </w:r>
      <w:r>
        <w:rPr>
          <w:rFonts w:hint="eastAsia" w:ascii="仿宋_GB2312" w:hAnsi="方正仿宋_GBK" w:eastAsia="仿宋_GB2312" w:cs="方正仿宋_GBK"/>
          <w:sz w:val="32"/>
          <w:szCs w:val="32"/>
        </w:rPr>
        <w:t>作，加强干部能力培训、保密教育培训，规范单位档案管理，打造暖心职工食堂，开展多彩工会活动，切实锻造过硬职工队伍、保障职工福利权益、丰富职工精神生活，职工幸福感、获得感不断增强，团队优势互补、运行高效。</w:t>
      </w:r>
      <w:r>
        <w:rPr>
          <w:rFonts w:hint="eastAsia" w:ascii="仿宋_GB2312" w:hAnsi="方正仿宋_GBK" w:eastAsia="仿宋_GB2312" w:cs="方正仿宋_GBK"/>
          <w:b/>
          <w:bCs/>
          <w:color w:val="auto"/>
          <w:sz w:val="32"/>
          <w:szCs w:val="32"/>
          <w:lang w:val="en-US" w:eastAsia="zh-CN"/>
        </w:rPr>
        <w:t>3、</w:t>
      </w:r>
      <w:r>
        <w:rPr>
          <w:rFonts w:hint="eastAsia" w:ascii="仿宋_GB2312" w:hAnsi="方正仿宋_GBK" w:eastAsia="仿宋_GB2312" w:cs="方正仿宋_GBK"/>
          <w:sz w:val="32"/>
          <w:szCs w:val="32"/>
        </w:rPr>
        <w:t>省农广校办学成效得到教育部门认可，首次获得专项经费资助。</w:t>
      </w:r>
      <w:r>
        <w:rPr>
          <w:rFonts w:hint="eastAsia" w:ascii="仿宋_GB2312" w:hAnsi="方正仿宋_GBK" w:eastAsia="仿宋_GB2312" w:cs="方正仿宋_GBK"/>
          <w:b/>
          <w:bCs/>
          <w:sz w:val="32"/>
          <w:szCs w:val="32"/>
          <w:lang w:val="en-US" w:eastAsia="zh-CN"/>
        </w:rPr>
        <w:t>4、</w:t>
      </w:r>
      <w:r>
        <w:rPr>
          <w:rFonts w:hint="eastAsia" w:ascii="仿宋_GB2312" w:hAnsi="方正仿宋_GBK" w:eastAsia="仿宋_GB2312" w:cs="方正仿宋_GBK"/>
          <w:sz w:val="32"/>
          <w:szCs w:val="32"/>
        </w:rPr>
        <w:t>举办近年来首次全省农民教育培训提质暨基层农广校校长能力提升班</w:t>
      </w:r>
      <w:r>
        <w:rPr>
          <w:rFonts w:hint="eastAsia" w:ascii="仿宋_GB2312" w:hAnsi="方正仿宋_GBK" w:eastAsia="仿宋_GB2312" w:cs="方正仿宋_GBK"/>
          <w:sz w:val="32"/>
          <w:szCs w:val="32"/>
          <w:lang w:val="en-US" w:eastAsia="zh-CN"/>
        </w:rPr>
        <w:t>1期</w:t>
      </w:r>
      <w:r>
        <w:rPr>
          <w:rFonts w:hint="eastAsia" w:ascii="仿宋_GB2312" w:hAnsi="方正仿宋_GBK" w:eastAsia="仿宋_GB2312" w:cs="方正仿宋_GBK"/>
          <w:sz w:val="32"/>
          <w:szCs w:val="32"/>
        </w:rPr>
        <w:t>，召开市州农广校校长座谈会，全面提升体系业务能力，全面梳理体系存在问题、面临的挑战机遇，初步明确体系未来发展方向。</w:t>
      </w:r>
      <w:r>
        <w:rPr>
          <w:rFonts w:hint="eastAsia" w:ascii="仿宋_GB2312" w:hAnsi="方正仿宋_GBK" w:eastAsia="仿宋_GB2312" w:cs="方正仿宋_GBK"/>
          <w:b/>
          <w:bCs/>
          <w:sz w:val="32"/>
          <w:szCs w:val="32"/>
          <w:lang w:val="en-US" w:eastAsia="zh-CN"/>
        </w:rPr>
        <w:t>5、</w:t>
      </w:r>
      <w:r>
        <w:rPr>
          <w:rFonts w:hint="eastAsia" w:ascii="仿宋_GB2312" w:hAnsi="方正仿宋_GBK" w:eastAsia="仿宋_GB2312" w:cs="方正仿宋_GBK"/>
          <w:sz w:val="32"/>
          <w:szCs w:val="32"/>
        </w:rPr>
        <w:t>遴选推荐新化县农广校、祁阳市农广校为全国农民教育培训典型校，推荐宁远县欧阳娟等4人获评全国优秀基层农广校校长，</w:t>
      </w:r>
      <w:r>
        <w:rPr>
          <w:rFonts w:hint="eastAsia" w:ascii="仿宋_GB2312" w:hAnsi="仿宋_GB2312" w:eastAsia="仿宋_GB2312" w:cs="仿宋_GB2312"/>
          <w:sz w:val="32"/>
          <w:szCs w:val="32"/>
          <w:shd w:val="clear" w:color="auto" w:fill="FFFFFF"/>
        </w:rPr>
        <w:t>推荐永州市蒋灿等4人获评全国优秀农民教育培训教师</w:t>
      </w:r>
      <w:r>
        <w:rPr>
          <w:rFonts w:hint="eastAsia" w:ascii="仿宋_GB2312" w:hAnsi="方正仿宋_GBK" w:eastAsia="仿宋_GB2312" w:cs="方正仿宋_GBK"/>
          <w:sz w:val="32"/>
          <w:szCs w:val="32"/>
        </w:rPr>
        <w:t>。全省农广体系荣誉感、自豪感、归属感进一步增强，队伍凝聚力、战斗力、向心力进一步提升</w:t>
      </w:r>
      <w:r>
        <w:rPr>
          <w:rFonts w:hint="eastAsia" w:ascii="仿宋_GB2312" w:hAnsi="方正仿宋_GBK" w:eastAsia="仿宋_GB2312" w:cs="方正仿宋_GBK"/>
          <w:sz w:val="32"/>
          <w:szCs w:val="32"/>
          <w:lang w:eastAsia="zh-CN"/>
        </w:rPr>
        <w:t>。</w:t>
      </w:r>
      <w:r>
        <w:rPr>
          <w:rFonts w:hint="eastAsia" w:ascii="仿宋_GB2312" w:hAnsi="方正仿宋_GBK" w:eastAsia="仿宋_GB2312" w:cs="方正仿宋_GBK"/>
          <w:kern w:val="2"/>
          <w:sz w:val="32"/>
          <w:szCs w:val="32"/>
          <w:lang w:val="en-US" w:eastAsia="zh-CN" w:bidi="ar-SA"/>
        </w:rPr>
        <w:t>体系管理效率显著提升。</w:t>
      </w:r>
    </w:p>
    <w:p>
      <w:pPr>
        <w:spacing w:line="600" w:lineRule="exact"/>
        <w:ind w:firstLine="640" w:firstLineChars="200"/>
        <w:rPr>
          <w:rFonts w:hint="eastAsia" w:ascii="Times New Roman" w:hAnsi="Times New Roman" w:eastAsia="仿宋_GB2312" w:cs="Times New Roman"/>
          <w:color w:val="auto"/>
          <w:kern w:val="0"/>
          <w:sz w:val="32"/>
          <w:szCs w:val="32"/>
          <w:lang w:val="en-US" w:eastAsia="zh-CN" w:bidi="ar-SA"/>
        </w:rPr>
      </w:pPr>
      <w:r>
        <w:rPr>
          <w:rFonts w:ascii="Times New Roman" w:hAnsi="Times New Roman" w:eastAsia="仿宋_GB2312" w:cs="Times New Roman"/>
          <w:color w:val="auto"/>
          <w:kern w:val="0"/>
          <w:sz w:val="32"/>
          <w:szCs w:val="32"/>
          <w:lang w:val="en-US" w:eastAsia="zh-CN" w:bidi="ar-SA"/>
        </w:rPr>
        <w:t>发现的主要问题及原因：</w:t>
      </w:r>
      <w:r>
        <w:rPr>
          <w:rFonts w:hint="eastAsia" w:ascii="Times New Roman" w:hAnsi="Times New Roman" w:eastAsia="仿宋_GB2312" w:cs="Times New Roman"/>
          <w:color w:val="auto"/>
          <w:kern w:val="0"/>
          <w:sz w:val="32"/>
          <w:szCs w:val="32"/>
          <w:lang w:val="en-US" w:eastAsia="zh-CN" w:bidi="ar-SA"/>
        </w:rPr>
        <w:t>一是绩效目标和指标设置不够细化。原因分析：目标和指标设置前业务科室对预算绩效管理相关文件学习不够。二是部分项目预算执行率不高。原因分析：厉行节约，在经费使用上有一定的压缩。</w:t>
      </w:r>
    </w:p>
    <w:p>
      <w:pPr>
        <w:spacing w:line="600" w:lineRule="exact"/>
        <w:ind w:firstLine="640" w:firstLineChars="200"/>
        <w:rPr>
          <w:rFonts w:hint="eastAsia"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下一步改进措施：一是加强学习培训，科学合理设置绩效目标。进一步加强绩效管理文件政策的学习和培训，树牢绩效理念，将预算绩效管理贯穿于工作始终。认真学习湖南省财政厅《湖南省预算绩效目标管理办法》（湘财绩〔2020〕6号）文件精神，按照“指向明确、细化量化、合理可行、相应匹配”原则，结合实际工作，科学合理设置绩效目标，做到细化、量化、可衡量。二是进一步提高预算资金执行率。持续加强与科室的沟通配合，加强项目实施管理，按项目的实施方案和计划推动项目落地，形成效益和成果。督促各业务科室加快推进预算执行进度，切实提高资金使用时效性和绩效。</w:t>
      </w:r>
    </w:p>
    <w:p>
      <w:pPr>
        <w:pStyle w:val="16"/>
        <w:numPr>
          <w:ilvl w:val="0"/>
          <w:numId w:val="2"/>
        </w:numPr>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rPr>
      </w:pPr>
      <w:r>
        <w:rPr>
          <w:rFonts w:ascii="Times New Roman" w:hAnsi="Times New Roman" w:eastAsia="楷体_GB2312" w:cs="Times New Roman"/>
          <w:b/>
          <w:bCs/>
          <w:color w:val="auto"/>
          <w:kern w:val="2"/>
          <w:sz w:val="32"/>
          <w:szCs w:val="32"/>
        </w:rPr>
        <w:t>评价结果应用情况。</w:t>
      </w:r>
      <w:r>
        <w:rPr>
          <w:rFonts w:hint="eastAsia" w:ascii="Times New Roman" w:hAnsi="Times New Roman" w:eastAsia="仿宋_GB2312" w:cs="Times New Roman"/>
          <w:color w:val="auto"/>
          <w:sz w:val="32"/>
          <w:szCs w:val="32"/>
        </w:rPr>
        <w:t>参考2024年绩效评价结果，我们做出如下调整：预算安排上，绩效优的项目资金优先保障、规模适度扩大；绩效差的削减或暂停预算，促使其整改。支出结构方面，重点保障民生和关键领域，削减低效项目支出。资金管理上，完善监控体系，建立预警机制，对执行慢、效益低的项目重点监督。制度建设上，修订绩效管理制度，细化评价指标和标准，加强结果应用，让评价切实指导预算和支出管理。</w:t>
      </w:r>
    </w:p>
    <w:p>
      <w:pPr>
        <w:pStyle w:val="16"/>
        <w:widowControl w:val="0"/>
        <w:numPr>
          <w:ilvl w:val="0"/>
          <w:numId w:val="0"/>
        </w:numPr>
        <w:overflowPunct w:val="0"/>
        <w:autoSpaceDE/>
        <w:autoSpaceDN/>
        <w:adjustRightInd w:val="0"/>
        <w:spacing w:line="600" w:lineRule="exact"/>
        <w:jc w:val="both"/>
        <w:rPr>
          <w:rFonts w:hint="eastAsia" w:ascii="Times New Roman" w:hAnsi="Times New Roman" w:eastAsia="仿宋_GB2312" w:cs="Times New Roman"/>
          <w:color w:val="auto"/>
          <w:sz w:val="32"/>
          <w:szCs w:val="32"/>
        </w:rPr>
      </w:pPr>
    </w:p>
    <w:p>
      <w:pPr>
        <w:pStyle w:val="16"/>
        <w:widowControl w:val="0"/>
        <w:numPr>
          <w:ilvl w:val="0"/>
          <w:numId w:val="0"/>
        </w:numPr>
        <w:overflowPunct w:val="0"/>
        <w:autoSpaceDE/>
        <w:autoSpaceDN/>
        <w:adjustRightInd w:val="0"/>
        <w:spacing w:line="600" w:lineRule="exact"/>
        <w:jc w:val="both"/>
        <w:rPr>
          <w:rFonts w:hint="eastAsia" w:ascii="Times New Roman" w:hAnsi="Times New Roman" w:eastAsia="仿宋_GB2312" w:cs="Times New Roman"/>
          <w:color w:val="auto"/>
          <w:sz w:val="32"/>
          <w:szCs w:val="32"/>
        </w:rPr>
      </w:pPr>
    </w:p>
    <w:p>
      <w:pPr>
        <w:pStyle w:val="16"/>
        <w:widowControl w:val="0"/>
        <w:numPr>
          <w:ilvl w:val="0"/>
          <w:numId w:val="0"/>
        </w:numPr>
        <w:overflowPunct w:val="0"/>
        <w:autoSpaceDE/>
        <w:autoSpaceDN/>
        <w:adjustRightInd w:val="0"/>
        <w:spacing w:line="600" w:lineRule="exact"/>
        <w:jc w:val="both"/>
        <w:rPr>
          <w:rFonts w:hint="eastAsia" w:ascii="Times New Roman" w:hAnsi="Times New Roman" w:eastAsia="仿宋_GB2312" w:cs="Times New Roman"/>
          <w:color w:val="auto"/>
          <w:sz w:val="32"/>
          <w:szCs w:val="32"/>
        </w:rPr>
      </w:pPr>
    </w:p>
    <w:p>
      <w:pPr>
        <w:pStyle w:val="16"/>
        <w:widowControl w:val="0"/>
        <w:numPr>
          <w:ilvl w:val="0"/>
          <w:numId w:val="0"/>
        </w:numPr>
        <w:overflowPunct w:val="0"/>
        <w:autoSpaceDE/>
        <w:autoSpaceDN/>
        <w:adjustRightInd w:val="0"/>
        <w:spacing w:line="600" w:lineRule="exact"/>
        <w:jc w:val="both"/>
        <w:rPr>
          <w:rFonts w:hint="eastAsia" w:ascii="Times New Roman" w:hAnsi="Times New Roman" w:eastAsia="仿宋_GB2312" w:cs="Times New Roman"/>
          <w:color w:val="auto"/>
          <w:sz w:val="32"/>
          <w:szCs w:val="32"/>
        </w:rPr>
      </w:pPr>
    </w:p>
    <w:p>
      <w:pPr>
        <w:pStyle w:val="16"/>
        <w:widowControl w:val="0"/>
        <w:numPr>
          <w:ilvl w:val="0"/>
          <w:numId w:val="0"/>
        </w:numPr>
        <w:overflowPunct w:val="0"/>
        <w:autoSpaceDE/>
        <w:autoSpaceDN/>
        <w:adjustRightInd w:val="0"/>
        <w:spacing w:line="600" w:lineRule="exact"/>
        <w:jc w:val="both"/>
        <w:rPr>
          <w:rFonts w:hint="eastAsia" w:ascii="Times New Roman" w:hAnsi="Times New Roman" w:eastAsia="仿宋_GB2312" w:cs="Times New Roman"/>
          <w:color w:val="auto"/>
          <w:sz w:val="32"/>
          <w:szCs w:val="32"/>
        </w:rPr>
      </w:pPr>
    </w:p>
    <w:p>
      <w:pPr>
        <w:pStyle w:val="16"/>
        <w:widowControl w:val="0"/>
        <w:numPr>
          <w:ilvl w:val="0"/>
          <w:numId w:val="0"/>
        </w:numPr>
        <w:overflowPunct w:val="0"/>
        <w:autoSpaceDE/>
        <w:autoSpaceDN/>
        <w:adjustRightInd w:val="0"/>
        <w:spacing w:line="600" w:lineRule="exact"/>
        <w:jc w:val="both"/>
        <w:rPr>
          <w:rFonts w:hint="eastAsia" w:ascii="Times New Roman" w:hAnsi="Times New Roman" w:eastAsia="仿宋_GB2312" w:cs="Times New Roman"/>
          <w:color w:val="auto"/>
          <w:sz w:val="32"/>
          <w:szCs w:val="32"/>
        </w:rPr>
      </w:pPr>
    </w:p>
    <w:p>
      <w:pPr>
        <w:pStyle w:val="16"/>
        <w:widowControl w:val="0"/>
        <w:numPr>
          <w:ilvl w:val="0"/>
          <w:numId w:val="0"/>
        </w:numPr>
        <w:overflowPunct w:val="0"/>
        <w:autoSpaceDE/>
        <w:autoSpaceDN/>
        <w:adjustRightInd w:val="0"/>
        <w:spacing w:line="600" w:lineRule="exact"/>
        <w:jc w:val="both"/>
        <w:rPr>
          <w:rFonts w:hint="eastAsia" w:ascii="Times New Roman" w:hAnsi="Times New Roman" w:eastAsia="仿宋_GB2312" w:cs="Times New Roman"/>
          <w:color w:val="auto"/>
          <w:sz w:val="32"/>
          <w:szCs w:val="32"/>
        </w:rPr>
      </w:pPr>
    </w:p>
    <w:p>
      <w:pPr>
        <w:pStyle w:val="16"/>
        <w:widowControl w:val="0"/>
        <w:numPr>
          <w:ilvl w:val="0"/>
          <w:numId w:val="0"/>
        </w:numPr>
        <w:overflowPunct w:val="0"/>
        <w:autoSpaceDE/>
        <w:autoSpaceDN/>
        <w:adjustRightInd w:val="0"/>
        <w:spacing w:line="600" w:lineRule="exact"/>
        <w:jc w:val="both"/>
        <w:rPr>
          <w:rFonts w:hint="eastAsia" w:ascii="Times New Roman" w:hAnsi="Times New Roman" w:eastAsia="仿宋_GB2312" w:cs="Times New Roman"/>
          <w:color w:val="auto"/>
          <w:sz w:val="32"/>
          <w:szCs w:val="32"/>
        </w:rPr>
      </w:pPr>
    </w:p>
    <w:p>
      <w:pPr>
        <w:pStyle w:val="16"/>
        <w:widowControl w:val="0"/>
        <w:numPr>
          <w:ilvl w:val="0"/>
          <w:numId w:val="0"/>
        </w:numPr>
        <w:overflowPunct w:val="0"/>
        <w:autoSpaceDE/>
        <w:autoSpaceDN/>
        <w:adjustRightInd w:val="0"/>
        <w:spacing w:line="600" w:lineRule="exact"/>
        <w:jc w:val="both"/>
        <w:rPr>
          <w:rFonts w:hint="eastAsia" w:ascii="Times New Roman" w:hAnsi="Times New Roman" w:eastAsia="仿宋_GB2312" w:cs="Times New Roman"/>
          <w:color w:val="auto"/>
          <w:sz w:val="32"/>
          <w:szCs w:val="32"/>
        </w:rPr>
      </w:pPr>
    </w:p>
    <w:p>
      <w:pPr>
        <w:pStyle w:val="16"/>
        <w:widowControl w:val="0"/>
        <w:numPr>
          <w:ilvl w:val="0"/>
          <w:numId w:val="0"/>
        </w:numPr>
        <w:overflowPunct w:val="0"/>
        <w:autoSpaceDE/>
        <w:autoSpaceDN/>
        <w:adjustRightInd w:val="0"/>
        <w:spacing w:line="600" w:lineRule="exact"/>
        <w:jc w:val="both"/>
        <w:rPr>
          <w:rFonts w:hint="eastAsia" w:ascii="Times New Roman" w:hAnsi="Times New Roman" w:eastAsia="仿宋_GB2312" w:cs="Times New Roman"/>
          <w:color w:val="auto"/>
          <w:sz w:val="32"/>
          <w:szCs w:val="32"/>
        </w:rPr>
      </w:pPr>
    </w:p>
    <w:p>
      <w:pPr>
        <w:pStyle w:val="16"/>
        <w:widowControl w:val="0"/>
        <w:numPr>
          <w:ilvl w:val="0"/>
          <w:numId w:val="0"/>
        </w:numPr>
        <w:overflowPunct w:val="0"/>
        <w:autoSpaceDE/>
        <w:autoSpaceDN/>
        <w:adjustRightInd w:val="0"/>
        <w:spacing w:line="600" w:lineRule="exact"/>
        <w:jc w:val="both"/>
        <w:rPr>
          <w:rFonts w:hint="eastAsia" w:ascii="Times New Roman" w:hAnsi="Times New Roman" w:eastAsia="仿宋_GB2312" w:cs="Times New Roman"/>
          <w:color w:val="auto"/>
          <w:sz w:val="32"/>
          <w:szCs w:val="32"/>
        </w:rPr>
      </w:pPr>
    </w:p>
    <w:p>
      <w:pPr>
        <w:pStyle w:val="16"/>
        <w:widowControl w:val="0"/>
        <w:numPr>
          <w:ilvl w:val="0"/>
          <w:numId w:val="0"/>
        </w:numPr>
        <w:overflowPunct w:val="0"/>
        <w:autoSpaceDE/>
        <w:autoSpaceDN/>
        <w:adjustRightInd w:val="0"/>
        <w:spacing w:line="600" w:lineRule="exact"/>
        <w:jc w:val="both"/>
        <w:rPr>
          <w:rFonts w:hint="eastAsia" w:ascii="Times New Roman" w:hAnsi="Times New Roman" w:eastAsia="仿宋_GB2312" w:cs="Times New Roman"/>
          <w:color w:val="auto"/>
          <w:sz w:val="32"/>
          <w:szCs w:val="32"/>
        </w:rPr>
      </w:pPr>
    </w:p>
    <w:p>
      <w:pPr>
        <w:pStyle w:val="16"/>
        <w:widowControl w:val="0"/>
        <w:numPr>
          <w:ilvl w:val="0"/>
          <w:numId w:val="0"/>
        </w:numPr>
        <w:overflowPunct w:val="0"/>
        <w:autoSpaceDE/>
        <w:autoSpaceDN/>
        <w:adjustRightInd w:val="0"/>
        <w:spacing w:line="600" w:lineRule="exact"/>
        <w:jc w:val="both"/>
        <w:rPr>
          <w:rFonts w:hint="eastAsia" w:ascii="Times New Roman" w:hAnsi="Times New Roman" w:eastAsia="仿宋_GB2312" w:cs="Times New Roman"/>
          <w:color w:val="auto"/>
          <w:sz w:val="32"/>
          <w:szCs w:val="32"/>
        </w:rPr>
      </w:pPr>
    </w:p>
    <w:p>
      <w:pPr>
        <w:pStyle w:val="16"/>
        <w:widowControl w:val="0"/>
        <w:numPr>
          <w:ilvl w:val="0"/>
          <w:numId w:val="0"/>
        </w:numPr>
        <w:overflowPunct w:val="0"/>
        <w:autoSpaceDE/>
        <w:autoSpaceDN/>
        <w:adjustRightInd w:val="0"/>
        <w:spacing w:line="600" w:lineRule="exact"/>
        <w:jc w:val="both"/>
        <w:rPr>
          <w:rFonts w:hint="eastAsia" w:ascii="Times New Roman" w:hAnsi="Times New Roman" w:eastAsia="仿宋_GB2312" w:cs="Times New Roman"/>
          <w:color w:val="auto"/>
          <w:sz w:val="32"/>
          <w:szCs w:val="32"/>
        </w:rPr>
      </w:pPr>
    </w:p>
    <w:p>
      <w:pPr>
        <w:pStyle w:val="16"/>
        <w:widowControl w:val="0"/>
        <w:numPr>
          <w:ilvl w:val="0"/>
          <w:numId w:val="0"/>
        </w:numPr>
        <w:overflowPunct w:val="0"/>
        <w:autoSpaceDE/>
        <w:autoSpaceDN/>
        <w:adjustRightInd w:val="0"/>
        <w:spacing w:line="600" w:lineRule="exact"/>
        <w:jc w:val="both"/>
        <w:rPr>
          <w:rFonts w:hint="eastAsia" w:ascii="Times New Roman" w:hAnsi="Times New Roman" w:eastAsia="仿宋_GB2312" w:cs="Times New Roman"/>
          <w:color w:val="auto"/>
          <w:sz w:val="32"/>
          <w:szCs w:val="32"/>
        </w:rPr>
      </w:pPr>
    </w:p>
    <w:p>
      <w:pPr>
        <w:pStyle w:val="16"/>
        <w:widowControl w:val="0"/>
        <w:numPr>
          <w:ilvl w:val="0"/>
          <w:numId w:val="0"/>
        </w:numPr>
        <w:overflowPunct w:val="0"/>
        <w:autoSpaceDE/>
        <w:autoSpaceDN/>
        <w:adjustRightInd w:val="0"/>
        <w:spacing w:line="600" w:lineRule="exact"/>
        <w:jc w:val="both"/>
        <w:rPr>
          <w:rFonts w:hint="eastAsia" w:ascii="Times New Roman" w:hAnsi="Times New Roman" w:eastAsia="仿宋_GB2312" w:cs="Times New Roman"/>
          <w:color w:val="auto"/>
          <w:sz w:val="32"/>
          <w:szCs w:val="32"/>
        </w:rPr>
      </w:pPr>
    </w:p>
    <w:p>
      <w:pPr>
        <w:pStyle w:val="16"/>
        <w:widowControl w:val="0"/>
        <w:numPr>
          <w:ilvl w:val="0"/>
          <w:numId w:val="0"/>
        </w:numPr>
        <w:overflowPunct w:val="0"/>
        <w:autoSpaceDE/>
        <w:autoSpaceDN/>
        <w:adjustRightInd w:val="0"/>
        <w:spacing w:line="600" w:lineRule="exact"/>
        <w:jc w:val="both"/>
        <w:rPr>
          <w:rFonts w:hint="eastAsia" w:ascii="Times New Roman" w:hAnsi="Times New Roman" w:eastAsia="仿宋_GB2312" w:cs="Times New Roman"/>
          <w:color w:val="auto"/>
          <w:sz w:val="32"/>
          <w:szCs w:val="32"/>
        </w:rPr>
      </w:pPr>
    </w:p>
    <w:p>
      <w:pPr>
        <w:pStyle w:val="16"/>
        <w:widowControl w:val="0"/>
        <w:numPr>
          <w:ilvl w:val="0"/>
          <w:numId w:val="0"/>
        </w:numPr>
        <w:overflowPunct w:val="0"/>
        <w:autoSpaceDE/>
        <w:autoSpaceDN/>
        <w:adjustRightInd w:val="0"/>
        <w:spacing w:line="600" w:lineRule="exact"/>
        <w:jc w:val="both"/>
        <w:rPr>
          <w:rFonts w:hint="eastAsia" w:ascii="Times New Roman" w:hAnsi="Times New Roman" w:eastAsia="仿宋_GB2312" w:cs="Times New Roman"/>
          <w:color w:val="auto"/>
          <w:sz w:val="32"/>
          <w:szCs w:val="32"/>
        </w:rPr>
      </w:pPr>
    </w:p>
    <w:p>
      <w:pPr>
        <w:pStyle w:val="16"/>
        <w:widowControl w:val="0"/>
        <w:numPr>
          <w:ilvl w:val="0"/>
          <w:numId w:val="0"/>
        </w:numPr>
        <w:overflowPunct w:val="0"/>
        <w:autoSpaceDE/>
        <w:autoSpaceDN/>
        <w:adjustRightInd w:val="0"/>
        <w:spacing w:line="600" w:lineRule="exact"/>
        <w:jc w:val="both"/>
        <w:rPr>
          <w:rFonts w:hint="eastAsia" w:ascii="Times New Roman" w:hAnsi="Times New Roman" w:eastAsia="仿宋_GB2312" w:cs="Times New Roman"/>
          <w:color w:val="auto"/>
          <w:sz w:val="32"/>
          <w:szCs w:val="32"/>
        </w:rPr>
      </w:pPr>
    </w:p>
    <w:p>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    名词解释</w:t>
      </w:r>
    </w:p>
    <w:p>
      <w:pPr>
        <w:widowControl/>
        <w:jc w:val="left"/>
        <w:rPr>
          <w:rFonts w:ascii="Times New Roman" w:hAnsi="Times New Roman" w:cs="Times New Roman"/>
          <w:color w:val="000000"/>
          <w:kern w:val="0"/>
          <w:sz w:val="32"/>
          <w:szCs w:val="32"/>
        </w:rPr>
      </w:pPr>
    </w:p>
    <w:p>
      <w:pPr>
        <w:widowControl/>
        <w:ind w:firstLine="640" w:firstLineChars="200"/>
        <w:jc w:val="left"/>
        <w:rPr>
          <w:rFonts w:cs="黑体" w:asciiTheme="minorEastAsia" w:hAnsiTheme="minorEastAsia"/>
          <w:kern w:val="0"/>
          <w:sz w:val="32"/>
          <w:szCs w:val="32"/>
        </w:rPr>
      </w:pPr>
      <w:r>
        <w:rPr>
          <w:rFonts w:hint="eastAsia" w:cs="黑体" w:asciiTheme="minorEastAsia" w:hAnsiTheme="minorEastAsia"/>
          <w:kern w:val="0"/>
          <w:sz w:val="32"/>
          <w:szCs w:val="32"/>
          <w:lang w:eastAsia="zh-CN"/>
        </w:rPr>
        <w:t>一、</w:t>
      </w:r>
      <w:r>
        <w:rPr>
          <w:rFonts w:hint="eastAsia" w:cs="黑体" w:asciiTheme="minorEastAsia" w:hAnsiTheme="minorEastAsia"/>
          <w:kern w:val="0"/>
          <w:sz w:val="32"/>
          <w:szCs w:val="32"/>
        </w:rPr>
        <w:t>基本支出：指为保障机构正常运转、完成日常工作任务</w:t>
      </w:r>
      <w:r>
        <w:rPr>
          <w:rFonts w:cs="黑体" w:asciiTheme="minorEastAsia" w:hAnsiTheme="minorEastAsia"/>
          <w:kern w:val="0"/>
          <w:sz w:val="32"/>
          <w:szCs w:val="32"/>
        </w:rPr>
        <w:t xml:space="preserve">而发生的人员支出和公用支出。 </w:t>
      </w:r>
    </w:p>
    <w:p>
      <w:pPr>
        <w:widowControl/>
        <w:ind w:firstLine="640" w:firstLineChars="200"/>
        <w:jc w:val="left"/>
        <w:rPr>
          <w:rFonts w:cs="黑体" w:asciiTheme="minorEastAsia" w:hAnsiTheme="minorEastAsia"/>
          <w:kern w:val="0"/>
          <w:sz w:val="32"/>
          <w:szCs w:val="32"/>
        </w:rPr>
      </w:pPr>
      <w:r>
        <w:rPr>
          <w:rFonts w:hint="eastAsia" w:cs="黑体" w:asciiTheme="minorEastAsia" w:hAnsiTheme="minorEastAsia"/>
          <w:kern w:val="0"/>
          <w:sz w:val="32"/>
          <w:szCs w:val="32"/>
          <w:lang w:eastAsia="zh-CN"/>
        </w:rPr>
        <w:t>二、</w:t>
      </w:r>
      <w:r>
        <w:rPr>
          <w:rFonts w:cs="黑体" w:asciiTheme="minorEastAsia" w:hAnsiTheme="minorEastAsia"/>
          <w:kern w:val="0"/>
          <w:sz w:val="32"/>
          <w:szCs w:val="32"/>
        </w:rPr>
        <w:t xml:space="preserve">项目支出：指在基本支出之外为完成特定行政任务和事业发展目标所发生的支出。 </w:t>
      </w:r>
    </w:p>
    <w:p>
      <w:pPr>
        <w:pStyle w:val="16"/>
        <w:ind w:firstLine="640" w:firstLineChars="200"/>
        <w:rPr>
          <w:rFonts w:asciiTheme="minorEastAsia" w:hAnsiTheme="minorEastAsia" w:eastAsiaTheme="minorEastAsia"/>
          <w:color w:val="auto"/>
          <w:sz w:val="32"/>
          <w:szCs w:val="32"/>
        </w:rPr>
      </w:pPr>
      <w:r>
        <w:rPr>
          <w:rFonts w:hint="eastAsia" w:asciiTheme="minorEastAsia" w:hAnsiTheme="minorEastAsia" w:eastAsiaTheme="minorEastAsia"/>
          <w:color w:val="auto"/>
          <w:sz w:val="32"/>
          <w:szCs w:val="32"/>
          <w:lang w:eastAsia="zh-CN"/>
        </w:rPr>
        <w:t>三、</w:t>
      </w:r>
      <w:r>
        <w:rPr>
          <w:rFonts w:hint="eastAsia" w:asciiTheme="minorEastAsia" w:hAnsiTheme="minorEastAsia" w:eastAsiaTheme="minorEastAsia"/>
          <w:color w:val="auto"/>
          <w:sz w:val="32"/>
          <w:szCs w:val="32"/>
        </w:rPr>
        <w:t>“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jc w:val="center"/>
        <w:rPr>
          <w:rFonts w:ascii="Times New Roman" w:hAnsi="Times New Roman" w:cs="Times New Roman"/>
          <w:sz w:val="72"/>
          <w:szCs w:val="72"/>
        </w:rPr>
      </w:pPr>
    </w:p>
    <w:p>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br w:type="textWrapping"/>
      </w:r>
      <w:r>
        <w:rPr>
          <w:rFonts w:hint="eastAsia" w:ascii="Times New Roman" w:hAnsi="Times New Roman" w:eastAsia="方正小标宋_GBK" w:cs="Times New Roman"/>
          <w:sz w:val="52"/>
          <w:szCs w:val="52"/>
          <w:lang w:val="en-US" w:eastAsia="zh-CN"/>
        </w:rPr>
        <w:t xml:space="preserve"> </w:t>
      </w:r>
      <w:r>
        <w:rPr>
          <w:rFonts w:ascii="Times New Roman" w:hAnsi="Times New Roman" w:eastAsia="方正小标宋_GBK" w:cs="Times New Roman"/>
          <w:sz w:val="52"/>
          <w:szCs w:val="52"/>
        </w:rPr>
        <w:t>第五部分   附 件</w:t>
      </w:r>
    </w:p>
    <w:p>
      <w:pPr>
        <w:jc w:val="center"/>
        <w:rPr>
          <w:rFonts w:ascii="Times New Roman" w:hAnsi="Times New Roman" w:eastAsia="方正小标宋_GBK" w:cs="Times New Roman"/>
          <w:sz w:val="48"/>
          <w:szCs w:val="48"/>
        </w:rPr>
      </w:pPr>
    </w:p>
    <w:p>
      <w:pPr>
        <w:jc w:val="center"/>
        <w:rPr>
          <w:rFonts w:ascii="Times New Roman" w:hAnsi="Times New Roman" w:eastAsia="方正小标宋_GBK" w:cs="Times New Roman"/>
          <w:sz w:val="48"/>
          <w:szCs w:val="48"/>
        </w:rPr>
      </w:pPr>
    </w:p>
    <w:p>
      <w:pPr>
        <w:jc w:val="center"/>
        <w:rPr>
          <w:rFonts w:ascii="Times New Roman" w:hAnsi="Times New Roman" w:eastAsia="方正小标宋_GBK" w:cs="Times New Roman"/>
          <w:sz w:val="48"/>
          <w:szCs w:val="48"/>
        </w:rPr>
      </w:pPr>
      <w:r>
        <w:rPr>
          <w:rFonts w:hint="eastAsia" w:ascii="Times New Roman" w:hAnsi="Times New Roman" w:eastAsia="方正小标宋_GBK" w:cs="Times New Roman"/>
          <w:sz w:val="48"/>
          <w:szCs w:val="48"/>
          <w:lang w:val="en-US" w:eastAsia="zh-CN"/>
        </w:rPr>
        <w:t>2024</w:t>
      </w:r>
      <w:r>
        <w:rPr>
          <w:rFonts w:ascii="Times New Roman" w:hAnsi="Times New Roman" w:eastAsia="方正小标宋_GBK" w:cs="Times New Roman"/>
          <w:sz w:val="48"/>
          <w:szCs w:val="48"/>
        </w:rPr>
        <w:t>年度</w:t>
      </w:r>
      <w:r>
        <w:rPr>
          <w:rFonts w:hint="eastAsia" w:ascii="Times New Roman" w:hAnsi="Times New Roman" w:eastAsia="方正小标宋_GBK" w:cs="Times New Roman"/>
          <w:sz w:val="48"/>
          <w:szCs w:val="48"/>
          <w:lang w:val="en-US" w:eastAsia="zh-CN"/>
        </w:rPr>
        <w:t>湖南省农民科技教育培训中心</w:t>
      </w:r>
      <w:r>
        <w:rPr>
          <w:rFonts w:ascii="Times New Roman" w:hAnsi="Times New Roman" w:eastAsia="方正小标宋_GBK" w:cs="Times New Roman"/>
          <w:sz w:val="48"/>
          <w:szCs w:val="48"/>
        </w:rPr>
        <w:t>整体支出绩效自评报告</w:t>
      </w: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jc w:val="center"/>
        <w:rPr>
          <w:rFonts w:eastAsia="黑体"/>
          <w:sz w:val="36"/>
          <w:szCs w:val="36"/>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both"/>
        <w:rPr>
          <w:rFonts w:eastAsia="黑体"/>
          <w:sz w:val="32"/>
          <w:szCs w:val="32"/>
        </w:rPr>
      </w:pPr>
      <w:r>
        <w:rPr>
          <w:rFonts w:eastAsia="仿宋_GB2312"/>
          <w:sz w:val="32"/>
          <w:szCs w:val="32"/>
        </w:rPr>
        <w:br w:type="page"/>
      </w:r>
      <w:r>
        <w:rPr>
          <w:rFonts w:eastAsia="黑体"/>
          <w:sz w:val="32"/>
          <w:szCs w:val="32"/>
        </w:rPr>
        <w:t>一、基本情况</w:t>
      </w:r>
    </w:p>
    <w:p>
      <w:pPr>
        <w:spacing w:line="600" w:lineRule="exact"/>
        <w:ind w:firstLine="640" w:firstLineChars="200"/>
        <w:rPr>
          <w:rFonts w:eastAsia="楷体_GB2312"/>
          <w:b/>
          <w:sz w:val="32"/>
          <w:szCs w:val="32"/>
        </w:rPr>
      </w:pPr>
      <w:r>
        <w:rPr>
          <w:rFonts w:eastAsia="楷体_GB2312"/>
          <w:b/>
          <w:sz w:val="32"/>
          <w:szCs w:val="32"/>
        </w:rPr>
        <w:t>（一）单位基本情况</w:t>
      </w:r>
    </w:p>
    <w:p>
      <w:pPr>
        <w:spacing w:line="600" w:lineRule="exact"/>
        <w:ind w:firstLine="640" w:firstLineChars="200"/>
        <w:rPr>
          <w:rFonts w:hint="eastAsia" w:eastAsia="仿宋_GB2312"/>
          <w:sz w:val="32"/>
          <w:szCs w:val="32"/>
        </w:rPr>
      </w:pPr>
      <w:r>
        <w:rPr>
          <w:rFonts w:hint="eastAsia" w:eastAsia="仿宋_GB2312"/>
          <w:sz w:val="32"/>
          <w:szCs w:val="32"/>
        </w:rPr>
        <w:t>湖南省农广校（省农科教中心）直属省农业农村厅，正处级，财政全额预算管理单位（公益一类），现有编制35人，截止202</w:t>
      </w:r>
      <w:r>
        <w:rPr>
          <w:rFonts w:hint="eastAsia" w:eastAsia="仿宋_GB2312"/>
          <w:sz w:val="32"/>
          <w:szCs w:val="32"/>
          <w:lang w:val="en-US" w:eastAsia="zh-CN"/>
        </w:rPr>
        <w:t>4</w:t>
      </w:r>
      <w:r>
        <w:rPr>
          <w:rFonts w:hint="eastAsia" w:eastAsia="仿宋_GB2312"/>
          <w:sz w:val="32"/>
          <w:szCs w:val="32"/>
        </w:rPr>
        <w:t>年底有退休人员2</w:t>
      </w:r>
      <w:r>
        <w:rPr>
          <w:rFonts w:hint="eastAsia" w:eastAsia="仿宋_GB2312"/>
          <w:sz w:val="32"/>
          <w:szCs w:val="32"/>
          <w:lang w:val="en-US" w:eastAsia="zh-CN"/>
        </w:rPr>
        <w:t>7</w:t>
      </w:r>
      <w:r>
        <w:rPr>
          <w:rFonts w:hint="eastAsia" w:eastAsia="仿宋_GB2312"/>
          <w:sz w:val="32"/>
          <w:szCs w:val="32"/>
        </w:rPr>
        <w:t>人，在职</w:t>
      </w:r>
      <w:r>
        <w:rPr>
          <w:rFonts w:hint="eastAsia" w:eastAsia="仿宋_GB2312"/>
          <w:sz w:val="32"/>
          <w:szCs w:val="32"/>
          <w:lang w:val="en-US" w:eastAsia="zh-CN"/>
        </w:rPr>
        <w:t>34</w:t>
      </w:r>
      <w:r>
        <w:rPr>
          <w:rFonts w:hint="eastAsia" w:eastAsia="仿宋_GB2312"/>
          <w:sz w:val="32"/>
          <w:szCs w:val="32"/>
        </w:rPr>
        <w:t>人，有127所市州县分校（农教办）。主要职责为组织实施省政府“优秀农民境外培训计划”；承担参与全省新型农业经营主体、高素质农民、农村基层干部等示范性高端教育培训；指导全省农民体育健身工作（加挂省农民体育协会牌子），落实“千万农民健身计划”；开展农业行业（特种）职业技能鉴定等。</w:t>
      </w:r>
    </w:p>
    <w:p>
      <w:pPr>
        <w:spacing w:line="600" w:lineRule="exact"/>
        <w:ind w:firstLine="640" w:firstLineChars="200"/>
        <w:rPr>
          <w:rFonts w:eastAsia="楷体_GB2312"/>
          <w:b/>
          <w:sz w:val="32"/>
          <w:szCs w:val="32"/>
        </w:rPr>
      </w:pPr>
      <w:r>
        <w:rPr>
          <w:rFonts w:eastAsia="楷体_GB2312"/>
          <w:b/>
          <w:sz w:val="32"/>
          <w:szCs w:val="32"/>
        </w:rPr>
        <w:t>（二）单位年度整体支出绩效目标，省级专项资金绩效目标、其他项目支出（除省级专项资金以外）绩效目标</w:t>
      </w:r>
    </w:p>
    <w:p>
      <w:pPr>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2024年度我单位整体支出绩效目标：一是完成全年计划的培训班，培训1万余人，让受培训人员观念更新，业务能力有明显提升。二是订购《乡村振兴》杂志7000册，覆盖全省脱贫村。</w:t>
      </w:r>
    </w:p>
    <w:p>
      <w:pPr>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省级专项资金绩效目标：举办51期培训班，培训7400名农业农村系统干部，提高政策理论和专业水平，提升整体业务工作及管理能力，助力乡村振兴。</w:t>
      </w:r>
    </w:p>
    <w:p>
      <w:pPr>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其他项目支出（除省级专项资金以外）绩效目标：一是举办巩固脱贫攻坚成果培训班，培训2000名学员，为乡村振兴助力。二是订购《乡村振兴》杂志7000份，覆盖全省脱贫村；三农干部走出去完成8期，培训400人；农村体育文化健身活动4期。三是培养一批具有示范带动作用的技术人才，农广助农培养3500人，期37期；田间学校培养2000人，期数33期。</w:t>
      </w:r>
    </w:p>
    <w:p>
      <w:pPr>
        <w:pStyle w:val="17"/>
        <w:spacing w:line="600" w:lineRule="exact"/>
        <w:rPr>
          <w:rFonts w:ascii="Times New Roman" w:hAnsi="Times New Roman" w:eastAsia="黑体"/>
          <w:sz w:val="32"/>
          <w:szCs w:val="32"/>
        </w:rPr>
      </w:pPr>
      <w:r>
        <w:rPr>
          <w:rFonts w:ascii="Times New Roman" w:hAnsi="Times New Roman" w:eastAsia="黑体"/>
          <w:sz w:val="32"/>
          <w:szCs w:val="32"/>
        </w:rPr>
        <w:t>二、一般公共预算支出情况</w:t>
      </w:r>
    </w:p>
    <w:p>
      <w:pPr>
        <w:pStyle w:val="17"/>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pPr>
        <w:spacing w:line="600" w:lineRule="exact"/>
        <w:ind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年度基本支出</w:t>
      </w:r>
      <w:r>
        <w:rPr>
          <w:rFonts w:hint="eastAsia" w:ascii="Times New Roman" w:hAnsi="Times New Roman" w:eastAsia="仿宋_GB2312" w:cs="Times New Roman"/>
          <w:sz w:val="32"/>
          <w:szCs w:val="32"/>
          <w:lang w:val="en-US" w:eastAsia="zh-CN"/>
        </w:rPr>
        <w:t>87</w:t>
      </w:r>
      <w:r>
        <w:rPr>
          <w:rFonts w:hint="eastAsia" w:eastAsia="仿宋_GB2312" w:cs="Times New Roman"/>
          <w:sz w:val="32"/>
          <w:szCs w:val="32"/>
          <w:lang w:val="en-US" w:eastAsia="zh-CN"/>
        </w:rPr>
        <w:t>4.13</w:t>
      </w:r>
      <w:r>
        <w:rPr>
          <w:rFonts w:hint="eastAsia" w:ascii="Times New Roman" w:hAnsi="Times New Roman" w:eastAsia="仿宋_GB2312" w:cs="Times New Roman"/>
          <w:sz w:val="32"/>
          <w:szCs w:val="32"/>
        </w:rPr>
        <w:t>万元，与上年相比，增加</w:t>
      </w:r>
      <w:r>
        <w:rPr>
          <w:rFonts w:hint="eastAsia" w:eastAsia="仿宋_GB2312" w:cs="Times New Roman"/>
          <w:sz w:val="32"/>
          <w:szCs w:val="32"/>
          <w:lang w:val="en-US" w:eastAsia="zh-CN"/>
        </w:rPr>
        <w:t>67.66</w:t>
      </w:r>
      <w:r>
        <w:rPr>
          <w:rFonts w:hint="eastAsia" w:ascii="Times New Roman" w:hAnsi="Times New Roman" w:eastAsia="仿宋_GB2312" w:cs="Times New Roman"/>
          <w:sz w:val="32"/>
          <w:szCs w:val="32"/>
        </w:rPr>
        <w:t>万元，主要是由于</w:t>
      </w:r>
      <w:r>
        <w:rPr>
          <w:rFonts w:hint="eastAsia" w:ascii="Times New Roman" w:hAnsi="Times New Roman" w:eastAsia="仿宋_GB2312" w:cs="Times New Roman"/>
          <w:sz w:val="32"/>
          <w:szCs w:val="32"/>
          <w:lang w:val="en-US" w:eastAsia="zh-CN"/>
        </w:rPr>
        <w:t>本年机构合并。</w:t>
      </w:r>
    </w:p>
    <w:p>
      <w:pPr>
        <w:pStyle w:val="17"/>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（二）项目支出情况</w:t>
      </w:r>
    </w:p>
    <w:p>
      <w:pPr>
        <w:spacing w:line="600" w:lineRule="exact"/>
        <w:ind w:firstLine="640" w:firstLineChars="200"/>
        <w:rPr>
          <w:rFonts w:hint="eastAsia" w:ascii="Times New Roman" w:hAnsi="Times New Roman" w:eastAsia="仿宋_GB2312"/>
          <w:sz w:val="32"/>
          <w:szCs w:val="32"/>
          <w:lang w:val="en-US" w:eastAsia="zh-CN"/>
        </w:rPr>
      </w:pPr>
      <w:r>
        <w:rPr>
          <w:rFonts w:hint="eastAsia" w:eastAsia="仿宋_GB2312"/>
          <w:sz w:val="32"/>
          <w:szCs w:val="32"/>
        </w:rPr>
        <w:t>202</w:t>
      </w:r>
      <w:r>
        <w:rPr>
          <w:rFonts w:hint="eastAsia" w:eastAsia="仿宋_GB2312"/>
          <w:sz w:val="32"/>
          <w:szCs w:val="32"/>
          <w:lang w:val="en-US" w:eastAsia="zh-CN"/>
        </w:rPr>
        <w:t>4</w:t>
      </w:r>
      <w:r>
        <w:rPr>
          <w:rFonts w:hint="eastAsia" w:eastAsia="仿宋_GB2312"/>
          <w:sz w:val="32"/>
          <w:szCs w:val="32"/>
        </w:rPr>
        <w:t>年度项目支出</w:t>
      </w:r>
      <w:r>
        <w:rPr>
          <w:rFonts w:hint="eastAsia" w:eastAsia="仿宋_GB2312"/>
          <w:sz w:val="32"/>
          <w:szCs w:val="32"/>
          <w:lang w:val="en-US" w:eastAsia="zh-CN"/>
        </w:rPr>
        <w:t>1148.7</w:t>
      </w:r>
      <w:r>
        <w:rPr>
          <w:rFonts w:hint="eastAsia" w:eastAsia="仿宋_GB2312"/>
          <w:sz w:val="32"/>
          <w:szCs w:val="32"/>
        </w:rPr>
        <w:t>万元。省级</w:t>
      </w:r>
      <w:r>
        <w:rPr>
          <w:rFonts w:hint="eastAsia" w:eastAsia="仿宋_GB2312"/>
          <w:sz w:val="32"/>
          <w:szCs w:val="32"/>
          <w:lang w:val="en-US" w:eastAsia="zh-CN"/>
        </w:rPr>
        <w:t>专项</w:t>
      </w:r>
      <w:r>
        <w:rPr>
          <w:rFonts w:hint="eastAsia" w:eastAsia="仿宋_GB2312"/>
          <w:sz w:val="32"/>
          <w:szCs w:val="32"/>
        </w:rPr>
        <w:t>资金方面：202</w:t>
      </w:r>
      <w:r>
        <w:rPr>
          <w:rFonts w:hint="eastAsia" w:eastAsia="仿宋_GB2312"/>
          <w:sz w:val="32"/>
          <w:szCs w:val="32"/>
          <w:lang w:val="en-US" w:eastAsia="zh-CN"/>
        </w:rPr>
        <w:t>4</w:t>
      </w:r>
      <w:r>
        <w:rPr>
          <w:rFonts w:hint="eastAsia" w:eastAsia="仿宋_GB2312"/>
          <w:sz w:val="32"/>
          <w:szCs w:val="32"/>
        </w:rPr>
        <w:t>年用于</w:t>
      </w:r>
      <w:r>
        <w:rPr>
          <w:rFonts w:hint="eastAsia" w:ascii="Times New Roman" w:hAnsi="Times New Roman" w:eastAsia="仿宋_GB2312" w:cs="Times New Roman"/>
          <w:sz w:val="32"/>
          <w:szCs w:val="32"/>
          <w:lang w:val="en-US" w:eastAsia="zh-CN"/>
        </w:rPr>
        <w:t>现代</w:t>
      </w:r>
      <w:r>
        <w:rPr>
          <w:rFonts w:hint="eastAsia" w:ascii="Times New Roman" w:hAnsi="Times New Roman" w:eastAsia="仿宋_GB2312" w:cs="Times New Roman"/>
          <w:sz w:val="32"/>
          <w:szCs w:val="32"/>
        </w:rPr>
        <w:t>农业</w:t>
      </w:r>
      <w:r>
        <w:rPr>
          <w:rFonts w:hint="eastAsia" w:ascii="Times New Roman" w:hAnsi="Times New Roman" w:eastAsia="仿宋_GB2312" w:cs="Times New Roman"/>
          <w:sz w:val="32"/>
          <w:szCs w:val="32"/>
          <w:lang w:val="en-US" w:eastAsia="zh-CN"/>
        </w:rPr>
        <w:t>农村发展专项</w:t>
      </w:r>
      <w:r>
        <w:rPr>
          <w:rFonts w:hint="eastAsia" w:eastAsia="仿宋_GB2312"/>
          <w:sz w:val="32"/>
          <w:szCs w:val="32"/>
        </w:rPr>
        <w:t>开支</w:t>
      </w:r>
      <w:r>
        <w:rPr>
          <w:rFonts w:hint="eastAsia" w:eastAsia="仿宋_GB2312"/>
          <w:sz w:val="32"/>
          <w:szCs w:val="32"/>
          <w:lang w:val="en-US" w:eastAsia="zh-CN"/>
        </w:rPr>
        <w:t>456.18</w:t>
      </w:r>
      <w:r>
        <w:rPr>
          <w:rFonts w:hint="eastAsia" w:eastAsia="仿宋_GB2312"/>
          <w:sz w:val="32"/>
          <w:szCs w:val="32"/>
        </w:rPr>
        <w:t>万元，开展农业农村业务培训班</w:t>
      </w:r>
      <w:r>
        <w:rPr>
          <w:rFonts w:hint="eastAsia" w:eastAsia="仿宋_GB2312"/>
          <w:sz w:val="32"/>
          <w:szCs w:val="32"/>
          <w:lang w:val="en-US" w:eastAsia="zh-CN"/>
        </w:rPr>
        <w:t>34</w:t>
      </w:r>
      <w:r>
        <w:rPr>
          <w:rFonts w:hint="eastAsia" w:eastAsia="仿宋_GB2312"/>
          <w:sz w:val="32"/>
          <w:szCs w:val="32"/>
        </w:rPr>
        <w:t>期，培训人数</w:t>
      </w:r>
      <w:r>
        <w:rPr>
          <w:rFonts w:hint="eastAsia" w:eastAsia="仿宋_GB2312"/>
          <w:sz w:val="32"/>
          <w:szCs w:val="32"/>
          <w:lang w:val="en-US" w:eastAsia="zh-CN"/>
        </w:rPr>
        <w:t>5883</w:t>
      </w:r>
      <w:r>
        <w:rPr>
          <w:rFonts w:hint="eastAsia" w:eastAsia="仿宋_GB2312"/>
          <w:sz w:val="32"/>
          <w:szCs w:val="32"/>
        </w:rPr>
        <w:t>人次。其他项目资金方面：一是“农广助农”产业领军人才培训班</w:t>
      </w:r>
      <w:r>
        <w:rPr>
          <w:rFonts w:hint="eastAsia" w:eastAsia="仿宋_GB2312"/>
          <w:sz w:val="32"/>
          <w:szCs w:val="32"/>
          <w:lang w:val="en-US" w:eastAsia="zh-CN"/>
        </w:rPr>
        <w:t>39</w:t>
      </w:r>
      <w:r>
        <w:rPr>
          <w:rFonts w:hint="eastAsia" w:eastAsia="仿宋_GB2312"/>
          <w:sz w:val="32"/>
          <w:szCs w:val="32"/>
        </w:rPr>
        <w:t>期开支</w:t>
      </w:r>
      <w:r>
        <w:rPr>
          <w:rFonts w:hint="eastAsia" w:eastAsia="仿宋_GB2312"/>
          <w:color w:val="auto"/>
          <w:sz w:val="32"/>
          <w:szCs w:val="32"/>
          <w:lang w:val="en-US" w:eastAsia="zh-CN"/>
        </w:rPr>
        <w:t>354.6</w:t>
      </w:r>
      <w:r>
        <w:rPr>
          <w:rFonts w:hint="eastAsia" w:eastAsia="仿宋_GB2312"/>
          <w:color w:val="auto"/>
          <w:sz w:val="32"/>
          <w:szCs w:val="32"/>
        </w:rPr>
        <w:t>万</w:t>
      </w:r>
      <w:r>
        <w:rPr>
          <w:rFonts w:hint="eastAsia" w:eastAsia="仿宋_GB2312"/>
          <w:sz w:val="32"/>
          <w:szCs w:val="32"/>
        </w:rPr>
        <w:t>元，培训</w:t>
      </w:r>
      <w:r>
        <w:rPr>
          <w:rFonts w:hint="eastAsia" w:eastAsia="仿宋_GB2312"/>
          <w:sz w:val="32"/>
          <w:szCs w:val="32"/>
          <w:lang w:val="en-US" w:eastAsia="zh-CN"/>
        </w:rPr>
        <w:t>3386</w:t>
      </w:r>
      <w:r>
        <w:rPr>
          <w:rFonts w:hint="eastAsia" w:eastAsia="仿宋_GB2312"/>
          <w:sz w:val="32"/>
          <w:szCs w:val="32"/>
        </w:rPr>
        <w:t>人次，主要培训全省各市州、县市区农业产业领军人才、家庭农场主、合作社理事长等新型农业经营主体，二是开展“三农”干部走出去培训班</w:t>
      </w:r>
      <w:r>
        <w:rPr>
          <w:rFonts w:hint="eastAsia" w:eastAsia="仿宋_GB2312"/>
          <w:sz w:val="32"/>
          <w:szCs w:val="32"/>
          <w:lang w:val="en-US" w:eastAsia="zh-CN"/>
        </w:rPr>
        <w:t>2</w:t>
      </w:r>
      <w:r>
        <w:rPr>
          <w:rFonts w:hint="eastAsia" w:eastAsia="仿宋_GB2312"/>
          <w:sz w:val="32"/>
          <w:szCs w:val="32"/>
        </w:rPr>
        <w:t>期，</w:t>
      </w:r>
      <w:r>
        <w:rPr>
          <w:rFonts w:hint="eastAsia" w:eastAsia="仿宋_GB2312"/>
          <w:sz w:val="32"/>
          <w:szCs w:val="32"/>
          <w:lang w:val="en-US" w:eastAsia="zh-CN"/>
        </w:rPr>
        <w:t>培训131人次，</w:t>
      </w:r>
      <w:r>
        <w:rPr>
          <w:rFonts w:hint="eastAsia" w:eastAsia="仿宋_GB2312"/>
          <w:sz w:val="32"/>
          <w:szCs w:val="32"/>
        </w:rPr>
        <w:t>开支培训费</w:t>
      </w:r>
      <w:r>
        <w:rPr>
          <w:rFonts w:hint="eastAsia" w:eastAsia="仿宋_GB2312"/>
          <w:color w:val="auto"/>
          <w:sz w:val="32"/>
          <w:szCs w:val="32"/>
          <w:lang w:val="en-US" w:eastAsia="zh-CN"/>
        </w:rPr>
        <w:t>52.37</w:t>
      </w:r>
      <w:r>
        <w:rPr>
          <w:rFonts w:hint="eastAsia" w:eastAsia="仿宋_GB2312"/>
          <w:sz w:val="32"/>
          <w:szCs w:val="32"/>
        </w:rPr>
        <w:t>万元，主要是培训全省各市州、县市区“三农”战线的干部。三是农民田间学校实用技术培训班</w:t>
      </w:r>
      <w:r>
        <w:rPr>
          <w:rFonts w:hint="eastAsia" w:eastAsia="仿宋_GB2312"/>
          <w:sz w:val="32"/>
          <w:szCs w:val="32"/>
          <w:lang w:val="en-US" w:eastAsia="zh-CN"/>
        </w:rPr>
        <w:t>38</w:t>
      </w:r>
      <w:r>
        <w:rPr>
          <w:rFonts w:hint="eastAsia" w:eastAsia="仿宋_GB2312"/>
          <w:sz w:val="32"/>
          <w:szCs w:val="32"/>
        </w:rPr>
        <w:t>期开</w:t>
      </w:r>
      <w:r>
        <w:rPr>
          <w:rFonts w:hint="eastAsia" w:eastAsia="仿宋_GB2312"/>
          <w:color w:val="auto"/>
          <w:sz w:val="32"/>
          <w:szCs w:val="32"/>
        </w:rPr>
        <w:t>支</w:t>
      </w:r>
      <w:r>
        <w:rPr>
          <w:rFonts w:hint="eastAsia" w:eastAsia="仿宋_GB2312"/>
          <w:color w:val="auto"/>
          <w:sz w:val="32"/>
          <w:szCs w:val="32"/>
          <w:lang w:val="en-US" w:eastAsia="zh-CN"/>
        </w:rPr>
        <w:t>130.46</w:t>
      </w:r>
      <w:r>
        <w:rPr>
          <w:rFonts w:hint="eastAsia" w:eastAsia="仿宋_GB2312"/>
          <w:color w:val="auto"/>
          <w:sz w:val="32"/>
          <w:szCs w:val="32"/>
        </w:rPr>
        <w:t>万元，</w:t>
      </w:r>
      <w:r>
        <w:rPr>
          <w:rFonts w:hint="eastAsia" w:eastAsia="仿宋_GB2312"/>
          <w:sz w:val="32"/>
          <w:szCs w:val="32"/>
        </w:rPr>
        <w:t>培训人数</w:t>
      </w:r>
      <w:r>
        <w:rPr>
          <w:rFonts w:hint="eastAsia" w:eastAsia="仿宋_GB2312"/>
          <w:sz w:val="32"/>
          <w:szCs w:val="32"/>
          <w:lang w:val="en-US" w:eastAsia="zh-CN"/>
        </w:rPr>
        <w:t>1927</w:t>
      </w:r>
      <w:r>
        <w:rPr>
          <w:rFonts w:hint="eastAsia" w:eastAsia="仿宋_GB2312"/>
          <w:sz w:val="32"/>
          <w:szCs w:val="32"/>
        </w:rPr>
        <w:t>人</w:t>
      </w:r>
      <w:r>
        <w:rPr>
          <w:rFonts w:hint="eastAsia" w:eastAsia="仿宋_GB2312"/>
          <w:sz w:val="32"/>
          <w:szCs w:val="32"/>
          <w:lang w:val="en-US" w:eastAsia="zh-CN"/>
        </w:rPr>
        <w:t>次</w:t>
      </w:r>
      <w:r>
        <w:rPr>
          <w:rFonts w:hint="eastAsia" w:eastAsia="仿宋_GB2312"/>
          <w:sz w:val="32"/>
          <w:szCs w:val="32"/>
        </w:rPr>
        <w:t>，主要是农业实用新技术的培训推广</w:t>
      </w:r>
      <w:r>
        <w:rPr>
          <w:rFonts w:hint="eastAsia" w:eastAsia="仿宋_GB2312"/>
          <w:sz w:val="32"/>
          <w:szCs w:val="32"/>
          <w:lang w:eastAsia="zh-CN"/>
        </w:rPr>
        <w:t>。</w:t>
      </w:r>
      <w:r>
        <w:rPr>
          <w:rFonts w:hint="eastAsia" w:eastAsia="仿宋_GB2312"/>
          <w:sz w:val="32"/>
          <w:szCs w:val="32"/>
          <w:lang w:val="en-US" w:eastAsia="zh-CN"/>
        </w:rPr>
        <w:t>四是开展农村体育文化健身活动4期，开支金额64.92万元，参训人数439人，主要</w:t>
      </w:r>
      <w:r>
        <w:rPr>
          <w:rFonts w:hint="eastAsia" w:ascii="仿宋_GB2312" w:hAnsi="方正仿宋_GBK" w:eastAsia="仿宋_GB2312" w:cs="方正仿宋_GBK"/>
          <w:sz w:val="32"/>
          <w:szCs w:val="32"/>
        </w:rPr>
        <w:t>举办全省广场舞、八段锦等农村社会体育指导员培训</w:t>
      </w:r>
      <w:r>
        <w:rPr>
          <w:rFonts w:hint="eastAsia" w:ascii="仿宋_GB2312" w:hAnsi="方正仿宋_GBK" w:eastAsia="仿宋_GB2312" w:cs="方正仿宋_GBK"/>
          <w:sz w:val="32"/>
          <w:szCs w:val="32"/>
          <w:lang w:eastAsia="zh-CN"/>
        </w:rPr>
        <w:t>，</w:t>
      </w:r>
      <w:r>
        <w:rPr>
          <w:rFonts w:hint="eastAsia" w:ascii="Times New Roman" w:hAnsi="Times New Roman" w:eastAsia="仿宋_GB2312"/>
          <w:sz w:val="32"/>
          <w:szCs w:val="32"/>
          <w:lang w:val="en-US" w:eastAsia="zh-CN"/>
        </w:rPr>
        <w:t>及</w:t>
      </w:r>
      <w:r>
        <w:rPr>
          <w:rFonts w:hint="eastAsia" w:ascii="Times New Roman" w:hAnsi="Times New Roman" w:eastAsia="仿宋_GB2312"/>
          <w:sz w:val="32"/>
          <w:szCs w:val="32"/>
        </w:rPr>
        <w:t>篮球、气排球二级裁判员培训</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五是举办</w:t>
      </w:r>
      <w:r>
        <w:rPr>
          <w:rFonts w:hint="eastAsia" w:ascii="仿宋_GB2312" w:hAnsi="方正仿宋_GBK" w:eastAsia="仿宋_GB2312" w:cs="方正仿宋_GBK"/>
          <w:sz w:val="32"/>
          <w:szCs w:val="32"/>
        </w:rPr>
        <w:t>全省农民教育培训提质暨基层农广校校长能力提升班</w:t>
      </w:r>
      <w:r>
        <w:rPr>
          <w:rFonts w:hint="eastAsia" w:ascii="Times New Roman" w:hAnsi="Times New Roman" w:eastAsia="仿宋_GB2312" w:cs="Times New Roman"/>
          <w:sz w:val="32"/>
          <w:szCs w:val="32"/>
          <w:lang w:val="en-US" w:eastAsia="zh-CN"/>
        </w:rPr>
        <w:t>16.68</w:t>
      </w:r>
      <w:r>
        <w:rPr>
          <w:rFonts w:hint="eastAsia" w:ascii="仿宋_GB2312" w:hAnsi="方正仿宋_GBK" w:eastAsia="仿宋_GB2312" w:cs="方正仿宋_GBK"/>
          <w:sz w:val="32"/>
          <w:szCs w:val="32"/>
          <w:lang w:val="en-US" w:eastAsia="zh-CN"/>
        </w:rPr>
        <w:t>万元，召开市州农广校校长座谈会，全面提升体系业务能力，全面梳理体系存在问题、面临的挑战机遇，初步明确体系未来发展方向。</w:t>
      </w:r>
      <w:r>
        <w:rPr>
          <w:rFonts w:hint="eastAsia" w:ascii="Times New Roman" w:hAnsi="Times New Roman" w:eastAsia="仿宋_GB2312"/>
          <w:sz w:val="32"/>
          <w:szCs w:val="32"/>
          <w:lang w:val="en-US" w:eastAsia="zh-CN"/>
        </w:rPr>
        <w:t>六是《中国乡村振兴》杂志采购</w:t>
      </w:r>
      <w:r>
        <w:rPr>
          <w:rFonts w:hint="eastAsia" w:ascii="Times New Roman" w:hAnsi="Times New Roman" w:eastAsia="仿宋_GB2312" w:cs="Times New Roman"/>
          <w:sz w:val="32"/>
          <w:szCs w:val="32"/>
          <w:lang w:val="en-US" w:eastAsia="zh-CN"/>
        </w:rPr>
        <w:t>0.63</w:t>
      </w:r>
      <w:r>
        <w:rPr>
          <w:rFonts w:hint="eastAsia" w:ascii="Times New Roman" w:hAnsi="Times New Roman" w:eastAsia="仿宋_GB2312"/>
          <w:sz w:val="32"/>
          <w:szCs w:val="32"/>
          <w:lang w:val="en-US" w:eastAsia="zh-CN"/>
        </w:rPr>
        <w:t>万元。七是业务工作经费</w:t>
      </w:r>
      <w:r>
        <w:rPr>
          <w:rFonts w:hint="eastAsia" w:ascii="Times New Roman" w:hAnsi="Times New Roman" w:eastAsia="仿宋_GB2312" w:cs="Times New Roman"/>
          <w:sz w:val="32"/>
          <w:szCs w:val="32"/>
          <w:lang w:val="en-US" w:eastAsia="zh-CN"/>
        </w:rPr>
        <w:t>72.87</w:t>
      </w:r>
      <w:r>
        <w:rPr>
          <w:rFonts w:hint="eastAsia" w:ascii="Times New Roman" w:hAnsi="Times New Roman" w:eastAsia="仿宋_GB2312"/>
          <w:sz w:val="32"/>
          <w:szCs w:val="32"/>
          <w:lang w:val="en-US" w:eastAsia="zh-CN"/>
        </w:rPr>
        <w:t>万元。</w:t>
      </w:r>
    </w:p>
    <w:p>
      <w:pPr>
        <w:spacing w:line="600" w:lineRule="exact"/>
        <w:ind w:firstLine="640" w:firstLineChars="20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三、政府性基金预算支出情况</w:t>
      </w:r>
    </w:p>
    <w:p>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我单位2024</w:t>
      </w:r>
      <w:r>
        <w:rPr>
          <w:rFonts w:ascii="Times New Roman" w:hAnsi="Times New Roman" w:eastAsia="仿宋_GB2312" w:cs="Times New Roman"/>
          <w:color w:val="000000"/>
          <w:sz w:val="32"/>
          <w:szCs w:val="32"/>
        </w:rPr>
        <w:t>年度无国有资本经营预算</w:t>
      </w:r>
      <w:r>
        <w:rPr>
          <w:rFonts w:hint="eastAsia" w:ascii="Times New Roman" w:hAnsi="Times New Roman" w:eastAsia="仿宋_GB2312" w:cs="Times New Roman"/>
          <w:color w:val="000000"/>
          <w:sz w:val="32"/>
          <w:szCs w:val="32"/>
        </w:rPr>
        <w:t>支出</w:t>
      </w:r>
      <w:r>
        <w:rPr>
          <w:rFonts w:ascii="Times New Roman" w:hAnsi="Times New Roman" w:eastAsia="仿宋_GB2312" w:cs="Times New Roman"/>
          <w:color w:val="000000"/>
          <w:sz w:val="32"/>
          <w:szCs w:val="32"/>
        </w:rPr>
        <w:t>。</w:t>
      </w:r>
    </w:p>
    <w:p>
      <w:pPr>
        <w:spacing w:line="600" w:lineRule="exact"/>
        <w:ind w:firstLine="640" w:firstLineChars="20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四、国有资本经营预算支出情况</w:t>
      </w:r>
    </w:p>
    <w:p>
      <w:pPr>
        <w:spacing w:line="60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我单位2024</w:t>
      </w:r>
      <w:r>
        <w:rPr>
          <w:rFonts w:ascii="Times New Roman" w:hAnsi="Times New Roman" w:eastAsia="仿宋_GB2312" w:cs="Times New Roman"/>
          <w:color w:val="000000"/>
          <w:sz w:val="32"/>
          <w:szCs w:val="32"/>
        </w:rPr>
        <w:t>年度无国有资本经营预算</w:t>
      </w:r>
      <w:r>
        <w:rPr>
          <w:rFonts w:hint="eastAsia" w:ascii="Times New Roman" w:hAnsi="Times New Roman" w:eastAsia="仿宋_GB2312" w:cs="Times New Roman"/>
          <w:color w:val="000000"/>
          <w:sz w:val="32"/>
          <w:szCs w:val="32"/>
        </w:rPr>
        <w:t>支出</w:t>
      </w:r>
      <w:r>
        <w:rPr>
          <w:rFonts w:ascii="Times New Roman" w:hAnsi="Times New Roman" w:eastAsia="仿宋_GB2312" w:cs="Times New Roman"/>
          <w:color w:val="000000"/>
          <w:sz w:val="32"/>
          <w:szCs w:val="32"/>
        </w:rPr>
        <w:t>。</w:t>
      </w:r>
    </w:p>
    <w:p>
      <w:pPr>
        <w:spacing w:line="600" w:lineRule="exact"/>
        <w:ind w:firstLine="640" w:firstLineChars="20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五、社会保险基金预算支出情况</w:t>
      </w:r>
    </w:p>
    <w:p>
      <w:pPr>
        <w:spacing w:line="600" w:lineRule="exact"/>
        <w:ind w:firstLine="640" w:firstLineChars="200"/>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我单位2024</w:t>
      </w:r>
      <w:r>
        <w:rPr>
          <w:rFonts w:ascii="Times New Roman" w:hAnsi="Times New Roman" w:eastAsia="仿宋_GB2312" w:cs="Times New Roman"/>
          <w:color w:val="000000"/>
          <w:sz w:val="32"/>
          <w:szCs w:val="32"/>
        </w:rPr>
        <w:t>年度无社会保险基金预算</w:t>
      </w:r>
      <w:r>
        <w:rPr>
          <w:rFonts w:hint="eastAsia" w:ascii="Times New Roman" w:hAnsi="Times New Roman" w:eastAsia="仿宋_GB2312" w:cs="Times New Roman"/>
          <w:color w:val="000000"/>
          <w:sz w:val="32"/>
          <w:szCs w:val="32"/>
        </w:rPr>
        <w:t>支出</w:t>
      </w:r>
      <w:r>
        <w:rPr>
          <w:rFonts w:ascii="Times New Roman" w:hAnsi="Times New Roman" w:eastAsia="仿宋_GB2312" w:cs="Times New Roman"/>
          <w:color w:val="000000"/>
          <w:sz w:val="32"/>
          <w:szCs w:val="32"/>
        </w:rPr>
        <w:t>。</w:t>
      </w:r>
    </w:p>
    <w:p>
      <w:pPr>
        <w:numPr>
          <w:ilvl w:val="0"/>
          <w:numId w:val="0"/>
        </w:numPr>
        <w:spacing w:line="600" w:lineRule="exact"/>
        <w:ind w:firstLine="640" w:firstLineChars="200"/>
      </w:pPr>
      <w:r>
        <w:rPr>
          <w:rFonts w:hint="eastAsia" w:eastAsia="黑体"/>
          <w:sz w:val="32"/>
          <w:szCs w:val="32"/>
          <w:lang w:val="en-US" w:eastAsia="zh-CN"/>
        </w:rPr>
        <w:t>六、</w:t>
      </w:r>
      <w:r>
        <w:rPr>
          <w:rFonts w:eastAsia="黑体"/>
          <w:sz w:val="32"/>
          <w:szCs w:val="32"/>
        </w:rPr>
        <w:t>部门整体支出绩效情况</w:t>
      </w:r>
    </w:p>
    <w:p>
      <w:pPr>
        <w:pStyle w:val="11"/>
        <w:spacing w:line="620" w:lineRule="exact"/>
        <w:ind w:firstLine="640" w:firstLineChars="200"/>
        <w:rPr>
          <w:rFonts w:hint="eastAsia" w:ascii="仿宋_GB2312" w:hAnsi="方正楷体_GBK" w:eastAsia="仿宋_GB2312" w:cs="方正楷体_GBK"/>
          <w:b/>
          <w:bCs/>
          <w:sz w:val="32"/>
          <w:szCs w:val="32"/>
        </w:rPr>
      </w:pPr>
      <w:r>
        <w:rPr>
          <w:rFonts w:hint="eastAsia" w:ascii="仿宋_GB2312" w:hAnsi="方正仿宋_GBK" w:eastAsia="仿宋_GB2312" w:cs="方正仿宋_GBK"/>
          <w:sz w:val="32"/>
          <w:szCs w:val="32"/>
        </w:rPr>
        <w:t>2024年，省农广校围绕中心、服务大局，积极担当作为，发挥农民教育培训主阵地作用、乡村人才培育主渠道作用，高质量开展农民教育培训和“三农”干部培训工作，统筹做好农民体育工作，各项工作取得了较好成效。全年学校直接组织举办各类培训班近</w:t>
      </w:r>
      <w:r>
        <w:rPr>
          <w:rFonts w:ascii="Times New Roman" w:hAnsi="Times New Roman" w:eastAsia="仿宋_GB2312"/>
          <w:sz w:val="32"/>
          <w:szCs w:val="32"/>
        </w:rPr>
        <w:t>120</w:t>
      </w:r>
      <w:r>
        <w:rPr>
          <w:rFonts w:hint="eastAsia" w:ascii="仿宋_GB2312" w:hAnsi="方正仿宋_GBK" w:eastAsia="仿宋_GB2312" w:cs="方正仿宋_GBK"/>
          <w:sz w:val="32"/>
          <w:szCs w:val="32"/>
        </w:rPr>
        <w:t>期，培训学员</w:t>
      </w:r>
      <w:r>
        <w:rPr>
          <w:rFonts w:hint="eastAsia" w:ascii="Times New Roman" w:hAnsi="Times New Roman" w:eastAsia="仿宋_GB2312"/>
          <w:sz w:val="32"/>
          <w:szCs w:val="32"/>
        </w:rPr>
        <w:t>1</w:t>
      </w:r>
      <w:r>
        <w:rPr>
          <w:rFonts w:hint="eastAsia" w:ascii="仿宋_GB2312" w:hAnsi="方正仿宋_GBK" w:eastAsia="仿宋_GB2312" w:cs="方正仿宋_GBK"/>
          <w:sz w:val="32"/>
          <w:szCs w:val="32"/>
        </w:rPr>
        <w:t>万</w:t>
      </w:r>
      <w:r>
        <w:rPr>
          <w:rFonts w:hint="eastAsia" w:ascii="仿宋_GB2312" w:hAnsi="方正仿宋_GBK" w:eastAsia="仿宋_GB2312" w:cs="方正仿宋_GBK"/>
          <w:sz w:val="32"/>
          <w:szCs w:val="32"/>
          <w:lang w:val="en-US" w:eastAsia="zh-CN"/>
        </w:rPr>
        <w:t>余</w:t>
      </w:r>
      <w:r>
        <w:rPr>
          <w:rFonts w:hint="eastAsia" w:ascii="仿宋_GB2312" w:hAnsi="方正仿宋_GBK" w:eastAsia="仿宋_GB2312" w:cs="方正仿宋_GBK"/>
          <w:sz w:val="32"/>
          <w:szCs w:val="32"/>
        </w:rPr>
        <w:t>人次，落实培训专项经费近</w:t>
      </w:r>
      <w:r>
        <w:rPr>
          <w:rFonts w:hint="eastAsia" w:ascii="Times New Roman" w:hAnsi="Times New Roman" w:eastAsia="仿宋_GB2312"/>
          <w:sz w:val="32"/>
          <w:szCs w:val="32"/>
        </w:rPr>
        <w:t>1100</w:t>
      </w:r>
      <w:r>
        <w:rPr>
          <w:rFonts w:hint="eastAsia" w:ascii="仿宋_GB2312" w:hAnsi="方正仿宋_GBK" w:eastAsia="仿宋_GB2312" w:cs="方正仿宋_GBK"/>
          <w:sz w:val="32"/>
          <w:szCs w:val="32"/>
        </w:rPr>
        <w:t>万元。</w:t>
      </w:r>
    </w:p>
    <w:p>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b/>
          <w:bCs/>
          <w:color w:val="auto"/>
          <w:sz w:val="32"/>
          <w:szCs w:val="32"/>
        </w:rPr>
      </w:pPr>
      <w:r>
        <w:rPr>
          <w:rFonts w:hint="eastAsia" w:ascii="Times New Roman" w:hAnsi="Times New Roman" w:eastAsia="仿宋_GB2312" w:cs="黑体"/>
          <w:b/>
          <w:bCs/>
          <w:color w:val="auto"/>
          <w:kern w:val="0"/>
          <w:sz w:val="32"/>
          <w:szCs w:val="32"/>
          <w:lang w:val="en-US" w:eastAsia="zh-CN" w:bidi="ar-SA"/>
        </w:rPr>
        <w:t>（一）</w:t>
      </w:r>
      <w:r>
        <w:rPr>
          <w:rFonts w:hint="eastAsia" w:ascii="Times New Roman" w:hAnsi="Times New Roman" w:eastAsia="仿宋_GB2312"/>
          <w:b/>
          <w:bCs/>
          <w:color w:val="auto"/>
          <w:sz w:val="32"/>
          <w:szCs w:val="32"/>
        </w:rPr>
        <w:t>严控运行成本</w:t>
      </w:r>
    </w:p>
    <w:p>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1、2024年度</w:t>
      </w:r>
      <w:r>
        <w:rPr>
          <w:rFonts w:hint="eastAsia" w:ascii="Times New Roman" w:hAnsi="Times New Roman" w:eastAsia="仿宋_GB2312"/>
          <w:color w:val="auto"/>
          <w:sz w:val="32"/>
          <w:szCs w:val="32"/>
        </w:rPr>
        <w:t>预算执行率</w:t>
      </w:r>
      <w:r>
        <w:rPr>
          <w:rFonts w:hint="eastAsia" w:ascii="Times New Roman" w:hAnsi="Times New Roman" w:eastAsia="仿宋_GB2312"/>
          <w:color w:val="auto"/>
          <w:sz w:val="32"/>
          <w:szCs w:val="32"/>
          <w:lang w:val="en-US" w:eastAsia="zh-CN"/>
        </w:rPr>
        <w:t>为70%</w:t>
      </w:r>
      <w:r>
        <w:rPr>
          <w:rFonts w:hint="eastAsia" w:ascii="Times New Roman" w:hAnsi="Times New Roman" w:eastAsia="仿宋_GB2312"/>
          <w:color w:val="auto"/>
          <w:sz w:val="32"/>
          <w:szCs w:val="32"/>
        </w:rPr>
        <w:t>，资金使用效率良好，确保了各项培训工作的顺利开展。</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rPr>
        <w:t>年“三公”经费支出</w:t>
      </w:r>
      <w:r>
        <w:rPr>
          <w:rFonts w:hint="eastAsia" w:ascii="Times New Roman" w:hAnsi="Times New Roman" w:eastAsia="仿宋_GB2312"/>
          <w:color w:val="auto"/>
          <w:sz w:val="32"/>
          <w:szCs w:val="32"/>
          <w:lang w:val="en-US" w:eastAsia="zh-CN"/>
        </w:rPr>
        <w:t>2.98</w:t>
      </w:r>
      <w:r>
        <w:rPr>
          <w:rFonts w:hint="eastAsia" w:ascii="Times New Roman" w:hAnsi="Times New Roman" w:eastAsia="仿宋_GB2312"/>
          <w:color w:val="auto"/>
          <w:sz w:val="32"/>
          <w:szCs w:val="32"/>
        </w:rPr>
        <w:t>万元。其中公务接待费</w:t>
      </w:r>
      <w:r>
        <w:rPr>
          <w:rFonts w:hint="eastAsia" w:ascii="Times New Roman" w:hAnsi="Times New Roman" w:eastAsia="仿宋_GB2312"/>
          <w:color w:val="auto"/>
          <w:sz w:val="32"/>
          <w:szCs w:val="32"/>
          <w:lang w:val="en-US" w:eastAsia="zh-CN"/>
        </w:rPr>
        <w:t>2.98</w:t>
      </w:r>
      <w:r>
        <w:rPr>
          <w:rFonts w:hint="eastAsia" w:ascii="Times New Roman" w:hAnsi="Times New Roman" w:eastAsia="仿宋_GB2312"/>
          <w:color w:val="auto"/>
          <w:sz w:val="32"/>
          <w:szCs w:val="32"/>
        </w:rPr>
        <w:t>万元、公务用车运行维护费</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万元、车辆购置费支出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万元，较年初预算</w:t>
      </w:r>
      <w:r>
        <w:rPr>
          <w:rFonts w:hint="eastAsia" w:ascii="Times New Roman" w:hAnsi="Times New Roman" w:eastAsia="仿宋_GB2312"/>
          <w:color w:val="auto"/>
          <w:sz w:val="32"/>
          <w:szCs w:val="32"/>
          <w:lang w:val="en-US" w:eastAsia="zh-CN"/>
        </w:rPr>
        <w:t>6</w:t>
      </w:r>
      <w:r>
        <w:rPr>
          <w:rFonts w:hint="eastAsia" w:ascii="Times New Roman" w:hAnsi="Times New Roman" w:eastAsia="仿宋_GB2312"/>
          <w:color w:val="auto"/>
          <w:sz w:val="32"/>
          <w:szCs w:val="32"/>
        </w:rPr>
        <w:t>万元节约</w:t>
      </w:r>
      <w:r>
        <w:rPr>
          <w:rFonts w:hint="eastAsia" w:ascii="Times New Roman" w:hAnsi="Times New Roman" w:eastAsia="仿宋_GB2312"/>
          <w:color w:val="auto"/>
          <w:sz w:val="32"/>
          <w:szCs w:val="32"/>
          <w:lang w:val="en-US" w:eastAsia="zh-CN"/>
        </w:rPr>
        <w:t>3.02</w:t>
      </w:r>
      <w:r>
        <w:rPr>
          <w:rFonts w:hint="eastAsia" w:ascii="Times New Roman" w:hAnsi="Times New Roman" w:eastAsia="仿宋_GB2312"/>
          <w:color w:val="auto"/>
          <w:sz w:val="32"/>
          <w:szCs w:val="32"/>
        </w:rPr>
        <w:t>万元，节约比为</w:t>
      </w:r>
      <w:r>
        <w:rPr>
          <w:rFonts w:hint="eastAsia" w:ascii="Times New Roman" w:hAnsi="Times New Roman" w:eastAsia="仿宋_GB2312"/>
          <w:color w:val="auto"/>
          <w:sz w:val="32"/>
          <w:szCs w:val="32"/>
          <w:lang w:val="en-US" w:eastAsia="zh-CN"/>
        </w:rPr>
        <w:t>50.33</w:t>
      </w:r>
      <w:r>
        <w:rPr>
          <w:rFonts w:hint="eastAsia" w:ascii="Times New Roman" w:hAnsi="Times New Roman" w:eastAsia="仿宋_GB2312"/>
          <w:color w:val="auto"/>
          <w:sz w:val="32"/>
          <w:szCs w:val="32"/>
        </w:rPr>
        <w:t>%。</w:t>
      </w:r>
    </w:p>
    <w:p>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通过严格的财务管理和审计监督，确保了资金使用的合规性和有效性，全年未发现违纪违法情况</w:t>
      </w:r>
      <w:r>
        <w:rPr>
          <w:rFonts w:hint="eastAsia" w:ascii="Times New Roman" w:hAnsi="Times New Roman" w:eastAsia="仿宋_GB2312"/>
          <w:color w:val="auto"/>
          <w:sz w:val="32"/>
          <w:szCs w:val="32"/>
          <w:lang w:eastAsia="zh-CN"/>
        </w:rPr>
        <w:t>。</w:t>
      </w:r>
    </w:p>
    <w:p>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b/>
          <w:bCs/>
          <w:color w:val="auto"/>
          <w:sz w:val="32"/>
          <w:szCs w:val="32"/>
        </w:rPr>
      </w:pPr>
      <w:r>
        <w:rPr>
          <w:rFonts w:hint="eastAsia" w:ascii="Times New Roman" w:hAnsi="Times New Roman" w:eastAsia="仿宋_GB2312"/>
          <w:b/>
          <w:bCs/>
          <w:color w:val="auto"/>
          <w:sz w:val="32"/>
          <w:szCs w:val="32"/>
          <w:lang w:eastAsia="zh-CN"/>
        </w:rPr>
        <w:t>（</w:t>
      </w:r>
      <w:r>
        <w:rPr>
          <w:rFonts w:hint="eastAsia" w:ascii="Times New Roman" w:hAnsi="Times New Roman" w:eastAsia="仿宋_GB2312"/>
          <w:b/>
          <w:bCs/>
          <w:color w:val="auto"/>
          <w:sz w:val="32"/>
          <w:szCs w:val="32"/>
          <w:lang w:val="en-US" w:eastAsia="zh-CN"/>
        </w:rPr>
        <w:t>二）</w:t>
      </w:r>
      <w:r>
        <w:rPr>
          <w:rFonts w:hint="eastAsia" w:ascii="Times New Roman" w:hAnsi="Times New Roman" w:eastAsia="仿宋_GB2312"/>
          <w:b/>
          <w:bCs/>
          <w:color w:val="auto"/>
          <w:sz w:val="32"/>
          <w:szCs w:val="32"/>
          <w:lang w:eastAsia="zh-CN"/>
        </w:rPr>
        <w:t>提高管理效率</w:t>
      </w:r>
    </w:p>
    <w:p>
      <w:pPr>
        <w:spacing w:line="560" w:lineRule="atLeast"/>
        <w:ind w:firstLine="640" w:firstLineChars="200"/>
        <w:rPr>
          <w:rFonts w:hint="eastAsia" w:ascii="仿宋_GB2312" w:hAnsi="仿宋" w:eastAsia="仿宋_GB2312" w:cs="仿宋"/>
          <w:color w:val="000000"/>
          <w:kern w:val="0"/>
          <w:sz w:val="32"/>
          <w:szCs w:val="32"/>
        </w:rPr>
      </w:pPr>
      <w:r>
        <w:rPr>
          <w:rFonts w:hint="eastAsia" w:eastAsia="仿宋_GB2312"/>
          <w:b w:val="0"/>
          <w:bCs w:val="0"/>
          <w:color w:val="auto"/>
          <w:sz w:val="32"/>
          <w:szCs w:val="32"/>
          <w:lang w:val="en-US" w:eastAsia="zh-CN"/>
        </w:rPr>
        <w:t>1、培训管理方面：</w:t>
      </w:r>
      <w:r>
        <w:rPr>
          <w:rFonts w:hint="eastAsia" w:ascii="Times New Roman" w:hAnsi="Times New Roman" w:eastAsia="仿宋_GB2312"/>
          <w:b/>
          <w:bCs/>
          <w:color w:val="auto"/>
          <w:sz w:val="32"/>
          <w:szCs w:val="32"/>
        </w:rPr>
        <w:t>一是</w:t>
      </w:r>
      <w:r>
        <w:rPr>
          <w:rFonts w:hint="eastAsia" w:ascii="Times New Roman" w:hAnsi="Times New Roman" w:eastAsia="仿宋_GB2312"/>
          <w:color w:val="auto"/>
          <w:sz w:val="32"/>
          <w:szCs w:val="32"/>
        </w:rPr>
        <w:t>围绕全省农业主导产业、优势产业和特色产业，联合基层农广校以及省畜牧兽医研究所、省蚕科所等科研院所，面向产业生产经营主要从业人员，开展产业技术和经营管理知识专项培训，组织培训</w:t>
      </w:r>
      <w:r>
        <w:rPr>
          <w:rFonts w:hint="eastAsia" w:eastAsia="仿宋_GB2312"/>
          <w:color w:val="auto"/>
          <w:sz w:val="32"/>
          <w:szCs w:val="32"/>
          <w:lang w:val="en-US" w:eastAsia="zh-CN"/>
        </w:rPr>
        <w:t>39</w:t>
      </w:r>
      <w:r>
        <w:rPr>
          <w:rFonts w:hint="eastAsia" w:ascii="Times New Roman" w:hAnsi="Times New Roman" w:eastAsia="仿宋_GB2312"/>
          <w:color w:val="auto"/>
          <w:sz w:val="32"/>
          <w:szCs w:val="32"/>
        </w:rPr>
        <w:t>期，培训</w:t>
      </w:r>
      <w:r>
        <w:rPr>
          <w:rFonts w:hint="eastAsia" w:eastAsia="仿宋_GB2312"/>
          <w:color w:val="auto"/>
          <w:sz w:val="32"/>
          <w:szCs w:val="32"/>
          <w:lang w:val="en-US" w:eastAsia="zh-CN"/>
        </w:rPr>
        <w:t>3386</w:t>
      </w:r>
      <w:r>
        <w:rPr>
          <w:rFonts w:hint="eastAsia" w:ascii="Times New Roman" w:hAnsi="Times New Roman" w:eastAsia="仿宋_GB2312"/>
          <w:color w:val="auto"/>
          <w:sz w:val="32"/>
          <w:szCs w:val="32"/>
        </w:rPr>
        <w:t>人次</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组织</w:t>
      </w:r>
      <w:r>
        <w:rPr>
          <w:rFonts w:hint="default" w:ascii="仿宋_GB2312" w:hAnsi="仿宋_GB2312" w:eastAsia="仿宋_GB2312" w:cs="仿宋_GB2312"/>
          <w:sz w:val="32"/>
          <w:szCs w:val="32"/>
          <w:lang w:val="en-US" w:eastAsia="zh-CN"/>
        </w:rPr>
        <w:t>全省</w:t>
      </w:r>
      <w:r>
        <w:rPr>
          <w:rFonts w:hint="eastAsia" w:ascii="仿宋_GB2312" w:hAnsi="仿宋_GB2312" w:eastAsia="仿宋_GB2312" w:cs="仿宋_GB2312"/>
          <w:sz w:val="32"/>
          <w:szCs w:val="32"/>
          <w:lang w:val="en-US" w:eastAsia="zh-CN"/>
        </w:rPr>
        <w:t>村级集体经济发展、农村人才培养等</w:t>
      </w:r>
      <w:r>
        <w:rPr>
          <w:rFonts w:hint="default" w:ascii="仿宋_GB2312" w:hAnsi="仿宋_GB2312" w:eastAsia="仿宋_GB2312" w:cs="仿宋_GB2312"/>
          <w:sz w:val="32"/>
          <w:szCs w:val="32"/>
          <w:lang w:val="en-US" w:eastAsia="zh-CN"/>
        </w:rPr>
        <w:t>领域的</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三农</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干部，实地</w:t>
      </w:r>
      <w:r>
        <w:rPr>
          <w:rFonts w:hint="eastAsia" w:ascii="仿宋_GB2312" w:hAnsi="仿宋_GB2312" w:eastAsia="仿宋_GB2312" w:cs="仿宋_GB2312"/>
          <w:sz w:val="32"/>
          <w:szCs w:val="32"/>
          <w:lang w:val="en-US" w:eastAsia="zh-CN"/>
        </w:rPr>
        <w:t>考察学习外省先进经验和做法。</w:t>
      </w:r>
      <w:r>
        <w:rPr>
          <w:rFonts w:hint="default" w:ascii="仿宋_GB2312" w:hAnsi="仿宋_GB2312" w:eastAsia="仿宋_GB2312" w:cs="仿宋_GB2312"/>
          <w:sz w:val="32"/>
          <w:szCs w:val="32"/>
          <w:lang w:val="en-US" w:eastAsia="zh-CN"/>
        </w:rPr>
        <w:t>全年</w:t>
      </w:r>
      <w:r>
        <w:rPr>
          <w:rFonts w:hint="eastAsia" w:ascii="仿宋_GB2312" w:hAnsi="方正仿宋_GBK" w:eastAsia="仿宋_GB2312" w:cs="方正仿宋_GBK"/>
          <w:sz w:val="32"/>
          <w:szCs w:val="32"/>
        </w:rPr>
        <w:t>共开展</w:t>
      </w:r>
      <w:r>
        <w:rPr>
          <w:rFonts w:hint="eastAsia" w:ascii="Times New Roman" w:hAnsi="Times New Roman" w:eastAsia="仿宋_GB2312"/>
          <w:sz w:val="32"/>
          <w:szCs w:val="32"/>
        </w:rPr>
        <w:t>培训</w:t>
      </w: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期，</w:t>
      </w:r>
      <w:r>
        <w:rPr>
          <w:rFonts w:hint="eastAsia" w:ascii="仿宋_GB2312" w:hAnsi="仿宋_GB2312" w:eastAsia="仿宋_GB2312" w:cs="仿宋_GB2312"/>
          <w:sz w:val="32"/>
          <w:szCs w:val="32"/>
          <w:lang w:val="en-US" w:eastAsia="zh-CN"/>
        </w:rPr>
        <w:t>组织131名“三农”</w:t>
      </w:r>
      <w:r>
        <w:rPr>
          <w:rFonts w:hint="default" w:ascii="仿宋_GB2312" w:hAnsi="仿宋_GB2312" w:eastAsia="仿宋_GB2312" w:cs="仿宋_GB2312"/>
          <w:sz w:val="32"/>
          <w:szCs w:val="32"/>
          <w:lang w:val="en-US" w:eastAsia="zh-CN"/>
        </w:rPr>
        <w:t>干部赴浙江</w:t>
      </w:r>
      <w:r>
        <w:rPr>
          <w:rFonts w:hint="eastAsia" w:ascii="仿宋_GB2312" w:hAnsi="仿宋_GB2312" w:eastAsia="仿宋_GB2312" w:cs="仿宋_GB2312"/>
          <w:sz w:val="32"/>
          <w:szCs w:val="32"/>
          <w:lang w:val="en-US" w:eastAsia="zh-CN"/>
        </w:rPr>
        <w:t>、北京</w:t>
      </w:r>
      <w:r>
        <w:rPr>
          <w:rFonts w:hint="default" w:ascii="仿宋_GB2312" w:hAnsi="仿宋_GB2312" w:eastAsia="仿宋_GB2312" w:cs="仿宋_GB2312"/>
          <w:sz w:val="32"/>
          <w:szCs w:val="32"/>
          <w:lang w:val="en-US" w:eastAsia="zh-CN"/>
        </w:rPr>
        <w:t>学习</w:t>
      </w:r>
      <w:r>
        <w:rPr>
          <w:rFonts w:hint="eastAsia" w:ascii="仿宋_GB2312" w:hAnsi="仿宋_GB2312" w:eastAsia="仿宋_GB2312" w:cs="仿宋_GB2312"/>
          <w:sz w:val="32"/>
          <w:szCs w:val="32"/>
          <w:lang w:val="en-US" w:eastAsia="zh-CN"/>
        </w:rPr>
        <w:t>交流</w:t>
      </w:r>
      <w:r>
        <w:rPr>
          <w:rFonts w:hint="default" w:ascii="仿宋_GB2312" w:hAnsi="仿宋_GB2312" w:eastAsia="仿宋_GB2312" w:cs="仿宋_GB2312"/>
          <w:sz w:val="32"/>
          <w:szCs w:val="32"/>
          <w:lang w:val="en-US" w:eastAsia="zh-CN"/>
        </w:rPr>
        <w:t>。</w:t>
      </w:r>
      <w:r>
        <w:rPr>
          <w:rFonts w:hint="eastAsia" w:ascii="Times New Roman" w:hAnsi="Times New Roman" w:eastAsia="仿宋_GB2312"/>
          <w:b/>
          <w:bCs/>
          <w:color w:val="auto"/>
          <w:sz w:val="32"/>
          <w:szCs w:val="32"/>
        </w:rPr>
        <w:t>三是</w:t>
      </w:r>
      <w:r>
        <w:rPr>
          <w:rFonts w:hint="eastAsia" w:ascii="Times New Roman" w:hAnsi="Times New Roman" w:eastAsia="仿宋_GB2312"/>
          <w:color w:val="auto"/>
          <w:sz w:val="32"/>
          <w:szCs w:val="32"/>
        </w:rPr>
        <w:t>积极承办厅机关处室培训。</w:t>
      </w:r>
      <w:r>
        <w:rPr>
          <w:rFonts w:hint="default" w:ascii="仿宋_GB2312" w:hAnsi="仿宋_GB2312" w:eastAsia="仿宋_GB2312" w:cs="仿宋_GB2312"/>
          <w:color w:val="auto"/>
          <w:sz w:val="32"/>
          <w:szCs w:val="32"/>
          <w:lang w:val="en-US" w:eastAsia="zh-CN"/>
        </w:rPr>
        <w:t>组建4个培训工作小组，分别对口服务</w:t>
      </w:r>
      <w:r>
        <w:rPr>
          <w:rFonts w:hint="eastAsia" w:ascii="仿宋_GB2312" w:hAnsi="仿宋_GB2312" w:eastAsia="仿宋_GB2312" w:cs="仿宋_GB2312"/>
          <w:color w:val="auto"/>
          <w:sz w:val="32"/>
          <w:szCs w:val="32"/>
          <w:lang w:val="en-US" w:eastAsia="zh-CN"/>
        </w:rPr>
        <w:t>6—7</w:t>
      </w:r>
      <w:r>
        <w:rPr>
          <w:rFonts w:hint="default" w:ascii="仿宋_GB2312" w:hAnsi="仿宋_GB2312" w:eastAsia="仿宋_GB2312" w:cs="仿宋_GB2312"/>
          <w:color w:val="auto"/>
          <w:sz w:val="32"/>
          <w:szCs w:val="32"/>
          <w:lang w:val="en-US" w:eastAsia="zh-CN"/>
        </w:rPr>
        <w:t>个</w:t>
      </w:r>
      <w:r>
        <w:rPr>
          <w:rFonts w:hint="eastAsia" w:ascii="仿宋_GB2312" w:hAnsi="仿宋_GB2312" w:eastAsia="仿宋_GB2312" w:cs="仿宋_GB2312"/>
          <w:color w:val="auto"/>
          <w:sz w:val="32"/>
          <w:szCs w:val="32"/>
          <w:lang w:val="en-US" w:eastAsia="zh-CN"/>
        </w:rPr>
        <w:t>厅机关</w:t>
      </w:r>
      <w:r>
        <w:rPr>
          <w:rFonts w:hint="default" w:ascii="仿宋_GB2312" w:hAnsi="仿宋_GB2312" w:eastAsia="仿宋_GB2312" w:cs="仿宋_GB2312"/>
          <w:color w:val="auto"/>
          <w:sz w:val="32"/>
          <w:szCs w:val="32"/>
          <w:lang w:val="en-US" w:eastAsia="zh-CN"/>
        </w:rPr>
        <w:t>处室</w:t>
      </w:r>
      <w:r>
        <w:rPr>
          <w:rFonts w:hint="eastAsia" w:ascii="仿宋_GB2312" w:hAnsi="仿宋_GB2312" w:eastAsia="仿宋_GB2312" w:cs="仿宋_GB2312"/>
          <w:color w:val="auto"/>
          <w:sz w:val="32"/>
          <w:szCs w:val="32"/>
          <w:lang w:val="en-US" w:eastAsia="zh-CN"/>
        </w:rPr>
        <w:t>培训工作。全</w:t>
      </w:r>
      <w:r>
        <w:rPr>
          <w:rFonts w:hint="default" w:ascii="仿宋_GB2312" w:hAnsi="仿宋_GB2312" w:eastAsia="仿宋_GB2312" w:cs="仿宋_GB2312"/>
          <w:color w:val="auto"/>
          <w:sz w:val="32"/>
          <w:szCs w:val="32"/>
          <w:lang w:val="en-US" w:eastAsia="zh-CN"/>
        </w:rPr>
        <w:t>年</w:t>
      </w:r>
      <w:r>
        <w:rPr>
          <w:rFonts w:hint="eastAsia" w:ascii="仿宋_GB2312" w:hAnsi="仿宋_GB2312" w:eastAsia="仿宋_GB2312" w:cs="仿宋_GB2312"/>
          <w:color w:val="auto"/>
          <w:sz w:val="32"/>
          <w:szCs w:val="32"/>
          <w:lang w:val="en-US" w:eastAsia="zh-CN"/>
        </w:rPr>
        <w:t>完成34</w:t>
      </w:r>
      <w:r>
        <w:rPr>
          <w:rFonts w:hint="default" w:ascii="仿宋_GB2312" w:hAnsi="仿宋_GB2312" w:eastAsia="仿宋_GB2312" w:cs="仿宋_GB2312"/>
          <w:color w:val="auto"/>
          <w:sz w:val="32"/>
          <w:szCs w:val="32"/>
          <w:lang w:val="en-US" w:eastAsia="zh-CN"/>
        </w:rPr>
        <w:t>期</w:t>
      </w:r>
      <w:r>
        <w:rPr>
          <w:rFonts w:hint="eastAsia" w:ascii="仿宋_GB2312" w:hAnsi="仿宋_GB2312" w:eastAsia="仿宋_GB2312" w:cs="仿宋_GB2312"/>
          <w:color w:val="auto"/>
          <w:sz w:val="32"/>
          <w:szCs w:val="32"/>
          <w:lang w:val="en-US" w:eastAsia="zh-CN"/>
        </w:rPr>
        <w:t>，5883人参加培训</w:t>
      </w:r>
      <w:r>
        <w:rPr>
          <w:rFonts w:hint="eastAsia" w:ascii="Times New Roman" w:hAnsi="Times New Roman" w:eastAsia="仿宋_GB2312"/>
          <w:color w:val="auto"/>
          <w:sz w:val="32"/>
          <w:szCs w:val="32"/>
        </w:rPr>
        <w:t>。</w:t>
      </w:r>
      <w:r>
        <w:rPr>
          <w:rFonts w:hint="eastAsia" w:ascii="Times New Roman" w:hAnsi="Times New Roman" w:eastAsia="仿宋_GB2312"/>
          <w:b/>
          <w:bCs/>
          <w:color w:val="auto"/>
          <w:sz w:val="32"/>
          <w:szCs w:val="32"/>
        </w:rPr>
        <w:t>四是</w:t>
      </w:r>
      <w:r>
        <w:rPr>
          <w:rFonts w:hint="eastAsia" w:ascii="Times New Roman" w:hAnsi="Times New Roman" w:eastAsia="仿宋_GB2312"/>
          <w:color w:val="auto"/>
          <w:sz w:val="32"/>
          <w:szCs w:val="32"/>
        </w:rPr>
        <w:t>大力开展农民田间学校和现场教学点实用技术培训。</w:t>
      </w:r>
      <w:r>
        <w:rPr>
          <w:rFonts w:hint="eastAsia" w:ascii="仿宋_GB2312" w:hAnsi="方正仿宋_GBK" w:eastAsia="仿宋_GB2312" w:cs="方正仿宋_GBK"/>
          <w:sz w:val="32"/>
          <w:szCs w:val="32"/>
        </w:rPr>
        <w:t>围绕区域主导产业、特色产业、富民产业，全年实施田间学校实用技术培训</w:t>
      </w:r>
      <w:r>
        <w:rPr>
          <w:rFonts w:hint="eastAsia" w:ascii="Times New Roman" w:hAnsi="Times New Roman" w:eastAsia="仿宋_GB2312"/>
          <w:sz w:val="32"/>
          <w:szCs w:val="32"/>
        </w:rPr>
        <w:t>38期，参训学员1900余人次</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b/>
          <w:bCs/>
          <w:color w:val="auto"/>
          <w:sz w:val="32"/>
          <w:szCs w:val="32"/>
          <w:lang w:val="en-US" w:eastAsia="zh-CN"/>
        </w:rPr>
        <w:t>五是</w:t>
      </w:r>
      <w:r>
        <w:rPr>
          <w:rFonts w:hint="eastAsia" w:ascii="仿宋_GB2312" w:hAnsi="方正仿宋_GBK" w:eastAsia="仿宋_GB2312" w:cs="方正仿宋_GBK"/>
          <w:sz w:val="32"/>
          <w:szCs w:val="32"/>
        </w:rPr>
        <w:t>举办全省广场舞、八段锦等农村社会体育指导员培训班</w:t>
      </w:r>
      <w:r>
        <w:rPr>
          <w:rFonts w:hint="eastAsia" w:ascii="Times New Roman" w:hAnsi="Times New Roman" w:eastAsia="仿宋_GB2312"/>
          <w:sz w:val="32"/>
          <w:szCs w:val="32"/>
        </w:rPr>
        <w:t>3期，举办篮球、气排球二级裁判员培训班各1期，培训得到所有参训学员的一致认可。共培养社会体育指导员、裁判员500余人，带动农民2万</w:t>
      </w:r>
      <w:r>
        <w:rPr>
          <w:rFonts w:hint="eastAsia" w:ascii="仿宋_GB2312" w:hAnsi="方正仿宋_GBK" w:eastAsia="仿宋_GB2312" w:cs="方正仿宋_GBK"/>
          <w:sz w:val="32"/>
          <w:szCs w:val="32"/>
        </w:rPr>
        <w:t>余人开展体育健身，为农村地区体育事业培养了人才、注入了活力，有力促进乡村文化事业繁荣发展。</w:t>
      </w:r>
    </w:p>
    <w:p>
      <w:pPr>
        <w:pStyle w:val="11"/>
        <w:rPr>
          <w:rFonts w:hint="default" w:ascii="仿宋_GB2312" w:hAnsi="方正仿宋_GBK" w:eastAsia="仿宋_GB2312" w:cs="方正仿宋_GBK"/>
          <w:kern w:val="2"/>
          <w:sz w:val="32"/>
          <w:szCs w:val="32"/>
          <w:lang w:val="en-US" w:eastAsia="zh-CN" w:bidi="ar-SA"/>
        </w:rPr>
      </w:pPr>
      <w:r>
        <w:rPr>
          <w:rFonts w:hint="eastAsia" w:ascii="仿宋_GB2312" w:hAnsi="方正仿宋_GBK" w:eastAsia="仿宋_GB2312" w:cs="方正仿宋_GBK"/>
          <w:b w:val="0"/>
          <w:bCs w:val="0"/>
          <w:kern w:val="2"/>
          <w:sz w:val="32"/>
          <w:szCs w:val="32"/>
          <w:lang w:val="en-US" w:eastAsia="zh-CN" w:bidi="ar-SA"/>
        </w:rPr>
        <w:t>2、体系管理方面：</w:t>
      </w:r>
      <w:r>
        <w:rPr>
          <w:rFonts w:hint="eastAsia" w:ascii="仿宋_GB2312" w:hAnsi="方正仿宋_GBK" w:eastAsia="仿宋_GB2312" w:cs="方正仿宋_GBK"/>
          <w:b/>
          <w:bCs/>
          <w:kern w:val="2"/>
          <w:sz w:val="32"/>
          <w:szCs w:val="32"/>
          <w:lang w:val="en-US" w:eastAsia="zh-CN" w:bidi="ar-SA"/>
        </w:rPr>
        <w:t>一是</w:t>
      </w:r>
      <w:r>
        <w:rPr>
          <w:rFonts w:hint="eastAsia" w:ascii="仿宋_GB2312" w:hAnsi="方正仿宋_GBK" w:eastAsia="仿宋_GB2312" w:cs="方正仿宋_GBK"/>
          <w:kern w:val="2"/>
          <w:sz w:val="32"/>
          <w:szCs w:val="32"/>
          <w:lang w:val="en-US" w:eastAsia="zh-CN" w:bidi="ar-SA"/>
        </w:rPr>
        <w:t>完成了中央农广校布置的各项工作，高质量完成了我省农广校体系综合统计报表审核、汇编、上报工作</w:t>
      </w:r>
      <w:r>
        <w:rPr>
          <w:rFonts w:hint="eastAsia" w:ascii="Times New Roman" w:hAnsi="Times New Roman" w:eastAsia="仿宋_GB2312"/>
          <w:sz w:val="32"/>
          <w:szCs w:val="32"/>
        </w:rPr>
        <w:t>。</w:t>
      </w:r>
      <w:r>
        <w:rPr>
          <w:rFonts w:hint="eastAsia" w:ascii="Times New Roman" w:hAnsi="Times New Roman" w:eastAsia="仿宋_GB2312"/>
          <w:b/>
          <w:bCs/>
          <w:sz w:val="32"/>
          <w:szCs w:val="32"/>
          <w:lang w:val="en-US" w:eastAsia="zh-CN"/>
        </w:rPr>
        <w:t>二是</w:t>
      </w:r>
      <w:r>
        <w:rPr>
          <w:rFonts w:hint="eastAsia" w:ascii="Times New Roman" w:hAnsi="Times New Roman" w:eastAsia="仿宋_GB2312"/>
          <w:sz w:val="32"/>
          <w:szCs w:val="32"/>
        </w:rPr>
        <w:t>加强省农广校自身机构建设、文化建设，顺利完成单位主要负责人调任、原省扶贫开发培训中心6名职工转隶，启动岗位设置工</w:t>
      </w:r>
      <w:r>
        <w:rPr>
          <w:rFonts w:hint="eastAsia" w:ascii="仿宋_GB2312" w:hAnsi="方正仿宋_GBK" w:eastAsia="仿宋_GB2312" w:cs="方正仿宋_GBK"/>
          <w:sz w:val="32"/>
          <w:szCs w:val="32"/>
        </w:rPr>
        <w:t>作，加强干部能力培训、保密教育培训，规范单位档案管理，打造暖心职工食堂，开展多彩工会活动，切实锻造过硬职工队伍、保障职工福利权益、丰富职工精神生活，职工幸福感、获得感不断增强，团队优势互补、运行高效。</w:t>
      </w:r>
      <w:r>
        <w:rPr>
          <w:rFonts w:hint="eastAsia" w:ascii="仿宋_GB2312" w:hAnsi="方正仿宋_GBK" w:eastAsia="仿宋_GB2312" w:cs="方正仿宋_GBK"/>
          <w:b/>
          <w:bCs/>
          <w:color w:val="auto"/>
          <w:sz w:val="32"/>
          <w:szCs w:val="32"/>
          <w:lang w:val="en-US" w:eastAsia="zh-CN"/>
        </w:rPr>
        <w:t>三是</w:t>
      </w:r>
      <w:r>
        <w:rPr>
          <w:rFonts w:hint="eastAsia" w:ascii="仿宋_GB2312" w:hAnsi="方正仿宋_GBK" w:eastAsia="仿宋_GB2312" w:cs="方正仿宋_GBK"/>
          <w:sz w:val="32"/>
          <w:szCs w:val="32"/>
        </w:rPr>
        <w:t>省农广校办学成效得到教育部门认可，首次获得专项经费资助。</w:t>
      </w:r>
      <w:r>
        <w:rPr>
          <w:rFonts w:hint="eastAsia" w:ascii="仿宋_GB2312" w:hAnsi="方正仿宋_GBK" w:eastAsia="仿宋_GB2312" w:cs="方正仿宋_GBK"/>
          <w:b/>
          <w:bCs/>
          <w:sz w:val="32"/>
          <w:szCs w:val="32"/>
          <w:lang w:val="en-US" w:eastAsia="zh-CN"/>
        </w:rPr>
        <w:t>四是</w:t>
      </w:r>
      <w:r>
        <w:rPr>
          <w:rFonts w:hint="eastAsia" w:ascii="仿宋_GB2312" w:hAnsi="方正仿宋_GBK" w:eastAsia="仿宋_GB2312" w:cs="方正仿宋_GBK"/>
          <w:sz w:val="32"/>
          <w:szCs w:val="32"/>
        </w:rPr>
        <w:t>举办近年来首次全省农民教育培训提质暨基层农广校校长能力提升班，召开市州农广校校长座谈会，全面提升体系业务能力，全面梳理体系存在问题、面临的挑战机遇，初步明确体系未来发展方向。</w:t>
      </w:r>
      <w:r>
        <w:rPr>
          <w:rFonts w:hint="eastAsia" w:ascii="仿宋_GB2312" w:hAnsi="方正仿宋_GBK" w:eastAsia="仿宋_GB2312" w:cs="方正仿宋_GBK"/>
          <w:b/>
          <w:bCs/>
          <w:sz w:val="32"/>
          <w:szCs w:val="32"/>
          <w:lang w:val="en-US" w:eastAsia="zh-CN"/>
        </w:rPr>
        <w:t>五是</w:t>
      </w:r>
      <w:r>
        <w:rPr>
          <w:rFonts w:hint="eastAsia" w:ascii="仿宋_GB2312" w:hAnsi="方正仿宋_GBK" w:eastAsia="仿宋_GB2312" w:cs="方正仿宋_GBK"/>
          <w:sz w:val="32"/>
          <w:szCs w:val="32"/>
        </w:rPr>
        <w:t>遴选推荐新化县农广校、祁阳市农广校为全国农民教育培训典型校，推荐宁远县欧阳娟等4人获评全国优秀基层农广校校长，</w:t>
      </w:r>
      <w:r>
        <w:rPr>
          <w:rFonts w:hint="eastAsia" w:ascii="仿宋_GB2312" w:hAnsi="仿宋_GB2312" w:eastAsia="仿宋_GB2312" w:cs="仿宋_GB2312"/>
          <w:sz w:val="32"/>
          <w:szCs w:val="32"/>
          <w:shd w:val="clear" w:color="auto" w:fill="FFFFFF"/>
        </w:rPr>
        <w:t>推荐永州市蒋灿等4人获评全国优秀农民教育培训教师</w:t>
      </w:r>
      <w:r>
        <w:rPr>
          <w:rFonts w:hint="eastAsia" w:ascii="仿宋_GB2312" w:hAnsi="方正仿宋_GBK" w:eastAsia="仿宋_GB2312" w:cs="方正仿宋_GBK"/>
          <w:sz w:val="32"/>
          <w:szCs w:val="32"/>
        </w:rPr>
        <w:t>。全省农广体系荣誉感、自豪感、归属感进一步增强，队伍凝聚力、战斗力、向心力进一步提升</w:t>
      </w:r>
      <w:r>
        <w:rPr>
          <w:rFonts w:hint="eastAsia" w:ascii="仿宋_GB2312" w:hAnsi="方正仿宋_GBK" w:eastAsia="仿宋_GB2312" w:cs="方正仿宋_GBK"/>
          <w:sz w:val="32"/>
          <w:szCs w:val="32"/>
          <w:lang w:eastAsia="zh-CN"/>
        </w:rPr>
        <w:t>。</w:t>
      </w:r>
      <w:r>
        <w:rPr>
          <w:rFonts w:hint="eastAsia" w:ascii="仿宋_GB2312" w:hAnsi="方正仿宋_GBK" w:eastAsia="仿宋_GB2312" w:cs="方正仿宋_GBK"/>
          <w:kern w:val="2"/>
          <w:sz w:val="32"/>
          <w:szCs w:val="32"/>
          <w:lang w:val="en-US" w:eastAsia="zh-CN" w:bidi="ar-SA"/>
        </w:rPr>
        <w:t>体系管理效率显著提升。</w:t>
      </w:r>
    </w:p>
    <w:p>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b/>
          <w:bCs/>
          <w:color w:val="auto"/>
          <w:sz w:val="32"/>
          <w:szCs w:val="32"/>
          <w:lang w:eastAsia="zh-CN"/>
        </w:rPr>
      </w:pPr>
      <w:r>
        <w:rPr>
          <w:rFonts w:hint="eastAsia" w:ascii="Times New Roman" w:hAnsi="Times New Roman" w:eastAsia="仿宋_GB2312"/>
          <w:b/>
          <w:bCs/>
          <w:color w:val="auto"/>
          <w:sz w:val="32"/>
          <w:szCs w:val="32"/>
          <w:lang w:eastAsia="zh-CN"/>
        </w:rPr>
        <w:t>（</w:t>
      </w:r>
      <w:r>
        <w:rPr>
          <w:rFonts w:hint="eastAsia" w:ascii="Times New Roman" w:hAnsi="Times New Roman" w:eastAsia="仿宋_GB2312"/>
          <w:b/>
          <w:bCs/>
          <w:color w:val="auto"/>
          <w:sz w:val="32"/>
          <w:szCs w:val="32"/>
          <w:lang w:val="en-US" w:eastAsia="zh-CN"/>
        </w:rPr>
        <w:t>三）</w:t>
      </w:r>
      <w:r>
        <w:rPr>
          <w:rFonts w:hint="eastAsia" w:ascii="Times New Roman" w:hAnsi="Times New Roman" w:eastAsia="仿宋_GB2312"/>
          <w:b/>
          <w:bCs/>
          <w:color w:val="auto"/>
          <w:sz w:val="32"/>
          <w:szCs w:val="32"/>
          <w:lang w:eastAsia="zh-CN"/>
        </w:rPr>
        <w:t>提升履职效能</w:t>
      </w:r>
    </w:p>
    <w:p>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仿宋_GB2312" w:hAnsi="方正仿宋_GBK" w:eastAsia="仿宋_GB2312" w:cs="方正仿宋_GBK"/>
          <w:sz w:val="32"/>
          <w:szCs w:val="32"/>
          <w:lang w:val="en-US" w:eastAsia="zh-CN"/>
        </w:rPr>
      </w:pPr>
      <w:r>
        <w:rPr>
          <w:rFonts w:hint="eastAsia" w:ascii="仿宋_GB2312" w:hAnsi="仿宋_GB2312" w:eastAsia="仿宋_GB2312" w:cs="仿宋_GB2312"/>
          <w:color w:val="000000"/>
          <w:kern w:val="0"/>
          <w:sz w:val="32"/>
          <w:szCs w:val="32"/>
          <w:lang w:val="en-US" w:eastAsia="zh-CN" w:bidi="ar-SA"/>
        </w:rPr>
        <w:t>1、培训效果显著。</w:t>
      </w:r>
      <w:r>
        <w:rPr>
          <w:rFonts w:hint="eastAsia" w:ascii="仿宋_GB2312" w:hAnsi="仿宋_GB2312" w:eastAsia="仿宋_GB2312" w:cs="仿宋_GB2312"/>
          <w:b/>
          <w:bCs/>
          <w:color w:val="000000"/>
          <w:kern w:val="0"/>
          <w:sz w:val="32"/>
          <w:szCs w:val="32"/>
          <w:lang w:val="en-US" w:eastAsia="zh-CN" w:bidi="ar-SA"/>
        </w:rPr>
        <w:t>一是</w:t>
      </w:r>
      <w:r>
        <w:rPr>
          <w:rFonts w:hint="eastAsia" w:ascii="仿宋_GB2312" w:hAnsi="仿宋_GB2312" w:eastAsia="仿宋_GB2312" w:cs="仿宋_GB2312"/>
          <w:color w:val="000000"/>
          <w:kern w:val="0"/>
          <w:sz w:val="32"/>
          <w:szCs w:val="32"/>
          <w:lang w:val="en-US" w:eastAsia="zh-CN" w:bidi="ar-SA"/>
        </w:rPr>
        <w:t>全年举办农民教育培训5千余人次，预计带动</w:t>
      </w:r>
      <w:r>
        <w:rPr>
          <w:rFonts w:hint="eastAsia" w:ascii="Times New Roman" w:hAnsi="Times New Roman" w:eastAsia="仿宋_GB2312"/>
          <w:sz w:val="32"/>
          <w:szCs w:val="32"/>
        </w:rPr>
        <w:t>近4万农民增收</w:t>
      </w:r>
      <w:r>
        <w:rPr>
          <w:rFonts w:hint="eastAsia" w:ascii="仿宋_GB2312" w:hAnsi="仿宋_GB2312" w:eastAsia="仿宋_GB2312" w:cs="仿宋_GB2312"/>
          <w:color w:val="000000"/>
          <w:kern w:val="0"/>
          <w:sz w:val="32"/>
          <w:szCs w:val="32"/>
          <w:lang w:val="en-US" w:eastAsia="zh-CN" w:bidi="ar-SA"/>
        </w:rPr>
        <w:t>。</w:t>
      </w:r>
      <w:r>
        <w:rPr>
          <w:rFonts w:hint="eastAsia" w:ascii="仿宋_GB2312" w:hAnsi="仿宋_GB2312" w:eastAsia="仿宋_GB2312" w:cs="仿宋_GB2312"/>
          <w:b/>
          <w:bCs/>
          <w:color w:val="000000"/>
          <w:kern w:val="0"/>
          <w:sz w:val="32"/>
          <w:szCs w:val="32"/>
          <w:lang w:val="en-US" w:eastAsia="zh-CN" w:bidi="ar-SA"/>
        </w:rPr>
        <w:t>二是</w:t>
      </w:r>
      <w:r>
        <w:rPr>
          <w:rFonts w:hint="eastAsia" w:ascii="仿宋_GB2312" w:hAnsi="仿宋_GB2312" w:eastAsia="仿宋_GB2312" w:cs="仿宋_GB2312"/>
          <w:color w:val="000000"/>
          <w:kern w:val="0"/>
          <w:sz w:val="32"/>
          <w:szCs w:val="32"/>
          <w:lang w:val="en-US" w:eastAsia="zh-CN" w:bidi="ar-SA"/>
        </w:rPr>
        <w:t>开展高素质农民培育学用贯通综合试点。农业农村部今年启动高素质农民培育学用贯通综合试点工作，计划于2024年至2025年在全国5个地级市、70个县开展学用贯通综合试点，我省湘潭市、临澧县入选试点，获得项目资金1440万元，计划培育900人。作为试点项目实施主体，省农广校坚持“育在前、育在新、育在深”的原则，广调研、深摸底、重实践，注重链与链相融、育出三产融合新格局，注重点对点发力、育出经营主体新活力，注重面对面示范、育出农业品牌新气象，注重片与片联动、育出传统农业新成效，高素质农民培育学用贯通的“湖南模式”日益清晰。</w:t>
      </w:r>
      <w:r>
        <w:rPr>
          <w:rFonts w:hint="eastAsia" w:ascii="仿宋_GB2312" w:hAnsi="仿宋_GB2312" w:eastAsia="仿宋_GB2312" w:cs="仿宋_GB2312"/>
          <w:b/>
          <w:bCs/>
          <w:color w:val="000000"/>
          <w:kern w:val="0"/>
          <w:sz w:val="32"/>
          <w:szCs w:val="32"/>
          <w:lang w:val="en-US" w:eastAsia="zh-CN" w:bidi="ar-SA"/>
        </w:rPr>
        <w:t>三是</w:t>
      </w:r>
      <w:r>
        <w:rPr>
          <w:rFonts w:hint="eastAsia" w:ascii="Times New Roman" w:hAnsi="Times New Roman" w:eastAsia="仿宋_GB2312"/>
          <w:sz w:val="32"/>
          <w:szCs w:val="32"/>
        </w:rPr>
        <w:t>新增4所全国共享农民田间学校，27所农民田间学校获评第一批全国县级优质农民田间学校。</w:t>
      </w:r>
      <w:r>
        <w:rPr>
          <w:rFonts w:hint="eastAsia" w:ascii="仿宋_GB2312" w:hAnsi="方正仿宋_GBK" w:eastAsia="仿宋_GB2312" w:cs="方正仿宋_GBK"/>
          <w:sz w:val="32"/>
          <w:szCs w:val="32"/>
        </w:rPr>
        <w:t>按照 “四个符合、六个有”的要求，开展第三批省级农民田间学校认定工作，预计认定28所，确保田间学校数量稳步增加、质量稳步提高。</w:t>
      </w:r>
      <w:r>
        <w:rPr>
          <w:rFonts w:hint="eastAsia" w:ascii="仿宋_GB2312" w:hAnsi="方正仿宋_GBK" w:eastAsia="仿宋_GB2312" w:cs="方正仿宋_GBK"/>
          <w:b/>
          <w:bCs/>
          <w:sz w:val="32"/>
          <w:szCs w:val="32"/>
          <w:lang w:val="en-US" w:eastAsia="zh-CN"/>
        </w:rPr>
        <w:t>四是</w:t>
      </w:r>
      <w:r>
        <w:rPr>
          <w:rFonts w:hint="eastAsia" w:ascii="仿宋_GB2312" w:hAnsi="方正仿宋_GBK" w:eastAsia="仿宋_GB2312" w:cs="方正仿宋_GBK"/>
          <w:sz w:val="32"/>
          <w:szCs w:val="32"/>
          <w:lang w:val="en-US" w:eastAsia="zh-CN"/>
        </w:rPr>
        <w:t>开展冬春农民科技大培训和农技人员知识更新远程培训。紧紧围绕“稳粮油、保供给、树新风、防风险”的要求，采取线上线下相结合的形式，开展冬春农民科技大培训，培训对象覆盖精准、内容丰富、形式多样，帮助农民解决了许多生产中的实际问题，达到了预期效果。本年度全省共投入培训资金2767.7万元，举办冬春农民科技大培训4261期，发放技术资料155.3万余份，培训农民60.3万余人。组织全省相关单位收看中央农广校农业科技人员知识更新远程培训17期。</w:t>
      </w:r>
    </w:p>
    <w:p>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仿宋_GB2312" w:hAnsi="方正仿宋_GBK" w:eastAsia="仿宋_GB2312" w:cs="方正仿宋_GBK"/>
          <w:sz w:val="32"/>
          <w:szCs w:val="32"/>
          <w:lang w:val="en-US" w:eastAsia="zh-CN"/>
        </w:rPr>
      </w:pPr>
      <w:r>
        <w:rPr>
          <w:rFonts w:hint="eastAsia" w:ascii="仿宋_GB2312" w:hAnsi="方正仿宋_GBK" w:eastAsia="仿宋_GB2312" w:cs="方正仿宋_GBK"/>
          <w:sz w:val="32"/>
          <w:szCs w:val="32"/>
          <w:lang w:val="en-US" w:eastAsia="zh-CN"/>
        </w:rPr>
        <w:t>2、体系能力提升。</w:t>
      </w:r>
      <w:r>
        <w:rPr>
          <w:rFonts w:hint="eastAsia" w:ascii="仿宋_GB2312" w:hAnsi="方正仿宋_GBK" w:eastAsia="仿宋_GB2312" w:cs="方正仿宋_GBK"/>
          <w:b/>
          <w:bCs/>
          <w:sz w:val="32"/>
          <w:szCs w:val="32"/>
          <w:lang w:val="en-US" w:eastAsia="zh-CN"/>
        </w:rPr>
        <w:t>一是</w:t>
      </w:r>
      <w:r>
        <w:rPr>
          <w:rFonts w:hint="eastAsia" w:ascii="仿宋_GB2312" w:hAnsi="方正仿宋_GBK" w:eastAsia="仿宋_GB2312" w:cs="方正仿宋_GBK"/>
          <w:sz w:val="32"/>
          <w:szCs w:val="32"/>
          <w:lang w:val="en-US" w:eastAsia="zh-CN"/>
        </w:rPr>
        <w:t>“三农”干部走出去培训主题鲜明、内容扎实，联系实际紧密、学风端正，组织得力、效果良好，切实推动各地各部门深入学习运用“千万工程”经验 ，推进乡村全面振兴取得实效。</w:t>
      </w:r>
      <w:r>
        <w:rPr>
          <w:rFonts w:hint="eastAsia" w:ascii="仿宋_GB2312" w:hAnsi="方正仿宋_GBK" w:eastAsia="仿宋_GB2312" w:cs="方正仿宋_GBK"/>
          <w:b/>
          <w:bCs/>
          <w:sz w:val="32"/>
          <w:szCs w:val="32"/>
          <w:lang w:val="en-US" w:eastAsia="zh-CN"/>
        </w:rPr>
        <w:t>二是</w:t>
      </w:r>
      <w:r>
        <w:rPr>
          <w:rFonts w:hint="eastAsia" w:ascii="仿宋_GB2312" w:hAnsi="方正仿宋_GBK" w:eastAsia="仿宋_GB2312" w:cs="方正仿宋_GBK"/>
          <w:sz w:val="32"/>
          <w:szCs w:val="32"/>
          <w:lang w:val="en-US" w:eastAsia="zh-CN"/>
        </w:rPr>
        <w:t>承担厅机关干部培训</w:t>
      </w:r>
      <w:r>
        <w:rPr>
          <w:rFonts w:hint="eastAsia" w:ascii="仿宋_GB2312" w:hAnsi="方正仿宋_GBK" w:eastAsia="仿宋_GB2312" w:cs="方正仿宋_GBK"/>
          <w:sz w:val="32"/>
          <w:szCs w:val="32"/>
        </w:rPr>
        <w:t>协助厅办公室做好全省农业农村局局长推进乡村全面振兴能力提升培训班会务相关工作，得到了多位厅领导的肯定。</w:t>
      </w:r>
      <w:r>
        <w:rPr>
          <w:rFonts w:hint="eastAsia" w:ascii="仿宋_GB2312" w:hAnsi="方正仿宋_GBK" w:eastAsia="仿宋_GB2312" w:cs="方正仿宋_GBK"/>
          <w:b/>
          <w:bCs/>
          <w:sz w:val="32"/>
          <w:szCs w:val="32"/>
          <w:lang w:val="en-US" w:eastAsia="zh-CN"/>
        </w:rPr>
        <w:t>三是</w:t>
      </w:r>
      <w:r>
        <w:rPr>
          <w:rFonts w:hint="eastAsia" w:ascii="Times New Roman" w:hAnsi="Times New Roman" w:eastAsia="仿宋_GB2312"/>
          <w:sz w:val="32"/>
          <w:szCs w:val="32"/>
        </w:rPr>
        <w:t>我省高素质农民调查问卷工作获得中央农广校通报表扬</w:t>
      </w:r>
      <w:r>
        <w:rPr>
          <w:rFonts w:hint="eastAsia" w:ascii="Times New Roman" w:hAnsi="Times New Roman" w:eastAsia="仿宋_GB2312"/>
          <w:sz w:val="32"/>
          <w:szCs w:val="32"/>
          <w:lang w:eastAsia="zh-CN"/>
        </w:rPr>
        <w:t>。</w:t>
      </w:r>
      <w:r>
        <w:rPr>
          <w:rFonts w:hint="eastAsia" w:ascii="Times New Roman" w:hAnsi="Times New Roman" w:eastAsia="仿宋_GB2312"/>
          <w:b/>
          <w:bCs/>
          <w:sz w:val="32"/>
          <w:szCs w:val="32"/>
          <w:lang w:val="en-US" w:eastAsia="zh-CN"/>
        </w:rPr>
        <w:t>四是</w:t>
      </w:r>
      <w:r>
        <w:rPr>
          <w:rFonts w:hint="eastAsia" w:ascii="Times New Roman" w:hAnsi="Times New Roman" w:eastAsia="仿宋_GB2312"/>
          <w:sz w:val="32"/>
          <w:szCs w:val="32"/>
          <w:lang w:val="en-US" w:eastAsia="zh-CN"/>
        </w:rPr>
        <w:t>引导农经学会突出思想政治引领，团结带领广大农村经济工作者听党话跟党走，积极服务学会会员，广泛开展学术交流，深入推进科学普及，扎实开展研究咨询，为各级农业农村主管部门撰写10余篇高质量的调研报告。召开省农村经济学会学术年会，省农业农村厅、湖南农大领导和学会部分会员100余人参加年会，年会就发展新型农村集体经济、二轮土地延包、农村家庭金融素养等热点问题开展了研讨，评选出30余篇优秀论文。</w:t>
      </w:r>
      <w:r>
        <w:rPr>
          <w:rFonts w:hint="eastAsia" w:ascii="Times New Roman" w:hAnsi="Times New Roman" w:eastAsia="仿宋_GB2312"/>
          <w:sz w:val="32"/>
          <w:szCs w:val="32"/>
          <w:lang w:eastAsia="zh-CN"/>
        </w:rPr>
        <w:t>省农村经济学会建设。</w:t>
      </w:r>
      <w:r>
        <w:rPr>
          <w:rFonts w:hint="eastAsia" w:ascii="Times New Roman" w:hAnsi="Times New Roman" w:eastAsia="仿宋_GB2312"/>
          <w:b/>
          <w:bCs/>
          <w:sz w:val="32"/>
          <w:szCs w:val="32"/>
          <w:lang w:val="en-US" w:eastAsia="zh-CN"/>
        </w:rPr>
        <w:t>五是</w:t>
      </w:r>
      <w:r>
        <w:rPr>
          <w:rFonts w:hint="eastAsia" w:ascii="仿宋_GB2312" w:hAnsi="方正仿宋_GBK" w:eastAsia="仿宋_GB2312" w:cs="方正仿宋_GBK"/>
          <w:sz w:val="32"/>
          <w:szCs w:val="32"/>
        </w:rPr>
        <w:t>拨付省农民体育协会</w:t>
      </w:r>
      <w:r>
        <w:rPr>
          <w:rFonts w:hint="eastAsia" w:ascii="Times New Roman" w:hAnsi="Times New Roman" w:eastAsia="仿宋_GB2312"/>
          <w:sz w:val="32"/>
          <w:szCs w:val="32"/>
        </w:rPr>
        <w:t>40</w:t>
      </w:r>
      <w:r>
        <w:rPr>
          <w:rFonts w:hint="eastAsia" w:ascii="仿宋_GB2312" w:hAnsi="方正仿宋_GBK" w:eastAsia="仿宋_GB2312" w:cs="方正仿宋_GBK"/>
          <w:sz w:val="32"/>
          <w:szCs w:val="32"/>
        </w:rPr>
        <w:t>万元作为</w:t>
      </w:r>
      <w:r>
        <w:rPr>
          <w:rFonts w:hint="eastAsia" w:ascii="Times New Roman" w:hAnsi="Times New Roman" w:eastAsia="仿宋_GB2312"/>
          <w:sz w:val="32"/>
          <w:szCs w:val="32"/>
        </w:rPr>
        <w:t>2024</w:t>
      </w:r>
      <w:r>
        <w:rPr>
          <w:rFonts w:hint="eastAsia" w:ascii="仿宋_GB2312" w:hAnsi="方正仿宋_GBK" w:eastAsia="仿宋_GB2312" w:cs="方正仿宋_GBK"/>
          <w:sz w:val="32"/>
          <w:szCs w:val="32"/>
        </w:rPr>
        <w:t>年的工作经费，有效支持了</w:t>
      </w:r>
      <w:r>
        <w:rPr>
          <w:rFonts w:hint="eastAsia" w:ascii="仿宋_GB2312" w:hAnsi="方正仿宋_GBK" w:eastAsia="仿宋_GB2312" w:cs="方正仿宋_GBK"/>
          <w:sz w:val="32"/>
          <w:szCs w:val="32"/>
          <w:lang w:val="en-US" w:eastAsia="zh-CN"/>
        </w:rPr>
        <w:t>农民</w:t>
      </w:r>
      <w:r>
        <w:rPr>
          <w:rFonts w:hint="eastAsia" w:ascii="仿宋_GB2312" w:hAnsi="方正仿宋_GBK" w:eastAsia="仿宋_GB2312" w:cs="方正仿宋_GBK"/>
          <w:sz w:val="32"/>
          <w:szCs w:val="32"/>
        </w:rPr>
        <w:t>协会开展工作。</w:t>
      </w:r>
      <w:r>
        <w:rPr>
          <w:rFonts w:hint="eastAsia" w:ascii="Times New Roman" w:hAnsi="Times New Roman" w:eastAsia="仿宋_GB2312"/>
          <w:b/>
          <w:bCs/>
          <w:sz w:val="32"/>
          <w:szCs w:val="32"/>
          <w:lang w:val="en-US" w:eastAsia="zh-CN"/>
        </w:rPr>
        <w:t>六是</w:t>
      </w:r>
      <w:r>
        <w:rPr>
          <w:rFonts w:hint="eastAsia" w:ascii="Times New Roman" w:hAnsi="Times New Roman" w:eastAsia="仿宋_GB2312"/>
          <w:sz w:val="32"/>
          <w:szCs w:val="32"/>
        </w:rPr>
        <w:t>全省农广校体系荣誉感、自豪感、归属感进一步增强，队伍凝聚力、战斗力、向心力进一步提升。</w:t>
      </w:r>
    </w:p>
    <w:p>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b/>
          <w:bCs/>
          <w:color w:val="auto"/>
          <w:sz w:val="32"/>
          <w:szCs w:val="32"/>
          <w:lang w:eastAsia="zh-CN"/>
        </w:rPr>
      </w:pPr>
      <w:r>
        <w:rPr>
          <w:rFonts w:hint="eastAsia" w:ascii="Times New Roman" w:hAnsi="Times New Roman" w:eastAsia="仿宋_GB2312"/>
          <w:b/>
          <w:bCs/>
          <w:color w:val="auto"/>
          <w:sz w:val="32"/>
          <w:szCs w:val="32"/>
          <w:lang w:eastAsia="zh-CN"/>
        </w:rPr>
        <w:t>（</w:t>
      </w:r>
      <w:r>
        <w:rPr>
          <w:rFonts w:hint="eastAsia" w:ascii="Times New Roman" w:hAnsi="Times New Roman" w:eastAsia="仿宋_GB2312"/>
          <w:b/>
          <w:bCs/>
          <w:color w:val="auto"/>
          <w:sz w:val="32"/>
          <w:szCs w:val="32"/>
          <w:lang w:val="en-US" w:eastAsia="zh-CN"/>
        </w:rPr>
        <w:t>四）</w:t>
      </w:r>
      <w:r>
        <w:rPr>
          <w:rFonts w:hint="eastAsia" w:ascii="Times New Roman" w:hAnsi="Times New Roman" w:eastAsia="仿宋_GB2312"/>
          <w:b/>
          <w:bCs/>
          <w:color w:val="auto"/>
          <w:sz w:val="32"/>
          <w:szCs w:val="32"/>
          <w:lang w:eastAsia="zh-CN"/>
        </w:rPr>
        <w:t>促进良好社会效应</w:t>
      </w:r>
    </w:p>
    <w:p>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b/>
          <w:bCs/>
          <w:color w:val="000000"/>
          <w:kern w:val="0"/>
          <w:sz w:val="32"/>
          <w:szCs w:val="32"/>
          <w:lang w:val="en-US" w:eastAsia="zh-CN" w:bidi="ar-SA"/>
        </w:rPr>
        <w:t>一是</w:t>
      </w:r>
      <w:r>
        <w:rPr>
          <w:rFonts w:hint="eastAsia" w:ascii="仿宋_GB2312" w:hAnsi="仿宋_GB2312" w:eastAsia="仿宋_GB2312" w:cs="仿宋_GB2312"/>
          <w:b w:val="0"/>
          <w:bCs w:val="0"/>
          <w:color w:val="000000"/>
          <w:kern w:val="0"/>
          <w:sz w:val="32"/>
          <w:szCs w:val="32"/>
          <w:lang w:val="en-US" w:eastAsia="zh-CN" w:bidi="ar-SA"/>
        </w:rPr>
        <w:t>通过各类培训，预计带动近4万农民增收，培训的联农带农作用显著。</w:t>
      </w:r>
      <w:r>
        <w:rPr>
          <w:rFonts w:hint="eastAsia" w:ascii="仿宋_GB2312" w:hAnsi="仿宋_GB2312" w:eastAsia="仿宋_GB2312" w:cs="仿宋_GB2312"/>
          <w:b/>
          <w:bCs/>
          <w:color w:val="000000"/>
          <w:kern w:val="0"/>
          <w:sz w:val="32"/>
          <w:szCs w:val="32"/>
          <w:lang w:val="en-US" w:eastAsia="zh-CN" w:bidi="ar-SA"/>
        </w:rPr>
        <w:t>二是</w:t>
      </w:r>
      <w:r>
        <w:rPr>
          <w:rFonts w:hint="eastAsia" w:ascii="仿宋_GB2312" w:hAnsi="仿宋_GB2312" w:eastAsia="仿宋_GB2312" w:cs="仿宋_GB2312"/>
          <w:color w:val="000000"/>
          <w:kern w:val="0"/>
          <w:sz w:val="32"/>
          <w:szCs w:val="32"/>
          <w:lang w:val="en-US" w:eastAsia="zh-CN" w:bidi="ar-SA"/>
        </w:rPr>
        <w:t>组织举办湖南省第二届和美乡村篮球赛（村BA）暨全国选拔赛，全省14个市州、16支球队参加比赛。规范引导各级媒体对比赛活动开展全平台、多层级的立体式宣传，做到赛事期间“时时有话题、天天有爆点”，辐射全网超16亿+人次。引导地方政府充分利用“村BA”赛事带来的热度，全力做好“体育+”融合文章，把“流量”变成“留量”、“人气”变成“财气”，有力促进当地经济发展。</w:t>
      </w:r>
      <w:r>
        <w:rPr>
          <w:rFonts w:hint="eastAsia" w:ascii="仿宋_GB2312" w:hAnsi="仿宋_GB2312" w:eastAsia="仿宋_GB2312" w:cs="仿宋_GB2312"/>
          <w:b/>
          <w:bCs/>
          <w:color w:val="000000"/>
          <w:kern w:val="0"/>
          <w:sz w:val="32"/>
          <w:szCs w:val="32"/>
          <w:lang w:val="en-US" w:eastAsia="zh-CN" w:bidi="ar-SA"/>
        </w:rPr>
        <w:t>三是</w:t>
      </w:r>
      <w:r>
        <w:rPr>
          <w:rFonts w:hint="eastAsia" w:ascii="仿宋_GB2312" w:hAnsi="仿宋_GB2312" w:eastAsia="仿宋_GB2312" w:cs="仿宋_GB2312"/>
          <w:color w:val="000000"/>
          <w:kern w:val="0"/>
          <w:sz w:val="32"/>
          <w:szCs w:val="32"/>
          <w:lang w:val="en-US" w:eastAsia="zh-CN" w:bidi="ar-SA"/>
        </w:rPr>
        <w:t>指导衡阳市蒸湘区开展2024年农民丰收节暨蒸湘区和美乡村趣味健康跑活动。</w:t>
      </w:r>
      <w:r>
        <w:rPr>
          <w:rFonts w:hint="eastAsia" w:ascii="仿宋_GB2312" w:hAnsi="仿宋_GB2312" w:eastAsia="仿宋_GB2312" w:cs="仿宋_GB2312"/>
          <w:b/>
          <w:bCs/>
          <w:color w:val="000000"/>
          <w:kern w:val="0"/>
          <w:sz w:val="32"/>
          <w:szCs w:val="32"/>
          <w:lang w:val="en-US" w:eastAsia="zh-CN" w:bidi="ar-SA"/>
        </w:rPr>
        <w:t>四是</w:t>
      </w:r>
      <w:r>
        <w:rPr>
          <w:rFonts w:hint="eastAsia" w:ascii="仿宋_GB2312" w:hAnsi="仿宋_GB2312" w:eastAsia="仿宋_GB2312" w:cs="仿宋_GB2312"/>
          <w:color w:val="000000"/>
          <w:kern w:val="0"/>
          <w:sz w:val="32"/>
          <w:szCs w:val="32"/>
          <w:lang w:val="en-US" w:eastAsia="zh-CN" w:bidi="ar-SA"/>
        </w:rPr>
        <w:t>组队参加全国第五届和美乡村健康跑活动、全国村舞大赛、2024年全国乡村篮球（村BA）文化展演活动等赛事活动。</w:t>
      </w:r>
    </w:p>
    <w:p>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b/>
          <w:bCs/>
          <w:color w:val="auto"/>
          <w:sz w:val="32"/>
          <w:szCs w:val="32"/>
          <w:lang w:eastAsia="zh-CN"/>
        </w:rPr>
      </w:pPr>
      <w:r>
        <w:rPr>
          <w:rFonts w:hint="eastAsia" w:ascii="Times New Roman" w:hAnsi="Times New Roman" w:eastAsia="仿宋_GB2312"/>
          <w:b/>
          <w:bCs/>
          <w:color w:val="auto"/>
          <w:sz w:val="32"/>
          <w:szCs w:val="32"/>
          <w:lang w:eastAsia="zh-CN"/>
        </w:rPr>
        <w:t>（</w:t>
      </w:r>
      <w:r>
        <w:rPr>
          <w:rFonts w:hint="eastAsia" w:ascii="Times New Roman" w:hAnsi="Times New Roman" w:eastAsia="仿宋_GB2312"/>
          <w:b/>
          <w:bCs/>
          <w:color w:val="auto"/>
          <w:sz w:val="32"/>
          <w:szCs w:val="32"/>
          <w:lang w:val="en-US" w:eastAsia="zh-CN"/>
        </w:rPr>
        <w:t>五）</w:t>
      </w:r>
      <w:r>
        <w:rPr>
          <w:rFonts w:hint="eastAsia" w:ascii="Times New Roman" w:hAnsi="Times New Roman" w:eastAsia="仿宋_GB2312"/>
          <w:b/>
          <w:bCs/>
          <w:color w:val="auto"/>
          <w:sz w:val="32"/>
          <w:szCs w:val="32"/>
          <w:lang w:eastAsia="zh-CN"/>
        </w:rPr>
        <w:t>增强可持续发展能力</w:t>
      </w:r>
    </w:p>
    <w:p>
      <w:pPr>
        <w:pStyle w:val="17"/>
        <w:spacing w:line="600" w:lineRule="exact"/>
        <w:ind w:firstLine="64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b/>
          <w:bCs/>
          <w:color w:val="000000"/>
          <w:kern w:val="0"/>
          <w:sz w:val="32"/>
          <w:szCs w:val="32"/>
          <w:lang w:val="en-US" w:eastAsia="zh-CN" w:bidi="ar-SA"/>
        </w:rPr>
        <w:t>一是</w:t>
      </w:r>
      <w:r>
        <w:rPr>
          <w:rFonts w:hint="eastAsia" w:ascii="仿宋_GB2312" w:hAnsi="仿宋_GB2312" w:eastAsia="仿宋_GB2312" w:cs="仿宋_GB2312"/>
          <w:color w:val="000000"/>
          <w:kern w:val="0"/>
          <w:sz w:val="32"/>
          <w:szCs w:val="32"/>
          <w:lang w:val="en-US" w:eastAsia="zh-CN" w:bidi="ar-SA"/>
        </w:rPr>
        <w:t>新增4所全国共享农民田间学校，27所农民田间学校获评第一批全国县级优质农民田间学校，体系基础不断夯实。</w:t>
      </w:r>
      <w:r>
        <w:rPr>
          <w:rFonts w:hint="eastAsia" w:ascii="仿宋_GB2312" w:hAnsi="仿宋_GB2312" w:eastAsia="仿宋_GB2312" w:cs="仿宋_GB2312"/>
          <w:b/>
          <w:bCs/>
          <w:color w:val="000000"/>
          <w:kern w:val="0"/>
          <w:sz w:val="32"/>
          <w:szCs w:val="32"/>
          <w:lang w:val="en-US" w:eastAsia="zh-CN" w:bidi="ar-SA"/>
        </w:rPr>
        <w:t>二是</w:t>
      </w:r>
      <w:r>
        <w:rPr>
          <w:rFonts w:hint="eastAsia" w:ascii="仿宋_GB2312" w:hAnsi="仿宋_GB2312" w:eastAsia="仿宋_GB2312" w:cs="仿宋_GB2312"/>
          <w:color w:val="000000"/>
          <w:kern w:val="0"/>
          <w:sz w:val="32"/>
          <w:szCs w:val="32"/>
          <w:lang w:val="en-US" w:eastAsia="zh-CN" w:bidi="ar-SA"/>
        </w:rPr>
        <w:t>创新开展农业职业经理人培育，稳步推进乡村职业经理人培育，高素质农民培育学用贯通试点学员培养环节接近尾声，学员及社会反馈普遍良好。</w:t>
      </w:r>
      <w:r>
        <w:rPr>
          <w:rFonts w:hint="eastAsia" w:ascii="仿宋_GB2312" w:hAnsi="仿宋_GB2312" w:eastAsia="仿宋_GB2312" w:cs="仿宋_GB2312"/>
          <w:b/>
          <w:bCs/>
          <w:color w:val="000000"/>
          <w:kern w:val="0"/>
          <w:sz w:val="32"/>
          <w:szCs w:val="32"/>
          <w:lang w:val="en-US" w:eastAsia="zh-CN" w:bidi="ar-SA"/>
        </w:rPr>
        <w:t>三是</w:t>
      </w:r>
      <w:r>
        <w:rPr>
          <w:rFonts w:hint="eastAsia" w:ascii="仿宋_GB2312" w:hAnsi="仿宋_GB2312" w:eastAsia="仿宋_GB2312" w:cs="仿宋_GB2312"/>
          <w:color w:val="000000"/>
          <w:kern w:val="0"/>
          <w:sz w:val="32"/>
          <w:szCs w:val="32"/>
          <w:lang w:val="en-US" w:eastAsia="zh-CN" w:bidi="ar-SA"/>
        </w:rPr>
        <w:t>说课大赛总决赛在我省顺利举办。10月22日-23日，全国农民教育培训教师说课大赛总决赛在我省郴州市举办，农业农村部副部长吴宏耀出席并讲话，来自全国33个省级代表队的90余名教师参赛。我省3名教师参加总决赛，获得了一等奖、二等奖、三等奖各1个，最佳微课奖2个，为历史最好成绩，汝城县获得突出贡献奖，我校获最佳组织奖，中央农广校专门向建球厅长发来感谢信。</w:t>
      </w:r>
      <w:r>
        <w:rPr>
          <w:rFonts w:hint="eastAsia" w:ascii="仿宋_GB2312" w:hAnsi="仿宋_GB2312" w:eastAsia="仿宋_GB2312" w:cs="仿宋_GB2312"/>
          <w:b/>
          <w:bCs/>
          <w:color w:val="000000"/>
          <w:kern w:val="0"/>
          <w:sz w:val="32"/>
          <w:szCs w:val="32"/>
          <w:lang w:val="en-US" w:eastAsia="zh-CN" w:bidi="ar-SA"/>
        </w:rPr>
        <w:t>四是</w:t>
      </w:r>
      <w:r>
        <w:rPr>
          <w:rFonts w:hint="eastAsia" w:ascii="仿宋_GB2312" w:hAnsi="仿宋_GB2312" w:eastAsia="仿宋_GB2312" w:cs="仿宋_GB2312"/>
          <w:color w:val="000000"/>
          <w:kern w:val="0"/>
          <w:sz w:val="32"/>
          <w:szCs w:val="32"/>
          <w:lang w:val="en-US" w:eastAsia="zh-CN" w:bidi="ar-SA"/>
        </w:rPr>
        <w:t>人才试点初露峥嵘。创新开展农业职业经理人培育，与四川省农广校签署合作框架协议，举办首期湘川农业职业经理人能力提升联合培育班。稳步推进乡村职业经理人培育，成功申请万名乡村职业经理人培养计划湖南分中心，制定实施方案，比选了实践村庄，差额遴选了学员，首批10名学员已赴北京参训。扎实开展高素质农民学用贯通试点，学员培养环节接近尾声，正全力推进学员学以致用，并做好后续跟踪服务工，学员及社会反馈普遍良好。</w:t>
      </w:r>
      <w:r>
        <w:rPr>
          <w:rFonts w:hint="eastAsia" w:ascii="仿宋_GB2312" w:hAnsi="仿宋_GB2312" w:eastAsia="仿宋_GB2312" w:cs="仿宋_GB2312"/>
          <w:b/>
          <w:bCs/>
          <w:color w:val="000000"/>
          <w:kern w:val="0"/>
          <w:sz w:val="32"/>
          <w:szCs w:val="32"/>
          <w:lang w:val="en-US" w:eastAsia="zh-CN" w:bidi="ar-SA"/>
        </w:rPr>
        <w:t>五是</w:t>
      </w:r>
      <w:r>
        <w:rPr>
          <w:rFonts w:hint="eastAsia" w:ascii="仿宋_GB2312" w:hAnsi="仿宋_GB2312" w:eastAsia="仿宋_GB2312" w:cs="仿宋_GB2312"/>
          <w:color w:val="000000"/>
          <w:kern w:val="0"/>
          <w:sz w:val="32"/>
          <w:szCs w:val="32"/>
          <w:lang w:val="en-US" w:eastAsia="zh-CN" w:bidi="ar-SA"/>
        </w:rPr>
        <w:t>乡村体育亮点纷呈。积极组织农民参加全国农民体育赛</w:t>
      </w:r>
    </w:p>
    <w:p>
      <w:pPr>
        <w:pStyle w:val="17"/>
        <w:spacing w:line="600" w:lineRule="exact"/>
        <w:ind w:firstLine="640"/>
        <w:rPr>
          <w:rFonts w:hint="eastAsia" w:ascii="仿宋_GB2312" w:hAnsi="仿宋_GB2312" w:eastAsia="仿宋_GB2312" w:cs="仿宋_GB2312"/>
          <w:color w:val="000000"/>
          <w:kern w:val="0"/>
          <w:sz w:val="32"/>
          <w:szCs w:val="32"/>
          <w:lang w:val="en-US" w:eastAsia="zh-CN" w:bidi="ar-SA"/>
        </w:rPr>
      </w:pPr>
    </w:p>
    <w:p>
      <w:pPr>
        <w:spacing w:line="600" w:lineRule="exact"/>
        <w:ind w:firstLine="640" w:firstLineChars="200"/>
        <w:rPr>
          <w:rFonts w:hint="eastAsia" w:eastAsia="仿宋_GB2312"/>
          <w:b/>
          <w:bCs/>
          <w:sz w:val="32"/>
          <w:szCs w:val="32"/>
        </w:rPr>
      </w:pPr>
      <w:r>
        <w:rPr>
          <w:rFonts w:hint="eastAsia" w:eastAsia="仿宋_GB2312"/>
          <w:b/>
          <w:bCs/>
          <w:sz w:val="32"/>
          <w:szCs w:val="32"/>
          <w:lang w:eastAsia="zh-CN"/>
        </w:rPr>
        <w:t>（</w:t>
      </w:r>
      <w:r>
        <w:rPr>
          <w:rFonts w:hint="eastAsia" w:eastAsia="仿宋_GB2312"/>
          <w:b/>
          <w:bCs/>
          <w:sz w:val="32"/>
          <w:szCs w:val="32"/>
          <w:lang w:val="en-US" w:eastAsia="zh-CN"/>
        </w:rPr>
        <w:t>一）</w:t>
      </w:r>
      <w:r>
        <w:rPr>
          <w:rFonts w:hint="eastAsia" w:eastAsia="仿宋_GB2312"/>
          <w:b/>
          <w:bCs/>
          <w:sz w:val="32"/>
          <w:szCs w:val="32"/>
        </w:rPr>
        <w:t>绩效目标和指标设置不够细化。</w:t>
      </w:r>
    </w:p>
    <w:p>
      <w:pPr>
        <w:spacing w:line="600" w:lineRule="exact"/>
        <w:ind w:firstLine="640" w:firstLineChars="200"/>
        <w:rPr>
          <w:rFonts w:hint="eastAsia" w:eastAsia="仿宋_GB2312"/>
          <w:sz w:val="32"/>
          <w:szCs w:val="32"/>
        </w:rPr>
      </w:pPr>
      <w:r>
        <w:rPr>
          <w:rFonts w:hint="eastAsia" w:eastAsia="仿宋_GB2312"/>
          <w:sz w:val="32"/>
          <w:szCs w:val="32"/>
        </w:rPr>
        <w:t>原因分析：一是目标和指标设置前业务科室</w:t>
      </w:r>
      <w:r>
        <w:rPr>
          <w:rFonts w:hint="eastAsia" w:eastAsia="仿宋_GB2312"/>
          <w:sz w:val="32"/>
          <w:szCs w:val="32"/>
          <w:lang w:val="en-US" w:eastAsia="zh-CN"/>
        </w:rPr>
        <w:t>对</w:t>
      </w:r>
      <w:r>
        <w:rPr>
          <w:rFonts w:hint="eastAsia" w:eastAsia="仿宋_GB2312"/>
          <w:sz w:val="32"/>
          <w:szCs w:val="32"/>
        </w:rPr>
        <w:t>预算绩效管理相关文件学习不够；二是</w:t>
      </w:r>
      <w:r>
        <w:rPr>
          <w:rFonts w:hint="eastAsia" w:ascii="Times New Roman Regular" w:hAnsi="Times New Roman Regular" w:eastAsia="仿宋_GB2312" w:cs="Times New Roman Regular"/>
          <w:b w:val="0"/>
          <w:bCs w:val="0"/>
          <w:color w:val="000000" w:themeColor="text1"/>
          <w:kern w:val="2"/>
          <w:sz w:val="32"/>
          <w:szCs w:val="32"/>
          <w:highlight w:val="none"/>
          <w:lang w:val="en-US" w:eastAsia="zh-CN" w:bidi="ar-SA"/>
          <w14:textFill>
            <w14:solidFill>
              <w14:schemeClr w14:val="tx1"/>
            </w14:solidFill>
          </w14:textFill>
        </w:rPr>
        <w:t>项目内容调整时未同步变更绩效目标和指标</w:t>
      </w:r>
      <w:r>
        <w:rPr>
          <w:rFonts w:hint="eastAsia" w:eastAsia="仿宋_GB2312"/>
          <w:sz w:val="32"/>
          <w:szCs w:val="32"/>
        </w:rPr>
        <w:t>。</w:t>
      </w:r>
    </w:p>
    <w:p>
      <w:pPr>
        <w:spacing w:line="600" w:lineRule="exact"/>
        <w:ind w:firstLine="640" w:firstLineChars="200"/>
        <w:rPr>
          <w:rFonts w:hint="eastAsia" w:eastAsia="仿宋_GB2312"/>
          <w:b/>
          <w:bCs/>
          <w:sz w:val="32"/>
          <w:szCs w:val="32"/>
        </w:rPr>
      </w:pPr>
      <w:r>
        <w:rPr>
          <w:rFonts w:hint="eastAsia" w:eastAsia="仿宋_GB2312"/>
          <w:b/>
          <w:bCs/>
          <w:sz w:val="32"/>
          <w:szCs w:val="32"/>
          <w:lang w:val="en-US" w:eastAsia="zh-CN"/>
        </w:rPr>
        <w:t>（二）</w:t>
      </w:r>
      <w:r>
        <w:rPr>
          <w:rFonts w:hint="eastAsia" w:eastAsia="仿宋_GB2312"/>
          <w:b/>
          <w:bCs/>
          <w:sz w:val="32"/>
          <w:szCs w:val="32"/>
        </w:rPr>
        <w:t>部分项目预算执行率不高。</w:t>
      </w:r>
    </w:p>
    <w:p>
      <w:pPr>
        <w:spacing w:line="600" w:lineRule="exact"/>
        <w:ind w:firstLine="640" w:firstLineChars="200"/>
        <w:rPr>
          <w:rFonts w:eastAsia="仿宋_GB2312"/>
          <w:sz w:val="32"/>
          <w:szCs w:val="32"/>
        </w:rPr>
      </w:pPr>
      <w:r>
        <w:rPr>
          <w:rFonts w:hint="eastAsia" w:eastAsia="仿宋_GB2312"/>
          <w:sz w:val="32"/>
          <w:szCs w:val="32"/>
        </w:rPr>
        <w:t>原因分析：一是厉行节约，在经费使用上有一定的压缩；二是部分项目为预算追加资金项目，且下达时间较晚。</w:t>
      </w:r>
    </w:p>
    <w:p>
      <w:pPr>
        <w:numPr>
          <w:ilvl w:val="0"/>
          <w:numId w:val="0"/>
        </w:numPr>
        <w:spacing w:line="600" w:lineRule="exact"/>
        <w:ind w:leftChars="200" w:firstLine="320" w:firstLineChars="100"/>
        <w:rPr>
          <w:rFonts w:eastAsia="黑体"/>
          <w:sz w:val="32"/>
          <w:szCs w:val="32"/>
        </w:rPr>
      </w:pPr>
      <w:r>
        <w:rPr>
          <w:rFonts w:hint="eastAsia" w:eastAsia="黑体"/>
          <w:sz w:val="32"/>
          <w:szCs w:val="32"/>
          <w:lang w:val="en-US" w:eastAsia="zh-CN"/>
        </w:rPr>
        <w:t>八、</w:t>
      </w:r>
      <w:r>
        <w:rPr>
          <w:rFonts w:eastAsia="黑体"/>
          <w:sz w:val="32"/>
          <w:szCs w:val="32"/>
        </w:rPr>
        <w:t>下一步改进措施</w:t>
      </w:r>
    </w:p>
    <w:p>
      <w:pPr>
        <w:spacing w:line="600" w:lineRule="exact"/>
        <w:ind w:firstLine="640" w:firstLineChars="200"/>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rPr>
        <w:t>（一）加强学习培训，科学合理设置绩效目标</w:t>
      </w:r>
      <w:r>
        <w:rPr>
          <w:rFonts w:hint="eastAsia" w:eastAsia="仿宋_GB2312" w:cs="Times New Roman"/>
          <w:b/>
          <w:bCs/>
          <w:sz w:val="32"/>
          <w:szCs w:val="32"/>
          <w:lang w:eastAsia="zh-CN"/>
        </w:rPr>
        <w:t>。</w:t>
      </w:r>
    </w:p>
    <w:p>
      <w:pPr>
        <w:spacing w:line="60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进一步加强绩效管理文件政策的学习和培训，树牢绩效理念，将预算绩效管理贯穿于工作始终。认真学习湖南省财政厅《湖南省预算绩效目标管理办法》（湘财绩〔2020〕6号）文件精神，按照“指向明确、细化量化、合理可行、相应匹配”原则，结合实际工作，科学合理设置绩效目标，做到细化、量化、可衡量。</w:t>
      </w:r>
    </w:p>
    <w:p>
      <w:pPr>
        <w:spacing w:line="600" w:lineRule="exact"/>
        <w:ind w:firstLine="640" w:firstLineChars="200"/>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rPr>
        <w:t>（二）进一步提高预算资金执行率</w:t>
      </w:r>
      <w:r>
        <w:rPr>
          <w:rFonts w:hint="eastAsia" w:eastAsia="仿宋_GB2312" w:cs="Times New Roman"/>
          <w:b/>
          <w:bCs/>
          <w:sz w:val="32"/>
          <w:szCs w:val="32"/>
          <w:lang w:eastAsia="zh-CN"/>
        </w:rPr>
        <w:t>。</w:t>
      </w:r>
    </w:p>
    <w:p>
      <w:pPr>
        <w:spacing w:line="60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持续加强</w:t>
      </w:r>
      <w:r>
        <w:rPr>
          <w:rFonts w:hint="eastAsia" w:ascii="Times New Roman" w:hAnsi="Times New Roman" w:eastAsia="仿宋_GB2312" w:cs="Times New Roman"/>
          <w:sz w:val="32"/>
          <w:szCs w:val="32"/>
          <w:lang w:val="en-US" w:eastAsia="zh-CN"/>
        </w:rPr>
        <w:t>与科</w:t>
      </w:r>
      <w:r>
        <w:rPr>
          <w:rFonts w:hint="eastAsia" w:ascii="Times New Roman" w:hAnsi="Times New Roman" w:eastAsia="仿宋_GB2312" w:cs="Times New Roman"/>
          <w:sz w:val="32"/>
          <w:szCs w:val="32"/>
        </w:rPr>
        <w:t>室的沟通配合，加强项目实施管理，按项目的实施方案和计划推动项目落地，形成效益和成果。督促各业务</w:t>
      </w:r>
      <w:r>
        <w:rPr>
          <w:rFonts w:hint="eastAsia" w:ascii="Times New Roman" w:hAnsi="Times New Roman" w:eastAsia="仿宋_GB2312" w:cs="Times New Roman"/>
          <w:sz w:val="32"/>
          <w:szCs w:val="32"/>
          <w:lang w:val="en-US" w:eastAsia="zh-CN"/>
        </w:rPr>
        <w:t>科</w:t>
      </w:r>
      <w:r>
        <w:rPr>
          <w:rFonts w:hint="eastAsia" w:ascii="Times New Roman" w:hAnsi="Times New Roman" w:eastAsia="仿宋_GB2312" w:cs="Times New Roman"/>
          <w:sz w:val="32"/>
          <w:szCs w:val="32"/>
        </w:rPr>
        <w:t>室加快推进预算执行进度，切实提高资金使用时效性和绩效。</w:t>
      </w:r>
    </w:p>
    <w:p>
      <w:pPr>
        <w:spacing w:line="600" w:lineRule="exact"/>
        <w:ind w:firstLine="640" w:firstLineChars="200"/>
        <w:rPr>
          <w:rFonts w:eastAsia="黑体"/>
          <w:sz w:val="32"/>
          <w:szCs w:val="32"/>
        </w:rPr>
      </w:pPr>
      <w:r>
        <w:rPr>
          <w:rFonts w:eastAsia="黑体"/>
          <w:sz w:val="32"/>
          <w:szCs w:val="32"/>
        </w:rPr>
        <w:t>九、绩效自评结果拟应用和公开情况</w:t>
      </w:r>
    </w:p>
    <w:p>
      <w:pPr>
        <w:keepLines w:val="0"/>
        <w:pageBreakBefore w:val="0"/>
        <w:kinsoku/>
        <w:wordWrap/>
        <w:overflowPunct/>
        <w:topLinePunct w:val="0"/>
        <w:bidi w:val="0"/>
        <w:spacing w:line="579"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一是</w:t>
      </w:r>
      <w:r>
        <w:rPr>
          <w:rFonts w:hint="default" w:ascii="Times New Roman" w:hAnsi="Times New Roman" w:eastAsia="仿宋_GB2312" w:cs="Times New Roman"/>
          <w:color w:val="auto"/>
          <w:kern w:val="2"/>
          <w:sz w:val="32"/>
          <w:szCs w:val="32"/>
          <w:highlight w:val="none"/>
          <w:lang w:val="en-US" w:eastAsia="zh-CN" w:bidi="ar-SA"/>
        </w:rPr>
        <w:t>针对绩效自评发现的问题，</w:t>
      </w:r>
      <w:r>
        <w:rPr>
          <w:rFonts w:hint="eastAsia" w:eastAsia="仿宋_GB2312" w:cs="Times New Roman"/>
          <w:color w:val="auto"/>
          <w:kern w:val="2"/>
          <w:sz w:val="32"/>
          <w:szCs w:val="32"/>
          <w:highlight w:val="none"/>
          <w:lang w:val="en-US" w:eastAsia="zh-CN" w:bidi="ar-SA"/>
        </w:rPr>
        <w:t>在校务会上通报</w:t>
      </w:r>
      <w:r>
        <w:rPr>
          <w:rFonts w:hint="eastAsia" w:ascii="Times New Roman" w:hAnsi="Times New Roman" w:eastAsia="仿宋_GB2312" w:cs="Times New Roman"/>
          <w:color w:val="auto"/>
          <w:kern w:val="2"/>
          <w:sz w:val="32"/>
          <w:szCs w:val="32"/>
          <w:highlight w:val="none"/>
          <w:lang w:val="en-US" w:eastAsia="zh-CN" w:bidi="ar-SA"/>
        </w:rPr>
        <w:t>，要求各科室</w:t>
      </w:r>
      <w:r>
        <w:rPr>
          <w:rFonts w:hint="default" w:ascii="Times New Roman" w:hAnsi="Times New Roman" w:eastAsia="仿宋_GB2312" w:cs="Times New Roman"/>
          <w:color w:val="auto"/>
          <w:kern w:val="2"/>
          <w:sz w:val="32"/>
          <w:szCs w:val="32"/>
          <w:highlight w:val="none"/>
          <w:lang w:val="en-US" w:eastAsia="zh-CN" w:bidi="ar-SA"/>
        </w:rPr>
        <w:t>进行整改</w:t>
      </w:r>
      <w:r>
        <w:rPr>
          <w:rFonts w:hint="eastAsia" w:ascii="Times New Roman" w:hAnsi="Times New Roman" w:eastAsia="仿宋_GB2312" w:cs="Times New Roman"/>
          <w:color w:val="auto"/>
          <w:kern w:val="2"/>
          <w:sz w:val="32"/>
          <w:szCs w:val="32"/>
          <w:highlight w:val="none"/>
          <w:lang w:val="en-US" w:eastAsia="zh-CN" w:bidi="ar-SA"/>
        </w:rPr>
        <w:t>，并跟踪整改结果。二是将此次绩效自评结果</w:t>
      </w:r>
      <w:r>
        <w:rPr>
          <w:rFonts w:hint="default" w:ascii="Times New Roman" w:hAnsi="Times New Roman" w:eastAsia="仿宋_GB2312" w:cs="Times New Roman"/>
          <w:color w:val="auto"/>
          <w:kern w:val="2"/>
          <w:sz w:val="32"/>
          <w:szCs w:val="32"/>
          <w:highlight w:val="none"/>
          <w:lang w:val="en-US" w:eastAsia="zh-CN" w:bidi="ar-SA"/>
        </w:rPr>
        <w:t>作为</w:t>
      </w:r>
      <w:r>
        <w:rPr>
          <w:rFonts w:hint="eastAsia" w:ascii="Times New Roman" w:hAnsi="Times New Roman" w:eastAsia="仿宋_GB2312" w:cs="Times New Roman"/>
          <w:color w:val="auto"/>
          <w:kern w:val="2"/>
          <w:sz w:val="32"/>
          <w:szCs w:val="32"/>
          <w:highlight w:val="none"/>
          <w:lang w:val="en-US" w:eastAsia="zh-CN" w:bidi="ar-SA"/>
        </w:rPr>
        <w:t>科室</w:t>
      </w:r>
      <w:r>
        <w:rPr>
          <w:rFonts w:hint="default" w:ascii="Times New Roman" w:hAnsi="Times New Roman" w:eastAsia="仿宋_GB2312" w:cs="Times New Roman"/>
          <w:color w:val="auto"/>
          <w:kern w:val="2"/>
          <w:sz w:val="32"/>
          <w:szCs w:val="32"/>
          <w:highlight w:val="none"/>
          <w:lang w:val="en-US" w:eastAsia="zh-CN" w:bidi="ar-SA"/>
        </w:rPr>
        <w:t>绩效考核和下年度资金安排参考依据。</w:t>
      </w:r>
      <w:r>
        <w:rPr>
          <w:rFonts w:hint="eastAsia" w:ascii="Times New Roman" w:hAnsi="Times New Roman" w:eastAsia="仿宋_GB2312" w:cs="Times New Roman"/>
          <w:color w:val="auto"/>
          <w:kern w:val="2"/>
          <w:sz w:val="32"/>
          <w:szCs w:val="32"/>
          <w:highlight w:val="none"/>
          <w:lang w:val="en-US" w:eastAsia="zh-CN" w:bidi="ar-SA"/>
        </w:rPr>
        <w:t>三是根据要求将</w:t>
      </w:r>
      <w:r>
        <w:rPr>
          <w:rFonts w:hint="default" w:ascii="Times New Roman" w:hAnsi="Times New Roman" w:eastAsia="仿宋_GB2312" w:cs="Times New Roman"/>
          <w:color w:val="auto"/>
          <w:kern w:val="2"/>
          <w:sz w:val="32"/>
          <w:szCs w:val="32"/>
          <w:highlight w:val="none"/>
          <w:lang w:val="en-US" w:eastAsia="zh-CN" w:bidi="ar-SA"/>
        </w:rPr>
        <w:t>本报告进行公示。</w:t>
      </w:r>
    </w:p>
    <w:p>
      <w:pPr>
        <w:spacing w:line="600" w:lineRule="exact"/>
        <w:ind w:firstLine="640" w:firstLineChars="200"/>
        <w:rPr>
          <w:rFonts w:eastAsia="黑体"/>
          <w:sz w:val="32"/>
          <w:szCs w:val="32"/>
        </w:rPr>
      </w:pPr>
      <w:bookmarkStart w:id="2" w:name="OLE_LINK2"/>
      <w:r>
        <w:rPr>
          <w:rFonts w:eastAsia="黑体"/>
          <w:sz w:val="32"/>
          <w:szCs w:val="32"/>
        </w:rPr>
        <w:t>其他需要说明的情况</w:t>
      </w:r>
    </w:p>
    <w:bookmarkEnd w:id="2"/>
    <w:p>
      <w:pPr>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无</w:t>
      </w:r>
    </w:p>
    <w:p>
      <w:pPr>
        <w:spacing w:line="600" w:lineRule="exact"/>
        <w:ind w:firstLine="640" w:firstLineChars="200"/>
        <w:rPr>
          <w:rFonts w:eastAsia="仿宋_GB2312"/>
          <w:sz w:val="32"/>
          <w:szCs w:val="32"/>
        </w:rPr>
      </w:pPr>
    </w:p>
    <w:p>
      <w:pPr>
        <w:spacing w:line="600" w:lineRule="exact"/>
        <w:ind w:firstLine="640" w:firstLineChars="200"/>
        <w:rPr>
          <w:rFonts w:eastAsia="仿宋_GB2312"/>
          <w:sz w:val="32"/>
          <w:szCs w:val="32"/>
        </w:rPr>
      </w:pPr>
    </w:p>
    <w:p>
      <w:pPr>
        <w:spacing w:line="600" w:lineRule="exact"/>
        <w:rPr>
          <w:rFonts w:hint="eastAsia" w:eastAsia="仿宋_GB2312"/>
          <w:sz w:val="32"/>
          <w:szCs w:val="32"/>
        </w:rPr>
      </w:pPr>
      <w:r>
        <w:rPr>
          <w:rFonts w:hint="eastAsia" w:eastAsia="仿宋_GB2312"/>
          <w:sz w:val="32"/>
          <w:szCs w:val="32"/>
        </w:rPr>
        <w:t>附件：1.部门整体支出绩效评价基础数据表</w:t>
      </w:r>
    </w:p>
    <w:p>
      <w:pPr>
        <w:spacing w:line="600" w:lineRule="exact"/>
        <w:ind w:firstLine="960" w:firstLineChars="300"/>
        <w:rPr>
          <w:rFonts w:hint="eastAsia" w:eastAsia="仿宋_GB2312"/>
          <w:sz w:val="32"/>
          <w:szCs w:val="32"/>
        </w:rPr>
      </w:pPr>
      <w:r>
        <w:rPr>
          <w:rFonts w:hint="eastAsia" w:eastAsia="仿宋_GB2312"/>
          <w:sz w:val="32"/>
          <w:szCs w:val="32"/>
        </w:rPr>
        <w:t>2.部门整体支出绩效自评表</w:t>
      </w:r>
    </w:p>
    <w:p>
      <w:pPr>
        <w:spacing w:line="600" w:lineRule="exact"/>
        <w:ind w:firstLine="960" w:firstLineChars="300"/>
        <w:rPr>
          <w:rFonts w:hint="eastAsia" w:eastAsia="仿宋_GB2312"/>
          <w:sz w:val="32"/>
          <w:szCs w:val="32"/>
          <w:lang w:eastAsia="zh-CN"/>
        </w:rPr>
      </w:pPr>
      <w:r>
        <w:rPr>
          <w:rFonts w:hint="eastAsia" w:eastAsia="仿宋_GB2312"/>
          <w:sz w:val="32"/>
          <w:szCs w:val="32"/>
        </w:rPr>
        <w:t>3.项目支出绩效自评表</w:t>
      </w:r>
      <w:r>
        <w:rPr>
          <w:rFonts w:hint="eastAsia" w:eastAsia="仿宋_GB2312"/>
          <w:sz w:val="32"/>
          <w:szCs w:val="32"/>
          <w:lang w:eastAsia="zh-CN"/>
        </w:rPr>
        <w:t>（</w:t>
      </w:r>
      <w:r>
        <w:rPr>
          <w:rFonts w:hint="eastAsia" w:eastAsia="仿宋_GB2312"/>
          <w:sz w:val="32"/>
          <w:szCs w:val="32"/>
          <w:lang w:val="en-US" w:eastAsia="zh-CN"/>
        </w:rPr>
        <w:t>业务工作经费</w:t>
      </w:r>
      <w:r>
        <w:rPr>
          <w:rFonts w:hint="eastAsia" w:eastAsia="仿宋_GB2312"/>
          <w:sz w:val="32"/>
          <w:szCs w:val="32"/>
          <w:lang w:eastAsia="zh-CN"/>
        </w:rPr>
        <w:t>）</w:t>
      </w:r>
    </w:p>
    <w:p>
      <w:pPr>
        <w:spacing w:line="600" w:lineRule="exact"/>
        <w:ind w:firstLine="960" w:firstLineChars="300"/>
        <w:rPr>
          <w:rFonts w:hint="eastAsia" w:eastAsia="仿宋_GB2312"/>
          <w:sz w:val="32"/>
          <w:szCs w:val="32"/>
          <w:lang w:eastAsia="zh-CN"/>
        </w:rPr>
      </w:pPr>
      <w:r>
        <w:rPr>
          <w:rFonts w:hint="eastAsia" w:eastAsia="仿宋_GB2312"/>
          <w:sz w:val="32"/>
          <w:szCs w:val="32"/>
          <w:lang w:val="en-US" w:eastAsia="zh-CN"/>
        </w:rPr>
        <w:t>4</w:t>
      </w:r>
      <w:r>
        <w:rPr>
          <w:rFonts w:hint="eastAsia" w:eastAsia="仿宋_GB2312"/>
          <w:sz w:val="32"/>
          <w:szCs w:val="32"/>
        </w:rPr>
        <w:t>.项目支出绩效自评表</w:t>
      </w:r>
      <w:r>
        <w:rPr>
          <w:rFonts w:hint="eastAsia" w:eastAsia="仿宋_GB2312"/>
          <w:sz w:val="32"/>
          <w:szCs w:val="32"/>
          <w:lang w:eastAsia="zh-CN"/>
        </w:rPr>
        <w:t>（</w:t>
      </w:r>
      <w:r>
        <w:rPr>
          <w:rFonts w:hint="eastAsia" w:eastAsia="仿宋_GB2312"/>
          <w:sz w:val="32"/>
          <w:szCs w:val="32"/>
          <w:lang w:val="en-US" w:eastAsia="zh-CN"/>
        </w:rPr>
        <w:t>运行维护经费</w:t>
      </w:r>
      <w:r>
        <w:rPr>
          <w:rFonts w:hint="eastAsia" w:eastAsia="仿宋_GB2312"/>
          <w:sz w:val="32"/>
          <w:szCs w:val="32"/>
          <w:lang w:eastAsia="zh-CN"/>
        </w:rPr>
        <w:t>）</w:t>
      </w:r>
    </w:p>
    <w:p>
      <w:pPr>
        <w:spacing w:line="600" w:lineRule="exact"/>
        <w:ind w:firstLine="960" w:firstLineChars="300"/>
        <w:rPr>
          <w:rFonts w:hint="eastAsia" w:eastAsia="仿宋_GB2312"/>
          <w:sz w:val="32"/>
          <w:szCs w:val="32"/>
          <w:lang w:eastAsia="zh-CN"/>
        </w:rPr>
      </w:pPr>
      <w:r>
        <w:rPr>
          <w:rFonts w:hint="eastAsia" w:eastAsia="仿宋_GB2312"/>
          <w:sz w:val="32"/>
          <w:szCs w:val="32"/>
          <w:lang w:val="en-US" w:eastAsia="zh-CN"/>
        </w:rPr>
        <w:t>5</w:t>
      </w:r>
      <w:r>
        <w:rPr>
          <w:rFonts w:hint="eastAsia" w:eastAsia="仿宋_GB2312"/>
          <w:sz w:val="32"/>
          <w:szCs w:val="32"/>
        </w:rPr>
        <w:t>.项目支出绩效自评表</w:t>
      </w:r>
      <w:r>
        <w:rPr>
          <w:rFonts w:hint="eastAsia" w:eastAsia="仿宋_GB2312"/>
          <w:sz w:val="32"/>
          <w:szCs w:val="32"/>
          <w:lang w:eastAsia="zh-CN"/>
        </w:rPr>
        <w:t>（</w:t>
      </w:r>
      <w:r>
        <w:rPr>
          <w:rFonts w:hint="eastAsia" w:eastAsia="仿宋_GB2312"/>
          <w:sz w:val="32"/>
          <w:szCs w:val="32"/>
          <w:lang w:val="en-US" w:eastAsia="zh-CN"/>
        </w:rPr>
        <w:t>其他事业发展资金</w:t>
      </w:r>
      <w:r>
        <w:rPr>
          <w:rFonts w:hint="eastAsia" w:eastAsia="仿宋_GB2312"/>
          <w:sz w:val="32"/>
          <w:szCs w:val="32"/>
          <w:lang w:eastAsia="zh-CN"/>
        </w:rPr>
        <w:t>）</w:t>
      </w:r>
    </w:p>
    <w:p>
      <w:pPr>
        <w:spacing w:line="600" w:lineRule="exact"/>
        <w:ind w:firstLine="960" w:firstLineChars="300"/>
        <w:rPr>
          <w:rFonts w:hint="eastAsia" w:eastAsia="仿宋_GB2312"/>
          <w:sz w:val="32"/>
          <w:szCs w:val="32"/>
          <w:lang w:eastAsia="zh-CN"/>
        </w:rPr>
      </w:pPr>
      <w:r>
        <w:rPr>
          <w:rFonts w:hint="eastAsia" w:eastAsia="仿宋_GB2312"/>
          <w:sz w:val="32"/>
          <w:szCs w:val="32"/>
          <w:lang w:val="en-US" w:eastAsia="zh-CN"/>
        </w:rPr>
        <w:t>6</w:t>
      </w:r>
      <w:r>
        <w:rPr>
          <w:rFonts w:hint="eastAsia" w:eastAsia="仿宋_GB2312"/>
          <w:sz w:val="32"/>
          <w:szCs w:val="32"/>
        </w:rPr>
        <w:t>.项目支出绩效自评表</w:t>
      </w:r>
      <w:r>
        <w:rPr>
          <w:rFonts w:hint="eastAsia" w:eastAsia="仿宋_GB2312"/>
          <w:sz w:val="32"/>
          <w:szCs w:val="32"/>
          <w:lang w:eastAsia="zh-CN"/>
        </w:rPr>
        <w:t>（</w:t>
      </w:r>
      <w:r>
        <w:rPr>
          <w:rFonts w:hint="eastAsia" w:eastAsia="仿宋_GB2312"/>
          <w:sz w:val="32"/>
          <w:szCs w:val="32"/>
          <w:lang w:val="en-US" w:eastAsia="zh-CN"/>
        </w:rPr>
        <w:t>现代农业农村发展专项</w:t>
      </w:r>
      <w:r>
        <w:rPr>
          <w:rFonts w:hint="eastAsia" w:eastAsia="仿宋_GB2312"/>
          <w:sz w:val="32"/>
          <w:szCs w:val="32"/>
          <w:lang w:eastAsia="zh-CN"/>
        </w:rPr>
        <w:t>）</w:t>
      </w:r>
    </w:p>
    <w:p>
      <w:pPr>
        <w:spacing w:line="600" w:lineRule="exact"/>
        <w:ind w:firstLine="960" w:firstLineChars="300"/>
        <w:rPr>
          <w:rFonts w:hint="eastAsia" w:eastAsia="仿宋_GB2312"/>
          <w:sz w:val="32"/>
          <w:szCs w:val="32"/>
          <w:lang w:eastAsia="zh-CN"/>
        </w:rPr>
      </w:pPr>
    </w:p>
    <w:p>
      <w:pPr>
        <w:spacing w:line="600" w:lineRule="exact"/>
        <w:ind w:firstLine="960" w:firstLineChars="300"/>
        <w:rPr>
          <w:rFonts w:hint="eastAsia" w:eastAsia="仿宋_GB2312"/>
          <w:sz w:val="32"/>
          <w:szCs w:val="32"/>
          <w:lang w:val="en-US" w:eastAsia="zh-CN"/>
        </w:rPr>
      </w:pPr>
    </w:p>
    <w:p>
      <w:pPr>
        <w:spacing w:line="600" w:lineRule="exact"/>
        <w:ind w:firstLine="960" w:firstLineChars="300"/>
        <w:rPr>
          <w:rFonts w:hint="eastAsia" w:eastAsia="仿宋_GB2312"/>
          <w:sz w:val="32"/>
          <w:szCs w:val="32"/>
          <w:lang w:val="en-US" w:eastAsia="zh-CN"/>
        </w:rPr>
      </w:pPr>
    </w:p>
    <w:p>
      <w:pPr>
        <w:spacing w:line="600" w:lineRule="exact"/>
        <w:ind w:firstLine="640" w:firstLineChars="200"/>
        <w:rPr>
          <w:rFonts w:eastAsia="仿宋_GB2312"/>
          <w:sz w:val="32"/>
          <w:szCs w:val="32"/>
        </w:rPr>
      </w:pPr>
    </w:p>
    <w:p>
      <w:pPr>
        <w:spacing w:line="600" w:lineRule="exact"/>
        <w:ind w:firstLine="640" w:firstLineChars="200"/>
        <w:rPr>
          <w:rFonts w:eastAsia="仿宋_GB2312"/>
          <w:sz w:val="32"/>
          <w:szCs w:val="32"/>
        </w:rPr>
      </w:pPr>
    </w:p>
    <w:p>
      <w:pPr>
        <w:spacing w:line="600" w:lineRule="exact"/>
        <w:ind w:firstLine="640" w:firstLineChars="200"/>
        <w:rPr>
          <w:rFonts w:eastAsia="仿宋_GB2312"/>
          <w:sz w:val="32"/>
          <w:szCs w:val="32"/>
        </w:rPr>
      </w:pPr>
    </w:p>
    <w:p>
      <w:pPr>
        <w:spacing w:line="600" w:lineRule="exact"/>
        <w:ind w:firstLine="640" w:firstLineChars="200"/>
        <w:rPr>
          <w:rFonts w:eastAsia="仿宋_GB2312"/>
          <w:sz w:val="32"/>
          <w:szCs w:val="32"/>
        </w:rPr>
      </w:pPr>
    </w:p>
    <w:p>
      <w:pPr>
        <w:spacing w:line="600" w:lineRule="exact"/>
        <w:ind w:firstLine="640" w:firstLineChars="200"/>
        <w:rPr>
          <w:rFonts w:eastAsia="仿宋_GB2312"/>
          <w:sz w:val="32"/>
          <w:szCs w:val="32"/>
        </w:rPr>
      </w:pPr>
    </w:p>
    <w:p>
      <w:pPr>
        <w:spacing w:line="600" w:lineRule="exact"/>
        <w:ind w:firstLine="640" w:firstLineChars="200"/>
        <w:rPr>
          <w:rFonts w:eastAsia="仿宋_GB2312"/>
          <w:sz w:val="32"/>
          <w:szCs w:val="32"/>
        </w:rPr>
      </w:pPr>
    </w:p>
    <w:p>
      <w:pPr>
        <w:spacing w:line="600" w:lineRule="exact"/>
        <w:ind w:firstLine="640" w:firstLineChars="200"/>
        <w:rPr>
          <w:rFonts w:eastAsia="仿宋_GB2312"/>
          <w:sz w:val="32"/>
          <w:szCs w:val="32"/>
        </w:rPr>
      </w:pPr>
    </w:p>
    <w:p>
      <w:pPr>
        <w:spacing w:line="600" w:lineRule="exact"/>
        <w:ind w:firstLine="640" w:firstLineChars="200"/>
        <w:rPr>
          <w:rFonts w:eastAsia="仿宋_GB2312"/>
          <w:sz w:val="32"/>
          <w:szCs w:val="32"/>
        </w:rPr>
      </w:pPr>
    </w:p>
    <w:p>
      <w:pPr>
        <w:spacing w:line="560" w:lineRule="exact"/>
        <w:jc w:val="center"/>
        <w:rPr>
          <w:rFonts w:eastAsia="仿宋_GB2312"/>
          <w:kern w:val="0"/>
          <w:sz w:val="24"/>
        </w:rPr>
      </w:pPr>
      <w:r>
        <w:rPr>
          <w:rFonts w:eastAsia="方正小标宋_GBK"/>
          <w:kern w:val="0"/>
          <w:sz w:val="36"/>
          <w:szCs w:val="36"/>
        </w:rPr>
        <w:t>部门整体支出绩效评价基础数据表</w:t>
      </w:r>
      <w:r>
        <w:rPr>
          <w:rFonts w:eastAsia="仿宋_GB2312"/>
          <w:kern w:val="0"/>
          <w:sz w:val="24"/>
        </w:rPr>
        <w:tab/>
      </w:r>
    </w:p>
    <w:tbl>
      <w:tblPr>
        <w:tblStyle w:val="12"/>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noWrap w:val="0"/>
            <w:vAlign w:val="center"/>
          </w:tcPr>
          <w:p>
            <w:pPr>
              <w:widowControl/>
              <w:jc w:val="center"/>
              <w:rPr>
                <w:rFonts w:eastAsia="仿宋_GB2312"/>
                <w:kern w:val="0"/>
                <w:szCs w:val="21"/>
              </w:rPr>
            </w:pPr>
            <w:r>
              <w:rPr>
                <w:rFonts w:eastAsia="仿宋_GB2312"/>
                <w:kern w:val="0"/>
                <w:szCs w:val="21"/>
              </w:rPr>
              <w:t>财政供养人员情况</w:t>
            </w:r>
          </w:p>
        </w:tc>
        <w:tc>
          <w:tcPr>
            <w:tcW w:w="2038" w:type="dxa"/>
            <w:gridSpan w:val="2"/>
            <w:noWrap w:val="0"/>
            <w:vAlign w:val="center"/>
          </w:tcPr>
          <w:p>
            <w:pPr>
              <w:widowControl/>
              <w:jc w:val="center"/>
              <w:rPr>
                <w:rFonts w:eastAsia="仿宋_GB2312"/>
                <w:b/>
                <w:bCs/>
                <w:kern w:val="0"/>
                <w:szCs w:val="21"/>
              </w:rPr>
            </w:pPr>
            <w:r>
              <w:rPr>
                <w:rFonts w:eastAsia="仿宋_GB2312"/>
                <w:b/>
                <w:bCs/>
                <w:kern w:val="0"/>
                <w:szCs w:val="21"/>
              </w:rPr>
              <w:t>编制数</w:t>
            </w:r>
          </w:p>
        </w:tc>
        <w:tc>
          <w:tcPr>
            <w:tcW w:w="2240"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lang w:val="en-US" w:eastAsia="zh-CN"/>
              </w:rPr>
              <w:t>24</w:t>
            </w:r>
            <w:r>
              <w:rPr>
                <w:rFonts w:eastAsia="仿宋_GB2312"/>
                <w:b/>
                <w:bCs/>
                <w:kern w:val="0"/>
                <w:szCs w:val="21"/>
              </w:rPr>
              <w:t>年实际在职人数</w:t>
            </w:r>
          </w:p>
        </w:tc>
        <w:tc>
          <w:tcPr>
            <w:tcW w:w="1832" w:type="dxa"/>
            <w:gridSpan w:val="2"/>
            <w:noWrap w:val="0"/>
            <w:vAlign w:val="center"/>
          </w:tcPr>
          <w:p>
            <w:pPr>
              <w:widowControl/>
              <w:jc w:val="center"/>
              <w:rPr>
                <w:rFonts w:eastAsia="仿宋_GB2312"/>
                <w:b/>
                <w:bCs/>
                <w:kern w:val="0"/>
                <w:szCs w:val="21"/>
              </w:rPr>
            </w:pPr>
            <w:r>
              <w:rPr>
                <w:rFonts w:eastAsia="仿宋_GB2312"/>
                <w:b/>
                <w:bCs/>
                <w:kern w:val="0"/>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continue"/>
            <w:noWrap w:val="0"/>
            <w:vAlign w:val="center"/>
          </w:tcPr>
          <w:p>
            <w:pPr>
              <w:widowControl/>
              <w:jc w:val="left"/>
              <w:rPr>
                <w:rFonts w:eastAsia="仿宋_GB2312"/>
                <w:kern w:val="0"/>
                <w:szCs w:val="21"/>
              </w:rPr>
            </w:pPr>
          </w:p>
        </w:tc>
        <w:tc>
          <w:tcPr>
            <w:tcW w:w="2038" w:type="dxa"/>
            <w:gridSpan w:val="2"/>
            <w:noWrap w:val="0"/>
            <w:vAlign w:val="center"/>
          </w:tcPr>
          <w:p>
            <w:pPr>
              <w:widowControl/>
              <w:jc w:val="center"/>
              <w:rPr>
                <w:rFonts w:hint="default"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35</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34</w:t>
            </w:r>
            <w:r>
              <w:rPr>
                <w:rFonts w:eastAsia="仿宋_GB2312"/>
                <w:kern w:val="0"/>
                <w:szCs w:val="21"/>
              </w:rPr>
              <w:t>　</w:t>
            </w:r>
          </w:p>
        </w:tc>
        <w:tc>
          <w:tcPr>
            <w:tcW w:w="1832" w:type="dxa"/>
            <w:gridSpan w:val="2"/>
            <w:noWrap w:val="0"/>
            <w:vAlign w:val="center"/>
          </w:tcPr>
          <w:p>
            <w:pPr>
              <w:widowControl/>
              <w:jc w:val="center"/>
              <w:rPr>
                <w:rFonts w:hint="default"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经费控制情况</w:t>
            </w:r>
          </w:p>
        </w:tc>
        <w:tc>
          <w:tcPr>
            <w:tcW w:w="2038"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lang w:val="en-US" w:eastAsia="zh-CN"/>
              </w:rPr>
              <w:t>23</w:t>
            </w:r>
            <w:r>
              <w:rPr>
                <w:rFonts w:eastAsia="仿宋_GB2312"/>
                <w:b/>
                <w:bCs/>
                <w:kern w:val="0"/>
                <w:szCs w:val="21"/>
              </w:rPr>
              <w:t>年决算数</w:t>
            </w:r>
          </w:p>
        </w:tc>
        <w:tc>
          <w:tcPr>
            <w:tcW w:w="2240"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lang w:val="en-US" w:eastAsia="zh-CN"/>
              </w:rPr>
              <w:t>24</w:t>
            </w:r>
            <w:r>
              <w:rPr>
                <w:rFonts w:eastAsia="仿宋_GB2312"/>
                <w:b/>
                <w:bCs/>
                <w:kern w:val="0"/>
                <w:szCs w:val="21"/>
              </w:rPr>
              <w:t>年预算数</w:t>
            </w:r>
          </w:p>
        </w:tc>
        <w:tc>
          <w:tcPr>
            <w:tcW w:w="1832"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lang w:val="en-US" w:eastAsia="zh-CN"/>
              </w:rPr>
              <w:t>24</w:t>
            </w:r>
            <w:r>
              <w:rPr>
                <w:rFonts w:eastAsia="仿宋_GB2312"/>
                <w:b/>
                <w:bCs/>
                <w:kern w:val="0"/>
                <w:szCs w:val="21"/>
              </w:rPr>
              <w:t>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三公经费</w:t>
            </w:r>
          </w:p>
        </w:tc>
        <w:tc>
          <w:tcPr>
            <w:tcW w:w="2038" w:type="dxa"/>
            <w:gridSpan w:val="2"/>
            <w:noWrap w:val="0"/>
            <w:vAlign w:val="center"/>
          </w:tcPr>
          <w:p>
            <w:pPr>
              <w:widowControl/>
              <w:jc w:val="center"/>
              <w:rPr>
                <w:rFonts w:eastAsia="仿宋_GB2312"/>
                <w:kern w:val="0"/>
                <w:szCs w:val="21"/>
              </w:rPr>
            </w:pPr>
            <w:r>
              <w:rPr>
                <w:rFonts w:hint="eastAsia" w:eastAsia="仿宋_GB2312"/>
                <w:kern w:val="0"/>
                <w:szCs w:val="21"/>
              </w:rPr>
              <w:t>2.90</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6</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2.98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1、公务用车购置和维护经费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其中：公车购置</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公车运行维护</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2、出国经费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3、公务接待</w:t>
            </w:r>
          </w:p>
        </w:tc>
        <w:tc>
          <w:tcPr>
            <w:tcW w:w="2038" w:type="dxa"/>
            <w:gridSpan w:val="2"/>
            <w:noWrap w:val="0"/>
            <w:vAlign w:val="center"/>
          </w:tcPr>
          <w:p>
            <w:pPr>
              <w:widowControl/>
              <w:jc w:val="center"/>
              <w:rPr>
                <w:rFonts w:eastAsia="仿宋_GB2312"/>
                <w:kern w:val="0"/>
                <w:szCs w:val="21"/>
              </w:rPr>
            </w:pPr>
            <w:r>
              <w:rPr>
                <w:rFonts w:hint="eastAsia" w:eastAsia="仿宋_GB2312"/>
                <w:kern w:val="0"/>
                <w:szCs w:val="21"/>
              </w:rPr>
              <w:t>2.90</w:t>
            </w:r>
          </w:p>
        </w:tc>
        <w:tc>
          <w:tcPr>
            <w:tcW w:w="2240" w:type="dxa"/>
            <w:gridSpan w:val="2"/>
            <w:noWrap w:val="0"/>
            <w:vAlign w:val="center"/>
          </w:tcPr>
          <w:p>
            <w:pPr>
              <w:widowControl/>
              <w:jc w:val="center"/>
              <w:rPr>
                <w:rFonts w:hint="eastAsia"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6</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2.98</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项目支出：</w:t>
            </w:r>
          </w:p>
        </w:tc>
        <w:tc>
          <w:tcPr>
            <w:tcW w:w="2038" w:type="dxa"/>
            <w:gridSpan w:val="2"/>
            <w:noWrap w:val="0"/>
            <w:vAlign w:val="center"/>
          </w:tcPr>
          <w:p>
            <w:pPr>
              <w:widowControl/>
              <w:jc w:val="center"/>
              <w:rPr>
                <w:rFonts w:eastAsia="仿宋_GB2312"/>
                <w:kern w:val="0"/>
                <w:szCs w:val="21"/>
              </w:rPr>
            </w:pPr>
            <w:r>
              <w:rPr>
                <w:rFonts w:hint="eastAsia" w:ascii="Times New Roman" w:hAnsi="Times New Roman" w:eastAsia="仿宋_GB2312" w:cs="Times New Roman"/>
                <w:sz w:val="20"/>
                <w:szCs w:val="20"/>
                <w:lang w:val="en-US" w:eastAsia="zh-CN"/>
              </w:rPr>
              <w:t>910.58</w:t>
            </w: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1807.61</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1148.70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1、业务工作经费</w:t>
            </w:r>
          </w:p>
        </w:tc>
        <w:tc>
          <w:tcPr>
            <w:tcW w:w="2038" w:type="dxa"/>
            <w:gridSpan w:val="2"/>
            <w:noWrap w:val="0"/>
            <w:vAlign w:val="center"/>
          </w:tcPr>
          <w:p>
            <w:pPr>
              <w:widowControl/>
              <w:jc w:val="center"/>
              <w:rPr>
                <w:rFonts w:eastAsia="仿宋_GB2312"/>
                <w:kern w:val="0"/>
                <w:szCs w:val="21"/>
              </w:rPr>
            </w:pPr>
            <w:r>
              <w:rPr>
                <w:rFonts w:hint="eastAsia" w:eastAsia="仿宋_GB2312"/>
                <w:kern w:val="0"/>
                <w:szCs w:val="21"/>
              </w:rPr>
              <w:t>41.26</w:t>
            </w: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195.27</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42.06</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2、运行维护经费</w:t>
            </w:r>
          </w:p>
        </w:tc>
        <w:tc>
          <w:tcPr>
            <w:tcW w:w="2038" w:type="dxa"/>
            <w:gridSpan w:val="2"/>
            <w:noWrap w:val="0"/>
            <w:vAlign w:val="center"/>
          </w:tcPr>
          <w:p>
            <w:pPr>
              <w:widowControl/>
              <w:jc w:val="center"/>
              <w:rPr>
                <w:rFonts w:eastAsia="仿宋_GB2312"/>
                <w:kern w:val="0"/>
                <w:szCs w:val="21"/>
              </w:rPr>
            </w:pPr>
            <w:r>
              <w:rPr>
                <w:rFonts w:hint="eastAsia" w:eastAsia="仿宋_GB2312"/>
                <w:kern w:val="0"/>
                <w:szCs w:val="21"/>
              </w:rPr>
              <w:t>616.22</w:t>
            </w:r>
            <w:r>
              <w:rPr>
                <w:rFonts w:eastAsia="仿宋_GB2312"/>
                <w:kern w:val="0"/>
                <w:szCs w:val="21"/>
              </w:rPr>
              <w:t>　</w:t>
            </w:r>
          </w:p>
        </w:tc>
        <w:tc>
          <w:tcPr>
            <w:tcW w:w="2240"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594.81</w:t>
            </w:r>
          </w:p>
        </w:tc>
        <w:tc>
          <w:tcPr>
            <w:tcW w:w="1832" w:type="dxa"/>
            <w:gridSpan w:val="2"/>
            <w:noWrap w:val="0"/>
            <w:vAlign w:val="center"/>
          </w:tcPr>
          <w:p>
            <w:pPr>
              <w:widowControl/>
              <w:jc w:val="center"/>
              <w:rPr>
                <w:rFonts w:hint="default"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537.47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54" w:type="dxa"/>
            <w:noWrap w:val="0"/>
            <w:vAlign w:val="center"/>
          </w:tcPr>
          <w:p>
            <w:pPr>
              <w:widowControl/>
              <w:ind w:firstLine="420" w:firstLineChars="200"/>
              <w:jc w:val="left"/>
              <w:rPr>
                <w:rFonts w:hint="default" w:eastAsia="仿宋_GB2312"/>
                <w:kern w:val="0"/>
                <w:szCs w:val="21"/>
                <w:lang w:val="en-US" w:eastAsia="zh-CN"/>
              </w:rPr>
            </w:pPr>
            <w:r>
              <w:rPr>
                <w:rFonts w:eastAsia="仿宋_GB2312"/>
                <w:kern w:val="0"/>
                <w:szCs w:val="21"/>
              </w:rPr>
              <w:t>3、</w:t>
            </w:r>
            <w:r>
              <w:rPr>
                <w:rFonts w:hint="eastAsia" w:eastAsia="仿宋_GB2312"/>
                <w:kern w:val="0"/>
                <w:szCs w:val="21"/>
                <w:lang w:val="en-US" w:eastAsia="zh-CN"/>
              </w:rPr>
              <w:t>其他事业发展资金</w:t>
            </w:r>
          </w:p>
        </w:tc>
        <w:tc>
          <w:tcPr>
            <w:tcW w:w="2038" w:type="dxa"/>
            <w:gridSpan w:val="2"/>
            <w:noWrap w:val="0"/>
            <w:vAlign w:val="center"/>
          </w:tcPr>
          <w:p>
            <w:pPr>
              <w:widowControl/>
              <w:jc w:val="center"/>
              <w:rPr>
                <w:rFonts w:eastAsia="仿宋_GB2312"/>
                <w:kern w:val="0"/>
                <w:szCs w:val="21"/>
              </w:rPr>
            </w:pPr>
          </w:p>
        </w:tc>
        <w:tc>
          <w:tcPr>
            <w:tcW w:w="2240"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367.53</w:t>
            </w:r>
          </w:p>
        </w:tc>
        <w:tc>
          <w:tcPr>
            <w:tcW w:w="1832"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112.99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shd w:val="clear" w:color="auto" w:fill="auto"/>
            <w:noWrap w:val="0"/>
            <w:vAlign w:val="center"/>
          </w:tcPr>
          <w:p>
            <w:pPr>
              <w:widowControl/>
              <w:ind w:firstLine="420" w:firstLineChars="200"/>
              <w:jc w:val="left"/>
              <w:rPr>
                <w:rFonts w:hint="eastAsia" w:eastAsia="仿宋_GB2312"/>
                <w:kern w:val="0"/>
                <w:szCs w:val="21"/>
              </w:rPr>
            </w:pPr>
            <w:r>
              <w:rPr>
                <w:rFonts w:hint="eastAsia" w:eastAsia="仿宋_GB2312"/>
                <w:kern w:val="0"/>
                <w:szCs w:val="21"/>
                <w:lang w:val="en-US" w:eastAsia="zh-CN"/>
              </w:rPr>
              <w:t>4</w:t>
            </w:r>
            <w:r>
              <w:rPr>
                <w:rFonts w:eastAsia="仿宋_GB2312"/>
                <w:kern w:val="0"/>
                <w:szCs w:val="21"/>
              </w:rPr>
              <w:t>、省级专项资金</w:t>
            </w:r>
          </w:p>
          <w:p>
            <w:pPr>
              <w:widowControl/>
              <w:ind w:firstLine="630" w:firstLineChars="300"/>
              <w:jc w:val="left"/>
              <w:rPr>
                <w:rFonts w:ascii="Times New Roman" w:hAnsi="Times New Roman" w:eastAsia="仿宋_GB2312" w:cs="Times New Roman"/>
                <w:kern w:val="0"/>
                <w:sz w:val="21"/>
                <w:szCs w:val="21"/>
                <w:lang w:val="en-US" w:eastAsia="zh-CN" w:bidi="ar-SA"/>
              </w:rPr>
            </w:pPr>
            <w:r>
              <w:rPr>
                <w:rFonts w:eastAsia="仿宋_GB2312"/>
                <w:kern w:val="0"/>
                <w:szCs w:val="21"/>
              </w:rPr>
              <w:t>（一个专项一行）</w:t>
            </w:r>
          </w:p>
        </w:tc>
        <w:tc>
          <w:tcPr>
            <w:tcW w:w="2038" w:type="dxa"/>
            <w:gridSpan w:val="2"/>
            <w:shd w:val="clear" w:color="auto" w:fill="auto"/>
            <w:noWrap w:val="0"/>
            <w:vAlign w:val="center"/>
          </w:tcPr>
          <w:p>
            <w:pPr>
              <w:widowControl/>
              <w:jc w:val="center"/>
              <w:rPr>
                <w:rFonts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sz w:val="20"/>
                <w:szCs w:val="20"/>
                <w:lang w:val="en-US" w:eastAsia="zh-CN"/>
              </w:rPr>
              <w:t>253.1</w:t>
            </w:r>
          </w:p>
        </w:tc>
        <w:tc>
          <w:tcPr>
            <w:tcW w:w="2240" w:type="dxa"/>
            <w:gridSpan w:val="2"/>
            <w:shd w:val="clear" w:color="auto" w:fill="auto"/>
            <w:noWrap w:val="0"/>
            <w:vAlign w:val="center"/>
          </w:tcPr>
          <w:p>
            <w:pPr>
              <w:widowControl/>
              <w:jc w:val="center"/>
              <w:rPr>
                <w:rFonts w:hint="default" w:ascii="Times New Roman" w:hAnsi="Times New Roman" w:eastAsia="仿宋_GB2312" w:cs="Times New Roman"/>
                <w:kern w:val="0"/>
                <w:sz w:val="21"/>
                <w:szCs w:val="21"/>
                <w:lang w:val="en-US" w:eastAsia="zh-CN" w:bidi="ar-SA"/>
              </w:rPr>
            </w:pPr>
            <w:r>
              <w:rPr>
                <w:rFonts w:hint="eastAsia" w:eastAsia="仿宋_GB2312" w:cs="Times New Roman"/>
                <w:kern w:val="0"/>
                <w:sz w:val="21"/>
                <w:szCs w:val="21"/>
                <w:lang w:val="en-US" w:eastAsia="zh-CN" w:bidi="ar-SA"/>
              </w:rPr>
              <w:t>650</w:t>
            </w:r>
          </w:p>
        </w:tc>
        <w:tc>
          <w:tcPr>
            <w:tcW w:w="1832" w:type="dxa"/>
            <w:gridSpan w:val="2"/>
            <w:noWrap w:val="0"/>
            <w:vAlign w:val="center"/>
          </w:tcPr>
          <w:p>
            <w:pPr>
              <w:widowControl/>
              <w:jc w:val="center"/>
              <w:rPr>
                <w:rFonts w:hint="default"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456.18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shd w:val="clear" w:color="auto" w:fill="auto"/>
            <w:noWrap w:val="0"/>
            <w:vAlign w:val="center"/>
          </w:tcPr>
          <w:p>
            <w:pPr>
              <w:widowControl/>
              <w:ind w:firstLine="420" w:firstLineChars="200"/>
              <w:jc w:val="left"/>
              <w:rPr>
                <w:rFonts w:ascii="Times New Roman" w:hAnsi="Times New Roman" w:eastAsia="仿宋_GB2312" w:cs="Times New Roman"/>
                <w:kern w:val="0"/>
                <w:sz w:val="21"/>
                <w:szCs w:val="21"/>
                <w:lang w:val="en-US" w:eastAsia="zh-CN" w:bidi="ar-SA"/>
              </w:rPr>
            </w:pPr>
            <w:r>
              <w:rPr>
                <w:rFonts w:hint="eastAsia" w:eastAsia="仿宋_GB2312"/>
                <w:kern w:val="0"/>
                <w:szCs w:val="21"/>
              </w:rPr>
              <w:t>农业资源保护修复与利用</w:t>
            </w:r>
          </w:p>
        </w:tc>
        <w:tc>
          <w:tcPr>
            <w:tcW w:w="2038" w:type="dxa"/>
            <w:gridSpan w:val="2"/>
            <w:shd w:val="clear" w:color="auto" w:fill="auto"/>
            <w:noWrap w:val="0"/>
            <w:vAlign w:val="center"/>
          </w:tcPr>
          <w:p>
            <w:pPr>
              <w:widowControl/>
              <w:jc w:val="center"/>
              <w:rPr>
                <w:rFonts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sz w:val="20"/>
                <w:szCs w:val="20"/>
                <w:lang w:val="en-US" w:eastAsia="zh-CN"/>
              </w:rPr>
              <w:t>9.18</w:t>
            </w:r>
            <w:r>
              <w:rPr>
                <w:rFonts w:eastAsia="仿宋_GB2312"/>
                <w:kern w:val="0"/>
                <w:szCs w:val="21"/>
              </w:rPr>
              <w:t>　</w:t>
            </w:r>
          </w:p>
        </w:tc>
        <w:tc>
          <w:tcPr>
            <w:tcW w:w="2240" w:type="dxa"/>
            <w:gridSpan w:val="2"/>
            <w:shd w:val="clear" w:color="auto" w:fill="auto"/>
            <w:noWrap w:val="0"/>
            <w:vAlign w:val="center"/>
          </w:tcPr>
          <w:p>
            <w:pPr>
              <w:widowControl/>
              <w:jc w:val="center"/>
              <w:rPr>
                <w:rFonts w:ascii="Times New Roman" w:hAnsi="Times New Roman" w:eastAsia="仿宋_GB2312" w:cs="Times New Roman"/>
                <w:kern w:val="0"/>
                <w:sz w:val="21"/>
                <w:szCs w:val="21"/>
                <w:lang w:val="en-US" w:eastAsia="zh-CN" w:bidi="ar-SA"/>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shd w:val="clear" w:color="auto" w:fill="auto"/>
            <w:noWrap w:val="0"/>
            <w:vAlign w:val="center"/>
          </w:tcPr>
          <w:p>
            <w:pPr>
              <w:widowControl/>
              <w:ind w:firstLine="420" w:firstLineChars="200"/>
              <w:jc w:val="left"/>
              <w:rPr>
                <w:rFonts w:hint="default" w:ascii="Times New Roman" w:hAnsi="Times New Roman" w:eastAsia="仿宋_GB2312" w:cs="Times New Roman"/>
                <w:kern w:val="0"/>
                <w:sz w:val="21"/>
                <w:szCs w:val="21"/>
                <w:lang w:val="en-US" w:eastAsia="zh-CN" w:bidi="ar-SA"/>
              </w:rPr>
            </w:pPr>
            <w:r>
              <w:rPr>
                <w:rFonts w:hint="eastAsia" w:eastAsia="仿宋_GB2312"/>
                <w:kern w:val="0"/>
                <w:szCs w:val="21"/>
                <w:lang w:val="en-US" w:eastAsia="zh-CN"/>
              </w:rPr>
              <w:t>现代</w:t>
            </w:r>
            <w:r>
              <w:rPr>
                <w:rFonts w:hint="eastAsia" w:eastAsia="仿宋_GB2312"/>
                <w:kern w:val="0"/>
                <w:szCs w:val="21"/>
              </w:rPr>
              <w:t>农业</w:t>
            </w:r>
            <w:r>
              <w:rPr>
                <w:rFonts w:hint="eastAsia" w:eastAsia="仿宋_GB2312"/>
                <w:kern w:val="0"/>
                <w:szCs w:val="21"/>
                <w:lang w:val="en-US" w:eastAsia="zh-CN"/>
              </w:rPr>
              <w:t>农村发展专项</w:t>
            </w:r>
          </w:p>
        </w:tc>
        <w:tc>
          <w:tcPr>
            <w:tcW w:w="2038" w:type="dxa"/>
            <w:gridSpan w:val="2"/>
            <w:shd w:val="clear" w:color="auto" w:fill="auto"/>
            <w:noWrap w:val="0"/>
            <w:vAlign w:val="center"/>
          </w:tcPr>
          <w:p>
            <w:pPr>
              <w:widowControl/>
              <w:jc w:val="center"/>
              <w:rPr>
                <w:rFonts w:ascii="Times New Roman" w:hAnsi="Times New Roman" w:eastAsia="仿宋_GB2312" w:cs="Times New Roman"/>
                <w:kern w:val="0"/>
                <w:sz w:val="21"/>
                <w:szCs w:val="21"/>
                <w:lang w:val="en-US" w:eastAsia="zh-CN" w:bidi="ar-SA"/>
              </w:rPr>
            </w:pPr>
            <w:r>
              <w:rPr>
                <w:rFonts w:hint="eastAsia" w:ascii="Times New Roman" w:hAnsi="Times New Roman" w:eastAsia="仿宋_GB2312" w:cs="Times New Roman"/>
                <w:sz w:val="20"/>
                <w:szCs w:val="20"/>
                <w:lang w:val="en-US" w:eastAsia="zh-CN"/>
              </w:rPr>
              <w:t>243.92</w:t>
            </w:r>
          </w:p>
        </w:tc>
        <w:tc>
          <w:tcPr>
            <w:tcW w:w="2240" w:type="dxa"/>
            <w:gridSpan w:val="2"/>
            <w:shd w:val="clear" w:color="auto" w:fill="auto"/>
            <w:noWrap w:val="0"/>
            <w:vAlign w:val="center"/>
          </w:tcPr>
          <w:p>
            <w:pPr>
              <w:widowControl/>
              <w:jc w:val="center"/>
              <w:rPr>
                <w:rFonts w:hint="default" w:ascii="Times New Roman" w:hAnsi="Times New Roman" w:eastAsia="仿宋_GB2312" w:cs="Times New Roman"/>
                <w:kern w:val="0"/>
                <w:sz w:val="21"/>
                <w:szCs w:val="21"/>
                <w:lang w:val="en-US" w:eastAsia="zh-CN" w:bidi="ar-SA"/>
              </w:rPr>
            </w:pPr>
            <w:r>
              <w:rPr>
                <w:rFonts w:hint="eastAsia" w:eastAsia="仿宋_GB2312"/>
                <w:kern w:val="0"/>
                <w:szCs w:val="21"/>
                <w:lang w:val="en-US" w:eastAsia="zh-CN"/>
              </w:rPr>
              <w:t>650</w:t>
            </w:r>
          </w:p>
        </w:tc>
        <w:tc>
          <w:tcPr>
            <w:tcW w:w="1832"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456.18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公用经费</w:t>
            </w:r>
          </w:p>
        </w:tc>
        <w:tc>
          <w:tcPr>
            <w:tcW w:w="2038" w:type="dxa"/>
            <w:gridSpan w:val="2"/>
            <w:noWrap w:val="0"/>
            <w:vAlign w:val="center"/>
          </w:tcPr>
          <w:p>
            <w:pPr>
              <w:widowControl/>
              <w:jc w:val="center"/>
              <w:rPr>
                <w:rFonts w:eastAsia="仿宋_GB2312"/>
                <w:kern w:val="0"/>
                <w:szCs w:val="21"/>
              </w:rPr>
            </w:pPr>
            <w:r>
              <w:rPr>
                <w:rFonts w:hint="eastAsia" w:ascii="Times New Roman" w:hAnsi="Times New Roman" w:eastAsia="仿宋_GB2312" w:cs="Times New Roman"/>
                <w:sz w:val="20"/>
                <w:szCs w:val="20"/>
                <w:lang w:val="en-US" w:eastAsia="zh-CN"/>
              </w:rPr>
              <w:t>137.11</w:t>
            </w: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147.03</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126.31</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其中：办公费</w:t>
            </w:r>
          </w:p>
        </w:tc>
        <w:tc>
          <w:tcPr>
            <w:tcW w:w="2038" w:type="dxa"/>
            <w:gridSpan w:val="2"/>
            <w:noWrap w:val="0"/>
            <w:vAlign w:val="center"/>
          </w:tcPr>
          <w:p>
            <w:pPr>
              <w:widowControl/>
              <w:jc w:val="center"/>
              <w:rPr>
                <w:rFonts w:ascii="Times New Roman" w:hAnsi="Times New Roman" w:eastAsia="仿宋_GB2312" w:cs="Times New Roman"/>
                <w:color w:val="auto"/>
                <w:kern w:val="0"/>
                <w:szCs w:val="21"/>
              </w:rPr>
            </w:pPr>
            <w:r>
              <w:rPr>
                <w:rFonts w:hint="eastAsia" w:ascii="Times New Roman" w:hAnsi="Times New Roman" w:eastAsia="仿宋_GB2312" w:cs="Times New Roman"/>
                <w:color w:val="auto"/>
                <w:kern w:val="0"/>
                <w:szCs w:val="21"/>
                <w:lang w:val="en-US" w:eastAsia="zh-CN"/>
              </w:rPr>
              <w:t>6.7</w:t>
            </w:r>
            <w:r>
              <w:rPr>
                <w:rFonts w:ascii="Times New Roman" w:hAnsi="Times New Roman" w:eastAsia="仿宋_GB2312" w:cs="Times New Roman"/>
                <w:color w:val="auto"/>
                <w:kern w:val="0"/>
                <w:szCs w:val="21"/>
              </w:rPr>
              <w:t>　</w:t>
            </w:r>
          </w:p>
        </w:tc>
        <w:tc>
          <w:tcPr>
            <w:tcW w:w="2240" w:type="dxa"/>
            <w:gridSpan w:val="2"/>
            <w:noWrap w:val="0"/>
            <w:vAlign w:val="center"/>
          </w:tcPr>
          <w:p>
            <w:pPr>
              <w:widowControl/>
              <w:jc w:val="center"/>
              <w:rPr>
                <w:rFonts w:hint="eastAsia" w:ascii="Times New Roman" w:hAnsi="Times New Roman" w:eastAsia="仿宋_GB2312" w:cs="Times New Roman"/>
                <w:color w:val="auto"/>
                <w:kern w:val="0"/>
                <w:szCs w:val="21"/>
                <w:lang w:val="en-US" w:eastAsia="zh-CN"/>
              </w:rPr>
            </w:pPr>
            <w:r>
              <w:rPr>
                <w:rFonts w:hint="eastAsia" w:ascii="Times New Roman" w:hAnsi="Times New Roman" w:eastAsia="仿宋_GB2312" w:cs="Times New Roman"/>
                <w:color w:val="auto"/>
                <w:kern w:val="0"/>
                <w:szCs w:val="21"/>
                <w:lang w:val="en-US" w:eastAsia="zh-CN"/>
              </w:rPr>
              <w:t>5</w:t>
            </w:r>
          </w:p>
        </w:tc>
        <w:tc>
          <w:tcPr>
            <w:tcW w:w="1832" w:type="dxa"/>
            <w:gridSpan w:val="2"/>
            <w:noWrap w:val="0"/>
            <w:vAlign w:val="center"/>
          </w:tcPr>
          <w:p>
            <w:pPr>
              <w:widowControl/>
              <w:jc w:val="center"/>
              <w:rPr>
                <w:rFonts w:eastAsia="仿宋_GB2312"/>
                <w:color w:val="auto"/>
                <w:kern w:val="0"/>
                <w:szCs w:val="21"/>
              </w:rPr>
            </w:pPr>
            <w:r>
              <w:rPr>
                <w:rFonts w:hint="eastAsia" w:eastAsia="仿宋_GB2312"/>
                <w:color w:val="auto"/>
                <w:kern w:val="0"/>
                <w:szCs w:val="21"/>
                <w:lang w:val="en-US" w:eastAsia="zh-CN"/>
              </w:rPr>
              <w:t>5</w:t>
            </w:r>
            <w:r>
              <w:rPr>
                <w:rFonts w:eastAsia="仿宋_GB2312"/>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水费、电费、差旅费</w:t>
            </w:r>
          </w:p>
        </w:tc>
        <w:tc>
          <w:tcPr>
            <w:tcW w:w="2038" w:type="dxa"/>
            <w:gridSpan w:val="2"/>
            <w:noWrap w:val="0"/>
            <w:vAlign w:val="center"/>
          </w:tcPr>
          <w:p>
            <w:pPr>
              <w:widowControl/>
              <w:jc w:val="center"/>
              <w:rPr>
                <w:rFonts w:ascii="Times New Roman" w:hAnsi="Times New Roman" w:eastAsia="仿宋_GB2312" w:cs="Times New Roman"/>
                <w:color w:val="auto"/>
                <w:kern w:val="0"/>
                <w:szCs w:val="21"/>
              </w:rPr>
            </w:pPr>
            <w:r>
              <w:rPr>
                <w:rFonts w:hint="eastAsia" w:ascii="Times New Roman" w:hAnsi="Times New Roman" w:eastAsia="仿宋_GB2312" w:cs="Times New Roman"/>
                <w:color w:val="auto"/>
                <w:kern w:val="0"/>
                <w:szCs w:val="21"/>
                <w:lang w:val="en-US" w:eastAsia="zh-CN"/>
              </w:rPr>
              <w:t>10.24</w:t>
            </w:r>
            <w:r>
              <w:rPr>
                <w:rFonts w:ascii="Times New Roman" w:hAnsi="Times New Roman" w:eastAsia="仿宋_GB2312" w:cs="Times New Roman"/>
                <w:color w:val="auto"/>
                <w:kern w:val="0"/>
                <w:szCs w:val="21"/>
              </w:rPr>
              <w:t>　</w:t>
            </w:r>
          </w:p>
        </w:tc>
        <w:tc>
          <w:tcPr>
            <w:tcW w:w="2240" w:type="dxa"/>
            <w:gridSpan w:val="2"/>
            <w:noWrap w:val="0"/>
            <w:vAlign w:val="center"/>
          </w:tcPr>
          <w:p>
            <w:pPr>
              <w:widowControl/>
              <w:jc w:val="center"/>
              <w:rPr>
                <w:rFonts w:hint="eastAsia" w:ascii="Times New Roman" w:hAnsi="Times New Roman" w:eastAsia="仿宋_GB2312" w:cs="Times New Roman"/>
                <w:color w:val="auto"/>
                <w:kern w:val="0"/>
                <w:szCs w:val="21"/>
                <w:lang w:val="en-US" w:eastAsia="zh-CN"/>
              </w:rPr>
            </w:pPr>
            <w:r>
              <w:rPr>
                <w:rFonts w:hint="eastAsia" w:ascii="Times New Roman" w:hAnsi="Times New Roman" w:eastAsia="仿宋_GB2312" w:cs="Times New Roman"/>
                <w:color w:val="auto"/>
                <w:kern w:val="0"/>
                <w:szCs w:val="21"/>
                <w:lang w:val="en-US" w:eastAsia="zh-CN"/>
              </w:rPr>
              <w:t>13.3　</w:t>
            </w:r>
          </w:p>
        </w:tc>
        <w:tc>
          <w:tcPr>
            <w:tcW w:w="1832" w:type="dxa"/>
            <w:gridSpan w:val="2"/>
            <w:noWrap w:val="0"/>
            <w:vAlign w:val="center"/>
          </w:tcPr>
          <w:p>
            <w:pPr>
              <w:widowControl/>
              <w:jc w:val="center"/>
              <w:rPr>
                <w:rFonts w:eastAsia="仿宋_GB2312"/>
                <w:color w:val="auto"/>
                <w:kern w:val="0"/>
                <w:szCs w:val="21"/>
              </w:rPr>
            </w:pPr>
            <w:r>
              <w:rPr>
                <w:rFonts w:hint="eastAsia" w:eastAsia="仿宋_GB2312"/>
                <w:color w:val="auto"/>
                <w:kern w:val="0"/>
                <w:szCs w:val="21"/>
                <w:lang w:val="en-US" w:eastAsia="zh-CN"/>
              </w:rPr>
              <w:t>13.3</w:t>
            </w:r>
            <w:r>
              <w:rPr>
                <w:rFonts w:eastAsia="仿宋_GB2312"/>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会议费、培训费</w:t>
            </w:r>
          </w:p>
        </w:tc>
        <w:tc>
          <w:tcPr>
            <w:tcW w:w="2038" w:type="dxa"/>
            <w:gridSpan w:val="2"/>
            <w:noWrap w:val="0"/>
            <w:vAlign w:val="center"/>
          </w:tcPr>
          <w:p>
            <w:pPr>
              <w:widowControl/>
              <w:jc w:val="center"/>
              <w:rPr>
                <w:rFonts w:ascii="Times New Roman" w:hAnsi="Times New Roman" w:eastAsia="仿宋_GB2312" w:cs="Times New Roman"/>
                <w:color w:val="auto"/>
                <w:kern w:val="0"/>
                <w:szCs w:val="21"/>
              </w:rPr>
            </w:pPr>
            <w:r>
              <w:rPr>
                <w:rFonts w:hint="eastAsia" w:ascii="Times New Roman" w:hAnsi="Times New Roman" w:eastAsia="仿宋_GB2312" w:cs="Times New Roman"/>
                <w:color w:val="auto"/>
                <w:kern w:val="0"/>
                <w:szCs w:val="21"/>
                <w:lang w:val="en-US" w:eastAsia="zh-CN"/>
              </w:rPr>
              <w:t>0.49</w:t>
            </w:r>
            <w:r>
              <w:rPr>
                <w:rFonts w:hint="default" w:ascii="Times New Roman" w:hAnsi="Times New Roman" w:eastAsia="仿宋_GB2312" w:cs="Times New Roman"/>
                <w:color w:val="auto"/>
                <w:kern w:val="0"/>
                <w:szCs w:val="21"/>
              </w:rPr>
              <w:t>　</w:t>
            </w:r>
            <w:r>
              <w:rPr>
                <w:rFonts w:ascii="Times New Roman" w:hAnsi="Times New Roman" w:eastAsia="仿宋_GB2312" w:cs="Times New Roman"/>
                <w:color w:val="auto"/>
                <w:kern w:val="0"/>
                <w:szCs w:val="21"/>
              </w:rPr>
              <w:t>　</w:t>
            </w:r>
          </w:p>
        </w:tc>
        <w:tc>
          <w:tcPr>
            <w:tcW w:w="2240" w:type="dxa"/>
            <w:gridSpan w:val="2"/>
            <w:noWrap w:val="0"/>
            <w:vAlign w:val="center"/>
          </w:tcPr>
          <w:p>
            <w:pPr>
              <w:widowControl/>
              <w:jc w:val="center"/>
              <w:rPr>
                <w:rFonts w:hint="eastAsia" w:ascii="Times New Roman" w:hAnsi="Times New Roman" w:eastAsia="仿宋_GB2312" w:cs="Times New Roman"/>
                <w:color w:val="auto"/>
                <w:kern w:val="0"/>
                <w:szCs w:val="21"/>
                <w:lang w:val="en-US" w:eastAsia="zh-CN"/>
              </w:rPr>
            </w:pPr>
            <w:r>
              <w:rPr>
                <w:rFonts w:hint="eastAsia" w:ascii="Times New Roman" w:hAnsi="Times New Roman" w:eastAsia="仿宋_GB2312" w:cs="Times New Roman"/>
                <w:color w:val="auto"/>
                <w:kern w:val="0"/>
                <w:szCs w:val="21"/>
                <w:lang w:val="en-US" w:eastAsia="zh-CN"/>
              </w:rPr>
              <w:t>　4</w:t>
            </w:r>
          </w:p>
        </w:tc>
        <w:tc>
          <w:tcPr>
            <w:tcW w:w="1832" w:type="dxa"/>
            <w:gridSpan w:val="2"/>
            <w:noWrap w:val="0"/>
            <w:vAlign w:val="center"/>
          </w:tcPr>
          <w:p>
            <w:pPr>
              <w:widowControl/>
              <w:jc w:val="center"/>
              <w:rPr>
                <w:rFonts w:eastAsia="仿宋_GB2312"/>
                <w:color w:val="auto"/>
                <w:kern w:val="0"/>
                <w:szCs w:val="21"/>
              </w:rPr>
            </w:pPr>
            <w:r>
              <w:rPr>
                <w:rFonts w:hint="eastAsia" w:eastAsia="仿宋_GB2312"/>
                <w:color w:val="auto"/>
                <w:kern w:val="0"/>
                <w:szCs w:val="21"/>
                <w:lang w:val="en-US" w:eastAsia="zh-CN"/>
              </w:rPr>
              <w:t>0</w:t>
            </w:r>
            <w:r>
              <w:rPr>
                <w:rFonts w:eastAsia="仿宋_GB2312"/>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政府采购金额</w:t>
            </w:r>
          </w:p>
        </w:tc>
        <w:tc>
          <w:tcPr>
            <w:tcW w:w="2038" w:type="dxa"/>
            <w:gridSpan w:val="2"/>
            <w:noWrap w:val="0"/>
            <w:vAlign w:val="center"/>
          </w:tcPr>
          <w:p>
            <w:pPr>
              <w:widowControl/>
              <w:jc w:val="center"/>
              <w:rPr>
                <w:rFonts w:eastAsia="仿宋_GB2312"/>
                <w:kern w:val="0"/>
                <w:szCs w:val="21"/>
              </w:rPr>
            </w:pPr>
            <w:r>
              <w:rPr>
                <w:rFonts w:eastAsia="仿宋_GB2312"/>
                <w:kern w:val="0"/>
                <w:szCs w:val="21"/>
              </w:rPr>
              <w:t>——</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67.17</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部门基本支出预算调整 </w:t>
            </w:r>
          </w:p>
        </w:tc>
        <w:tc>
          <w:tcPr>
            <w:tcW w:w="2038" w:type="dxa"/>
            <w:gridSpan w:val="2"/>
            <w:noWrap w:val="0"/>
            <w:vAlign w:val="center"/>
          </w:tcPr>
          <w:p>
            <w:pPr>
              <w:widowControl/>
              <w:jc w:val="center"/>
              <w:rPr>
                <w:rFonts w:eastAsia="仿宋_GB2312"/>
                <w:kern w:val="0"/>
                <w:szCs w:val="21"/>
              </w:rPr>
            </w:pPr>
            <w:r>
              <w:rPr>
                <w:rFonts w:eastAsia="仿宋_GB2312"/>
                <w:kern w:val="0"/>
                <w:szCs w:val="21"/>
              </w:rPr>
              <w:t>——</w:t>
            </w:r>
          </w:p>
        </w:tc>
        <w:tc>
          <w:tcPr>
            <w:tcW w:w="2240" w:type="dxa"/>
            <w:gridSpan w:val="2"/>
            <w:noWrap w:val="0"/>
            <w:vAlign w:val="center"/>
          </w:tcPr>
          <w:p>
            <w:pPr>
              <w:widowControl/>
              <w:jc w:val="center"/>
              <w:rPr>
                <w:rFonts w:eastAsia="仿宋_GB2312"/>
                <w:kern w:val="0"/>
                <w:szCs w:val="21"/>
              </w:rPr>
            </w:pP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noWrap w:val="0"/>
            <w:vAlign w:val="center"/>
          </w:tcPr>
          <w:p>
            <w:pPr>
              <w:widowControl/>
              <w:jc w:val="center"/>
              <w:rPr>
                <w:rFonts w:eastAsia="仿宋_GB2312"/>
                <w:kern w:val="0"/>
                <w:szCs w:val="21"/>
              </w:rPr>
            </w:pPr>
            <w:r>
              <w:rPr>
                <w:rFonts w:eastAsia="仿宋_GB2312"/>
                <w:kern w:val="0"/>
                <w:szCs w:val="21"/>
              </w:rPr>
              <w:t>楼堂馆所控制情况</w:t>
            </w:r>
            <w:r>
              <w:rPr>
                <w:rFonts w:eastAsia="仿宋_GB2312"/>
                <w:kern w:val="0"/>
                <w:szCs w:val="21"/>
              </w:rPr>
              <w:br w:type="textWrapping"/>
            </w:r>
            <w:r>
              <w:rPr>
                <w:rFonts w:eastAsia="仿宋_GB2312"/>
                <w:kern w:val="0"/>
                <w:szCs w:val="21"/>
              </w:rPr>
              <w:t>（</w:t>
            </w:r>
            <w:r>
              <w:rPr>
                <w:rFonts w:hint="eastAsia" w:eastAsia="仿宋_GB2312"/>
                <w:kern w:val="0"/>
                <w:szCs w:val="21"/>
                <w:lang w:val="en-US" w:eastAsia="zh-CN"/>
              </w:rPr>
              <w:t>2024</w:t>
            </w:r>
            <w:r>
              <w:rPr>
                <w:rFonts w:eastAsia="仿宋_GB2312"/>
                <w:kern w:val="0"/>
                <w:szCs w:val="21"/>
              </w:rPr>
              <w:t>年完工项目）</w:t>
            </w:r>
          </w:p>
        </w:tc>
        <w:tc>
          <w:tcPr>
            <w:tcW w:w="1189" w:type="dxa"/>
            <w:noWrap w:val="0"/>
            <w:vAlign w:val="center"/>
          </w:tcPr>
          <w:p>
            <w:pPr>
              <w:widowControl/>
              <w:spacing w:line="240" w:lineRule="exact"/>
              <w:jc w:val="center"/>
              <w:rPr>
                <w:rFonts w:eastAsia="仿宋_GB2312"/>
                <w:bCs/>
                <w:kern w:val="0"/>
                <w:szCs w:val="21"/>
              </w:rPr>
            </w:pPr>
            <w:r>
              <w:rPr>
                <w:rFonts w:eastAsia="仿宋_GB2312"/>
                <w:bCs/>
                <w:kern w:val="0"/>
                <w:szCs w:val="21"/>
              </w:rPr>
              <w:t>批复规模</w:t>
            </w:r>
            <w:r>
              <w:rPr>
                <w:rFonts w:eastAsia="仿宋_GB2312"/>
                <w:bCs/>
                <w:kern w:val="0"/>
                <w:szCs w:val="21"/>
              </w:rPr>
              <w:br w:type="textWrapping"/>
            </w:r>
            <w:r>
              <w:rPr>
                <w:rFonts w:eastAsia="仿宋_GB2312"/>
                <w:bCs/>
                <w:kern w:val="0"/>
                <w:szCs w:val="21"/>
              </w:rPr>
              <w:t>（</w:t>
            </w:r>
            <w:r>
              <w:rPr>
                <w:rFonts w:eastAsia="Batang"/>
                <w:bCs/>
                <w:kern w:val="0"/>
                <w:szCs w:val="21"/>
              </w:rPr>
              <w:t>㎡</w:t>
            </w:r>
            <w:r>
              <w:rPr>
                <w:rFonts w:eastAsia="仿宋_GB2312"/>
                <w:bCs/>
                <w:kern w:val="0"/>
                <w:szCs w:val="21"/>
              </w:rPr>
              <w:t>）</w:t>
            </w:r>
          </w:p>
        </w:tc>
        <w:tc>
          <w:tcPr>
            <w:tcW w:w="849" w:type="dxa"/>
            <w:noWrap w:val="0"/>
            <w:vAlign w:val="center"/>
          </w:tcPr>
          <w:p>
            <w:pPr>
              <w:widowControl/>
              <w:spacing w:line="240" w:lineRule="exact"/>
              <w:jc w:val="center"/>
              <w:rPr>
                <w:rFonts w:eastAsia="仿宋_GB2312"/>
                <w:bCs/>
                <w:kern w:val="0"/>
                <w:szCs w:val="21"/>
              </w:rPr>
            </w:pPr>
            <w:r>
              <w:rPr>
                <w:rFonts w:eastAsia="仿宋_GB2312"/>
                <w:bCs/>
                <w:kern w:val="0"/>
                <w:szCs w:val="21"/>
              </w:rPr>
              <w:t>实际规模（</w:t>
            </w:r>
            <w:r>
              <w:rPr>
                <w:rFonts w:eastAsia="Batang"/>
                <w:bCs/>
                <w:kern w:val="0"/>
                <w:szCs w:val="21"/>
              </w:rPr>
              <w:t>㎡</w:t>
            </w:r>
            <w:r>
              <w:rPr>
                <w:rFonts w:eastAsia="仿宋_GB2312"/>
                <w:bCs/>
                <w:kern w:val="0"/>
                <w:szCs w:val="21"/>
              </w:rPr>
              <w:t>）</w:t>
            </w:r>
          </w:p>
        </w:tc>
        <w:tc>
          <w:tcPr>
            <w:tcW w:w="1129" w:type="dxa"/>
            <w:noWrap w:val="0"/>
            <w:vAlign w:val="center"/>
          </w:tcPr>
          <w:p>
            <w:pPr>
              <w:widowControl/>
              <w:spacing w:line="240" w:lineRule="exact"/>
              <w:jc w:val="center"/>
              <w:rPr>
                <w:rFonts w:eastAsia="仿宋_GB2312"/>
                <w:bCs/>
                <w:kern w:val="0"/>
                <w:szCs w:val="21"/>
              </w:rPr>
            </w:pPr>
            <w:r>
              <w:rPr>
                <w:rFonts w:eastAsia="仿宋_GB2312"/>
                <w:bCs/>
                <w:kern w:val="0"/>
                <w:szCs w:val="21"/>
              </w:rPr>
              <w:t>规模控制率</w:t>
            </w:r>
          </w:p>
        </w:tc>
        <w:tc>
          <w:tcPr>
            <w:tcW w:w="1111" w:type="dxa"/>
            <w:noWrap w:val="0"/>
            <w:vAlign w:val="center"/>
          </w:tcPr>
          <w:p>
            <w:pPr>
              <w:widowControl/>
              <w:spacing w:line="240" w:lineRule="exact"/>
              <w:jc w:val="center"/>
              <w:rPr>
                <w:rFonts w:eastAsia="仿宋_GB2312"/>
                <w:bCs/>
                <w:kern w:val="0"/>
                <w:szCs w:val="21"/>
              </w:rPr>
            </w:pPr>
            <w:r>
              <w:rPr>
                <w:rFonts w:eastAsia="仿宋_GB2312"/>
                <w:bCs/>
                <w:kern w:val="0"/>
                <w:szCs w:val="21"/>
              </w:rPr>
              <w:t>预算投资（万元）</w:t>
            </w:r>
          </w:p>
        </w:tc>
        <w:tc>
          <w:tcPr>
            <w:tcW w:w="969" w:type="dxa"/>
            <w:noWrap w:val="0"/>
            <w:vAlign w:val="center"/>
          </w:tcPr>
          <w:p>
            <w:pPr>
              <w:widowControl/>
              <w:spacing w:line="240" w:lineRule="exact"/>
              <w:jc w:val="center"/>
              <w:rPr>
                <w:rFonts w:eastAsia="仿宋_GB2312"/>
                <w:bCs/>
                <w:kern w:val="0"/>
                <w:szCs w:val="21"/>
              </w:rPr>
            </w:pPr>
            <w:r>
              <w:rPr>
                <w:rFonts w:eastAsia="仿宋_GB2312"/>
                <w:bCs/>
                <w:kern w:val="0"/>
                <w:szCs w:val="21"/>
              </w:rPr>
              <w:t>实际投资（万元）</w:t>
            </w:r>
          </w:p>
        </w:tc>
        <w:tc>
          <w:tcPr>
            <w:tcW w:w="863" w:type="dxa"/>
            <w:noWrap w:val="0"/>
            <w:vAlign w:val="center"/>
          </w:tcPr>
          <w:p>
            <w:pPr>
              <w:widowControl/>
              <w:spacing w:line="240" w:lineRule="exact"/>
              <w:jc w:val="center"/>
              <w:rPr>
                <w:rFonts w:eastAsia="仿宋_GB2312"/>
                <w:bCs/>
                <w:kern w:val="0"/>
                <w:szCs w:val="21"/>
              </w:rPr>
            </w:pPr>
            <w:r>
              <w:rPr>
                <w:rFonts w:eastAsia="仿宋_GB2312"/>
                <w:bCs/>
                <w:kern w:val="0"/>
                <w:szCs w:val="21"/>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54" w:type="dxa"/>
            <w:vMerge w:val="continue"/>
            <w:noWrap w:val="0"/>
            <w:vAlign w:val="center"/>
          </w:tcPr>
          <w:p>
            <w:pPr>
              <w:widowControl/>
              <w:jc w:val="left"/>
              <w:rPr>
                <w:rFonts w:eastAsia="仿宋_GB2312"/>
                <w:kern w:val="0"/>
                <w:szCs w:val="21"/>
              </w:rPr>
            </w:pPr>
          </w:p>
        </w:tc>
        <w:tc>
          <w:tcPr>
            <w:tcW w:w="1189" w:type="dxa"/>
            <w:noWrap w:val="0"/>
            <w:vAlign w:val="center"/>
          </w:tcPr>
          <w:p>
            <w:pPr>
              <w:widowControl/>
              <w:jc w:val="center"/>
              <w:rPr>
                <w:rFonts w:eastAsia="仿宋_GB2312"/>
                <w:kern w:val="0"/>
                <w:szCs w:val="21"/>
              </w:rPr>
            </w:pPr>
            <w:r>
              <w:rPr>
                <w:rFonts w:hint="eastAsia" w:eastAsia="仿宋_GB2312"/>
                <w:kern w:val="0"/>
                <w:szCs w:val="21"/>
                <w:lang w:val="en-US" w:eastAsia="zh-CN"/>
              </w:rPr>
              <w:t>0</w:t>
            </w:r>
            <w:r>
              <w:rPr>
                <w:rFonts w:eastAsia="仿宋_GB2312"/>
                <w:kern w:val="0"/>
                <w:szCs w:val="21"/>
              </w:rPr>
              <w:t>　</w:t>
            </w:r>
          </w:p>
        </w:tc>
        <w:tc>
          <w:tcPr>
            <w:tcW w:w="849" w:type="dxa"/>
            <w:noWrap w:val="0"/>
            <w:vAlign w:val="center"/>
          </w:tcPr>
          <w:p>
            <w:pPr>
              <w:widowControl/>
              <w:jc w:val="left"/>
              <w:rPr>
                <w:rFonts w:hint="eastAsia"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0</w:t>
            </w:r>
          </w:p>
        </w:tc>
        <w:tc>
          <w:tcPr>
            <w:tcW w:w="1129" w:type="dxa"/>
            <w:noWrap w:val="0"/>
            <w:vAlign w:val="center"/>
          </w:tcPr>
          <w:p>
            <w:pPr>
              <w:widowControl/>
              <w:jc w:val="left"/>
              <w:rPr>
                <w:rFonts w:hint="eastAsia"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0</w:t>
            </w:r>
          </w:p>
        </w:tc>
        <w:tc>
          <w:tcPr>
            <w:tcW w:w="1111" w:type="dxa"/>
            <w:noWrap w:val="0"/>
            <w:vAlign w:val="center"/>
          </w:tcPr>
          <w:p>
            <w:pPr>
              <w:widowControl/>
              <w:jc w:val="left"/>
              <w:rPr>
                <w:rFonts w:hint="eastAsia"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0</w:t>
            </w:r>
          </w:p>
        </w:tc>
        <w:tc>
          <w:tcPr>
            <w:tcW w:w="969" w:type="dxa"/>
            <w:noWrap w:val="0"/>
            <w:vAlign w:val="center"/>
          </w:tcPr>
          <w:p>
            <w:pPr>
              <w:widowControl/>
              <w:jc w:val="left"/>
              <w:rPr>
                <w:rFonts w:hint="eastAsia"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0</w:t>
            </w:r>
          </w:p>
        </w:tc>
        <w:tc>
          <w:tcPr>
            <w:tcW w:w="863" w:type="dxa"/>
            <w:noWrap w:val="0"/>
            <w:vAlign w:val="center"/>
          </w:tcPr>
          <w:p>
            <w:pPr>
              <w:widowControl/>
              <w:jc w:val="left"/>
              <w:rPr>
                <w:rFonts w:hint="eastAsia"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厉行节约保障措施</w:t>
            </w:r>
          </w:p>
        </w:tc>
        <w:tc>
          <w:tcPr>
            <w:tcW w:w="6110" w:type="dxa"/>
            <w:gridSpan w:val="6"/>
            <w:noWrap w:val="0"/>
            <w:vAlign w:val="center"/>
          </w:tcPr>
          <w:p>
            <w:pPr>
              <w:widowControl/>
              <w:jc w:val="center"/>
              <w:rPr>
                <w:rFonts w:eastAsia="仿宋_GB2312"/>
                <w:kern w:val="0"/>
                <w:szCs w:val="21"/>
              </w:rPr>
            </w:pPr>
            <w:r>
              <w:rPr>
                <w:rFonts w:hint="eastAsia" w:ascii="Times New Roman" w:hAnsi="Times New Roman" w:eastAsia="仿宋_GB2312" w:cs="Times New Roman"/>
                <w:sz w:val="20"/>
                <w:szCs w:val="20"/>
                <w:lang w:val="en-US" w:eastAsia="zh-CN"/>
              </w:rPr>
              <w:t>监督检查与制度建设</w:t>
            </w:r>
            <w:r>
              <w:rPr>
                <w:rFonts w:hint="default" w:ascii="Times New Roman" w:hAnsi="Times New Roman" w:eastAsia="仿宋_GB2312" w:cs="Times New Roman"/>
                <w:sz w:val="20"/>
                <w:szCs w:val="20"/>
              </w:rPr>
              <w:t>　</w:t>
            </w:r>
            <w:r>
              <w:rPr>
                <w:rFonts w:eastAsia="仿宋_GB2312"/>
                <w:kern w:val="0"/>
                <w:szCs w:val="21"/>
              </w:rPr>
              <w:t>　</w:t>
            </w:r>
          </w:p>
        </w:tc>
      </w:tr>
    </w:tbl>
    <w:p>
      <w:pPr>
        <w:spacing w:line="360" w:lineRule="exact"/>
        <w:rPr>
          <w:rFonts w:hint="eastAsia" w:eastAsia="黑体"/>
          <w:sz w:val="32"/>
          <w:szCs w:val="32"/>
          <w:lang w:eastAsia="zh-CN"/>
        </w:rPr>
      </w:pPr>
      <w:r>
        <w:rPr>
          <w:rFonts w:eastAsia="仿宋_GB2312"/>
          <w:kern w:val="0"/>
          <w:sz w:val="22"/>
        </w:rPr>
        <w:t>说明：“项目支出”需要填报基本支出以外的所有项目支出情况，“公用经费”填报基本支出中的一般商品和服务支出。</w:t>
      </w:r>
      <w:r>
        <w:rPr>
          <w:rFonts w:eastAsia="仿宋_GB2312"/>
          <w:kern w:val="0"/>
          <w:sz w:val="22"/>
        </w:rPr>
        <w:br w:type="page"/>
      </w:r>
    </w:p>
    <w:p>
      <w:pPr>
        <w:widowControl/>
        <w:jc w:val="center"/>
        <w:rPr>
          <w:rFonts w:eastAsia="方正小标宋_GBK"/>
          <w:color w:val="000000"/>
          <w:kern w:val="0"/>
          <w:sz w:val="36"/>
          <w:szCs w:val="36"/>
        </w:rPr>
      </w:pPr>
      <w:r>
        <w:rPr>
          <w:rFonts w:eastAsia="方正小标宋_GBK"/>
          <w:color w:val="000000"/>
          <w:kern w:val="0"/>
          <w:sz w:val="36"/>
          <w:szCs w:val="36"/>
        </w:rPr>
        <w:t>部门整体支出绩效自评表</w:t>
      </w:r>
    </w:p>
    <w:p>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lang w:val="en-US" w:eastAsia="zh-CN"/>
        </w:rPr>
        <w:t>2024</w:t>
      </w:r>
      <w:r>
        <w:rPr>
          <w:rFonts w:eastAsia="仿宋_GB2312"/>
          <w:color w:val="000000"/>
          <w:kern w:val="0"/>
          <w:szCs w:val="21"/>
        </w:rPr>
        <w:t>年度）</w:t>
      </w:r>
    </w:p>
    <w:tbl>
      <w:tblPr>
        <w:tblStyle w:val="12"/>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0"/>
        <w:gridCol w:w="1212"/>
        <w:gridCol w:w="1350"/>
        <w:gridCol w:w="1164"/>
        <w:gridCol w:w="141"/>
        <w:gridCol w:w="1155"/>
        <w:gridCol w:w="1205"/>
        <w:gridCol w:w="805"/>
        <w:gridCol w:w="870"/>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noWrap w:val="0"/>
            <w:vAlign w:val="center"/>
          </w:tcPr>
          <w:p>
            <w:pPr>
              <w:widowControl/>
              <w:jc w:val="left"/>
              <w:rPr>
                <w:rFonts w:eastAsia="仿宋_GB2312"/>
                <w:color w:val="000000"/>
                <w:kern w:val="0"/>
                <w:szCs w:val="21"/>
              </w:rPr>
            </w:pPr>
            <w:r>
              <w:rPr>
                <w:rFonts w:eastAsia="仿宋_GB2312"/>
                <w:color w:val="000000"/>
                <w:kern w:val="0"/>
                <w:szCs w:val="21"/>
              </w:rPr>
              <w:t>省级预算部门名称</w:t>
            </w:r>
          </w:p>
        </w:tc>
        <w:tc>
          <w:tcPr>
            <w:tcW w:w="9253" w:type="dxa"/>
            <w:gridSpan w:val="9"/>
            <w:noWrap w:val="0"/>
            <w:vAlign w:val="center"/>
          </w:tcPr>
          <w:p>
            <w:pPr>
              <w:widowControl/>
              <w:jc w:val="center"/>
              <w:rPr>
                <w:rFonts w:eastAsia="仿宋_GB2312"/>
                <w:color w:val="000000"/>
                <w:kern w:val="0"/>
                <w:szCs w:val="21"/>
              </w:rPr>
            </w:pPr>
            <w:r>
              <w:rPr>
                <w:rFonts w:hint="eastAsia" w:ascii="Times New Roman" w:hAnsi="Times New Roman" w:eastAsia="仿宋_GB2312" w:cs="Times New Roman"/>
                <w:color w:val="000000"/>
                <w:sz w:val="20"/>
                <w:szCs w:val="20"/>
                <w:lang w:val="en-US" w:eastAsia="zh-CN"/>
              </w:rPr>
              <w:t>湖南省农民科技教育培训中心</w:t>
            </w: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年度预</w:t>
            </w:r>
          </w:p>
          <w:p>
            <w:pPr>
              <w:widowControl/>
              <w:jc w:val="center"/>
              <w:rPr>
                <w:rFonts w:eastAsia="仿宋_GB2312"/>
                <w:color w:val="000000"/>
                <w:kern w:val="0"/>
                <w:szCs w:val="21"/>
              </w:rPr>
            </w:pPr>
            <w:r>
              <w:rPr>
                <w:rFonts w:eastAsia="仿宋_GB2312"/>
                <w:color w:val="000000"/>
                <w:kern w:val="0"/>
                <w:szCs w:val="21"/>
              </w:rPr>
              <w:t>算申请</w:t>
            </w:r>
            <w:r>
              <w:rPr>
                <w:rFonts w:eastAsia="仿宋_GB2312"/>
                <w:color w:val="000000"/>
                <w:kern w:val="0"/>
                <w:szCs w:val="21"/>
              </w:rPr>
              <w:br w:type="textWrapping"/>
            </w:r>
            <w:r>
              <w:rPr>
                <w:rFonts w:eastAsia="仿宋_GB2312"/>
                <w:color w:val="000000"/>
                <w:kern w:val="0"/>
                <w:szCs w:val="21"/>
              </w:rPr>
              <w:t>（万元）</w:t>
            </w:r>
          </w:p>
        </w:tc>
        <w:tc>
          <w:tcPr>
            <w:tcW w:w="2562" w:type="dxa"/>
            <w:gridSpan w:val="2"/>
            <w:noWrap w:val="0"/>
            <w:vAlign w:val="center"/>
          </w:tcPr>
          <w:p>
            <w:pPr>
              <w:jc w:val="center"/>
              <w:rPr>
                <w:rFonts w:eastAsia="仿宋_GB2312"/>
                <w:szCs w:val="21"/>
              </w:rPr>
            </w:pPr>
          </w:p>
        </w:tc>
        <w:tc>
          <w:tcPr>
            <w:tcW w:w="1164" w:type="dxa"/>
            <w:noWrap w:val="0"/>
            <w:vAlign w:val="center"/>
          </w:tcPr>
          <w:p>
            <w:pPr>
              <w:jc w:val="center"/>
              <w:rPr>
                <w:rFonts w:hint="eastAsia" w:eastAsia="仿宋_GB2312"/>
                <w:szCs w:val="21"/>
              </w:rPr>
            </w:pPr>
            <w:r>
              <w:rPr>
                <w:rFonts w:eastAsia="仿宋_GB2312"/>
                <w:szCs w:val="21"/>
              </w:rPr>
              <w:t>年初</w:t>
            </w:r>
          </w:p>
          <w:p>
            <w:pPr>
              <w:jc w:val="center"/>
              <w:rPr>
                <w:rFonts w:eastAsia="仿宋_GB2312"/>
                <w:szCs w:val="21"/>
              </w:rPr>
            </w:pPr>
            <w:r>
              <w:rPr>
                <w:rFonts w:eastAsia="仿宋_GB2312"/>
                <w:szCs w:val="21"/>
              </w:rPr>
              <w:t>预算数</w:t>
            </w:r>
          </w:p>
        </w:tc>
        <w:tc>
          <w:tcPr>
            <w:tcW w:w="1296" w:type="dxa"/>
            <w:gridSpan w:val="2"/>
            <w:noWrap w:val="0"/>
            <w:vAlign w:val="center"/>
          </w:tcPr>
          <w:p>
            <w:pPr>
              <w:jc w:val="center"/>
              <w:rPr>
                <w:rFonts w:eastAsia="仿宋_GB2312"/>
                <w:szCs w:val="21"/>
              </w:rPr>
            </w:pPr>
            <w:r>
              <w:rPr>
                <w:rFonts w:eastAsia="仿宋_GB2312"/>
                <w:szCs w:val="21"/>
              </w:rPr>
              <w:t>全年预算数</w:t>
            </w:r>
          </w:p>
        </w:tc>
        <w:tc>
          <w:tcPr>
            <w:tcW w:w="1205" w:type="dxa"/>
            <w:noWrap w:val="0"/>
            <w:vAlign w:val="center"/>
          </w:tcPr>
          <w:p>
            <w:pPr>
              <w:jc w:val="center"/>
              <w:rPr>
                <w:rFonts w:hint="eastAsia" w:eastAsia="仿宋_GB2312"/>
                <w:szCs w:val="21"/>
              </w:rPr>
            </w:pPr>
            <w:r>
              <w:rPr>
                <w:rFonts w:eastAsia="仿宋_GB2312"/>
                <w:szCs w:val="21"/>
              </w:rPr>
              <w:t>全年</w:t>
            </w:r>
          </w:p>
          <w:p>
            <w:pPr>
              <w:jc w:val="center"/>
              <w:rPr>
                <w:rFonts w:eastAsia="仿宋_GB2312"/>
                <w:szCs w:val="21"/>
              </w:rPr>
            </w:pPr>
            <w:r>
              <w:rPr>
                <w:rFonts w:eastAsia="仿宋_GB2312"/>
                <w:szCs w:val="21"/>
              </w:rPr>
              <w:t>执行数</w:t>
            </w:r>
          </w:p>
        </w:tc>
        <w:tc>
          <w:tcPr>
            <w:tcW w:w="805" w:type="dxa"/>
            <w:noWrap w:val="0"/>
            <w:vAlign w:val="center"/>
          </w:tcPr>
          <w:p>
            <w:pPr>
              <w:jc w:val="center"/>
              <w:rPr>
                <w:rFonts w:eastAsia="仿宋_GB2312"/>
                <w:szCs w:val="21"/>
              </w:rPr>
            </w:pPr>
            <w:r>
              <w:rPr>
                <w:rFonts w:eastAsia="仿宋_GB2312"/>
                <w:szCs w:val="21"/>
              </w:rPr>
              <w:t>分值</w:t>
            </w:r>
          </w:p>
        </w:tc>
        <w:tc>
          <w:tcPr>
            <w:tcW w:w="870" w:type="dxa"/>
            <w:noWrap w:val="0"/>
            <w:vAlign w:val="center"/>
          </w:tcPr>
          <w:p>
            <w:pPr>
              <w:jc w:val="center"/>
              <w:rPr>
                <w:rFonts w:eastAsia="仿宋_GB2312"/>
                <w:szCs w:val="21"/>
              </w:rPr>
            </w:pPr>
            <w:r>
              <w:rPr>
                <w:rFonts w:eastAsia="仿宋_GB2312"/>
                <w:szCs w:val="21"/>
              </w:rPr>
              <w:t>执行率</w:t>
            </w:r>
          </w:p>
        </w:tc>
        <w:tc>
          <w:tcPr>
            <w:tcW w:w="1351" w:type="dxa"/>
            <w:noWrap w:val="0"/>
            <w:vAlign w:val="center"/>
          </w:tcPr>
          <w:p>
            <w:pPr>
              <w:jc w:val="center"/>
              <w:rPr>
                <w:rFonts w:eastAsia="仿宋_GB2312"/>
                <w:szCs w:val="21"/>
              </w:rPr>
            </w:pPr>
            <w:r>
              <w:rPr>
                <w:rFonts w:eastAsia="仿宋_GB2312"/>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widowControl/>
              <w:jc w:val="center"/>
              <w:rPr>
                <w:rFonts w:eastAsia="仿宋_GB2312"/>
                <w:color w:val="000000"/>
                <w:kern w:val="0"/>
                <w:szCs w:val="21"/>
              </w:rPr>
            </w:pPr>
          </w:p>
        </w:tc>
        <w:tc>
          <w:tcPr>
            <w:tcW w:w="2562" w:type="dxa"/>
            <w:gridSpan w:val="2"/>
            <w:noWrap w:val="0"/>
            <w:vAlign w:val="center"/>
          </w:tcPr>
          <w:p>
            <w:pPr>
              <w:jc w:val="center"/>
              <w:rPr>
                <w:rFonts w:eastAsia="仿宋_GB2312"/>
                <w:szCs w:val="21"/>
              </w:rPr>
            </w:pPr>
            <w:r>
              <w:rPr>
                <w:rFonts w:eastAsia="仿宋_GB2312"/>
                <w:color w:val="000000"/>
                <w:kern w:val="0"/>
                <w:szCs w:val="21"/>
              </w:rPr>
              <w:t>年度资金总额</w:t>
            </w:r>
          </w:p>
        </w:tc>
        <w:tc>
          <w:tcPr>
            <w:tcW w:w="1164" w:type="dxa"/>
            <w:noWrap w:val="0"/>
            <w:vAlign w:val="center"/>
          </w:tcPr>
          <w:p>
            <w:pPr>
              <w:jc w:val="center"/>
              <w:rPr>
                <w:rFonts w:hint="default" w:eastAsia="仿宋_GB2312"/>
                <w:szCs w:val="21"/>
                <w:lang w:val="en-US" w:eastAsia="zh-CN"/>
              </w:rPr>
            </w:pPr>
            <w:r>
              <w:rPr>
                <w:rFonts w:hint="eastAsia" w:eastAsia="仿宋_GB2312"/>
                <w:color w:val="000000"/>
                <w:kern w:val="0"/>
                <w:szCs w:val="21"/>
                <w:lang w:val="en-US" w:eastAsia="zh-CN"/>
              </w:rPr>
              <w:t>2458.37</w:t>
            </w:r>
          </w:p>
        </w:tc>
        <w:tc>
          <w:tcPr>
            <w:tcW w:w="1296" w:type="dxa"/>
            <w:gridSpan w:val="2"/>
            <w:noWrap w:val="0"/>
            <w:vAlign w:val="center"/>
          </w:tcPr>
          <w:p>
            <w:pPr>
              <w:jc w:val="center"/>
              <w:rPr>
                <w:rFonts w:hint="default" w:eastAsia="仿宋_GB2312"/>
                <w:szCs w:val="21"/>
                <w:lang w:val="en-US" w:eastAsia="zh-CN"/>
              </w:rPr>
            </w:pPr>
            <w:r>
              <w:rPr>
                <w:rFonts w:hint="eastAsia" w:eastAsia="仿宋_GB2312"/>
                <w:szCs w:val="21"/>
                <w:lang w:val="en-US" w:eastAsia="zh-CN"/>
              </w:rPr>
              <w:t>2858.37</w:t>
            </w:r>
          </w:p>
        </w:tc>
        <w:tc>
          <w:tcPr>
            <w:tcW w:w="1205" w:type="dxa"/>
            <w:noWrap w:val="0"/>
            <w:vAlign w:val="center"/>
          </w:tcPr>
          <w:p>
            <w:pPr>
              <w:jc w:val="center"/>
              <w:rPr>
                <w:rFonts w:hint="default" w:eastAsia="仿宋_GB2312"/>
                <w:szCs w:val="21"/>
                <w:lang w:val="en-US" w:eastAsia="zh-CN"/>
              </w:rPr>
            </w:pPr>
            <w:r>
              <w:rPr>
                <w:rFonts w:hint="eastAsia" w:eastAsia="仿宋_GB2312"/>
                <w:szCs w:val="21"/>
                <w:lang w:val="en-US" w:eastAsia="zh-CN"/>
              </w:rPr>
              <w:t>2022.83</w:t>
            </w:r>
          </w:p>
        </w:tc>
        <w:tc>
          <w:tcPr>
            <w:tcW w:w="805" w:type="dxa"/>
            <w:noWrap w:val="0"/>
            <w:vAlign w:val="center"/>
          </w:tcPr>
          <w:p>
            <w:pPr>
              <w:jc w:val="center"/>
              <w:rPr>
                <w:rFonts w:eastAsia="仿宋_GB2312"/>
                <w:szCs w:val="21"/>
              </w:rPr>
            </w:pPr>
            <w:r>
              <w:rPr>
                <w:rFonts w:eastAsia="仿宋_GB2312"/>
                <w:szCs w:val="21"/>
              </w:rPr>
              <w:t>10</w:t>
            </w:r>
          </w:p>
        </w:tc>
        <w:tc>
          <w:tcPr>
            <w:tcW w:w="870" w:type="dxa"/>
            <w:noWrap w:val="0"/>
            <w:vAlign w:val="center"/>
          </w:tcPr>
          <w:p>
            <w:pPr>
              <w:jc w:val="center"/>
              <w:rPr>
                <w:rFonts w:hint="default" w:eastAsia="仿宋_GB2312"/>
                <w:szCs w:val="21"/>
                <w:lang w:val="en-US" w:eastAsia="zh-CN"/>
              </w:rPr>
            </w:pPr>
            <w:r>
              <w:rPr>
                <w:rFonts w:hint="eastAsia" w:eastAsia="仿宋_GB2312"/>
                <w:szCs w:val="21"/>
                <w:lang w:val="en-US" w:eastAsia="zh-CN"/>
              </w:rPr>
              <w:t>70.77%</w:t>
            </w:r>
          </w:p>
        </w:tc>
        <w:tc>
          <w:tcPr>
            <w:tcW w:w="1351" w:type="dxa"/>
            <w:noWrap w:val="0"/>
            <w:vAlign w:val="center"/>
          </w:tcPr>
          <w:p>
            <w:pPr>
              <w:jc w:val="center"/>
              <w:rPr>
                <w:rFonts w:hint="default" w:eastAsia="仿宋_GB2312"/>
                <w:szCs w:val="21"/>
                <w:lang w:val="en-US" w:eastAsia="zh-CN"/>
              </w:rPr>
            </w:pPr>
            <w:r>
              <w:rPr>
                <w:rFonts w:hint="eastAsia" w:eastAsia="仿宋_GB2312"/>
                <w:szCs w:val="21"/>
                <w:lang w:val="en-US" w:eastAsia="zh-CN"/>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widowControl/>
              <w:jc w:val="left"/>
              <w:rPr>
                <w:rFonts w:eastAsia="仿宋_GB2312"/>
                <w:color w:val="000000"/>
                <w:kern w:val="0"/>
                <w:szCs w:val="21"/>
              </w:rPr>
            </w:pPr>
          </w:p>
        </w:tc>
        <w:tc>
          <w:tcPr>
            <w:tcW w:w="5022" w:type="dxa"/>
            <w:gridSpan w:val="5"/>
            <w:noWrap w:val="0"/>
            <w:vAlign w:val="center"/>
          </w:tcPr>
          <w:p>
            <w:pPr>
              <w:widowControl/>
              <w:jc w:val="left"/>
              <w:rPr>
                <w:rFonts w:eastAsia="仿宋_GB2312"/>
                <w:color w:val="000000"/>
                <w:kern w:val="0"/>
                <w:szCs w:val="21"/>
              </w:rPr>
            </w:pPr>
            <w:r>
              <w:rPr>
                <w:rFonts w:eastAsia="仿宋_GB2312"/>
                <w:color w:val="000000"/>
                <w:kern w:val="0"/>
                <w:szCs w:val="21"/>
              </w:rPr>
              <w:t>按收入性质分：</w:t>
            </w:r>
          </w:p>
        </w:tc>
        <w:tc>
          <w:tcPr>
            <w:tcW w:w="4231" w:type="dxa"/>
            <w:gridSpan w:val="4"/>
            <w:noWrap w:val="0"/>
            <w:vAlign w:val="center"/>
          </w:tcPr>
          <w:p>
            <w:pPr>
              <w:widowControl/>
              <w:jc w:val="left"/>
              <w:rPr>
                <w:rFonts w:eastAsia="仿宋_GB2312"/>
                <w:color w:val="000000"/>
                <w:kern w:val="0"/>
                <w:szCs w:val="21"/>
              </w:rPr>
            </w:pPr>
            <w:r>
              <w:rPr>
                <w:rFonts w:eastAsia="仿宋_GB2312"/>
                <w:color w:val="000000"/>
                <w:kern w:val="0"/>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widowControl/>
              <w:jc w:val="left"/>
              <w:rPr>
                <w:rFonts w:eastAsia="仿宋_GB2312"/>
                <w:color w:val="000000"/>
                <w:kern w:val="0"/>
                <w:szCs w:val="21"/>
              </w:rPr>
            </w:pPr>
          </w:p>
        </w:tc>
        <w:tc>
          <w:tcPr>
            <w:tcW w:w="5022" w:type="dxa"/>
            <w:gridSpan w:val="5"/>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xml:space="preserve">  其中：  一般公共预算：</w:t>
            </w:r>
            <w:r>
              <w:rPr>
                <w:rFonts w:hint="eastAsia" w:eastAsia="仿宋_GB2312"/>
                <w:color w:val="000000"/>
                <w:kern w:val="0"/>
                <w:szCs w:val="21"/>
                <w:lang w:val="en-US" w:eastAsia="zh-CN"/>
              </w:rPr>
              <w:t>2858.37</w:t>
            </w:r>
          </w:p>
        </w:tc>
        <w:tc>
          <w:tcPr>
            <w:tcW w:w="4231" w:type="dxa"/>
            <w:gridSpan w:val="4"/>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其中：基本支出：</w:t>
            </w:r>
            <w:r>
              <w:rPr>
                <w:rFonts w:hint="eastAsia" w:eastAsia="仿宋_GB2312"/>
                <w:color w:val="000000"/>
                <w:kern w:val="0"/>
                <w:szCs w:val="21"/>
                <w:lang w:val="en-US" w:eastAsia="zh-CN"/>
              </w:rPr>
              <w:t>874.13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widowControl/>
              <w:jc w:val="left"/>
              <w:rPr>
                <w:rFonts w:eastAsia="仿宋_GB2312"/>
                <w:color w:val="000000"/>
                <w:kern w:val="0"/>
                <w:szCs w:val="21"/>
              </w:rPr>
            </w:pPr>
          </w:p>
        </w:tc>
        <w:tc>
          <w:tcPr>
            <w:tcW w:w="5022" w:type="dxa"/>
            <w:gridSpan w:val="5"/>
            <w:noWrap w:val="0"/>
            <w:vAlign w:val="center"/>
          </w:tcPr>
          <w:p>
            <w:pPr>
              <w:widowControl/>
              <w:ind w:firstLine="840" w:firstLineChars="400"/>
              <w:jc w:val="left"/>
              <w:rPr>
                <w:rFonts w:hint="eastAsia" w:eastAsia="仿宋_GB2312"/>
                <w:color w:val="000000"/>
                <w:kern w:val="0"/>
                <w:szCs w:val="21"/>
                <w:lang w:val="en-US" w:eastAsia="zh-CN"/>
              </w:rPr>
            </w:pPr>
            <w:r>
              <w:rPr>
                <w:rFonts w:eastAsia="仿宋_GB2312"/>
                <w:color w:val="000000"/>
                <w:kern w:val="0"/>
                <w:szCs w:val="21"/>
              </w:rPr>
              <w:t>政府性基金拨款：</w:t>
            </w:r>
            <w:r>
              <w:rPr>
                <w:rFonts w:hint="eastAsia" w:eastAsia="仿宋_GB2312"/>
                <w:color w:val="000000"/>
                <w:kern w:val="0"/>
                <w:szCs w:val="21"/>
                <w:lang w:val="en-US" w:eastAsia="zh-CN"/>
              </w:rPr>
              <w:t>0</w:t>
            </w:r>
          </w:p>
        </w:tc>
        <w:tc>
          <w:tcPr>
            <w:tcW w:w="4231" w:type="dxa"/>
            <w:gridSpan w:val="4"/>
            <w:noWrap w:val="0"/>
            <w:vAlign w:val="center"/>
          </w:tcPr>
          <w:p>
            <w:pPr>
              <w:widowControl/>
              <w:ind w:firstLine="630" w:firstLineChars="300"/>
              <w:jc w:val="left"/>
              <w:rPr>
                <w:rFonts w:hint="default" w:eastAsia="仿宋_GB2312"/>
                <w:color w:val="000000"/>
                <w:kern w:val="0"/>
                <w:szCs w:val="21"/>
                <w:lang w:val="en-US" w:eastAsia="zh-CN"/>
              </w:rPr>
            </w:pPr>
            <w:r>
              <w:rPr>
                <w:rFonts w:eastAsia="仿宋_GB2312"/>
                <w:color w:val="000000"/>
                <w:kern w:val="0"/>
                <w:szCs w:val="21"/>
              </w:rPr>
              <w:t>项目支出：</w:t>
            </w:r>
            <w:r>
              <w:rPr>
                <w:rFonts w:hint="eastAsia" w:eastAsia="仿宋_GB2312"/>
                <w:color w:val="000000"/>
                <w:kern w:val="0"/>
                <w:szCs w:val="21"/>
                <w:lang w:val="en-US" w:eastAsia="zh-CN"/>
              </w:rPr>
              <w:t>1148.7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widowControl/>
              <w:jc w:val="left"/>
              <w:rPr>
                <w:rFonts w:eastAsia="仿宋_GB2312"/>
                <w:color w:val="000000"/>
                <w:kern w:val="0"/>
                <w:szCs w:val="21"/>
              </w:rPr>
            </w:pPr>
          </w:p>
        </w:tc>
        <w:tc>
          <w:tcPr>
            <w:tcW w:w="5022" w:type="dxa"/>
            <w:gridSpan w:val="5"/>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纳入专户管理的非税收入拨款：</w:t>
            </w:r>
            <w:r>
              <w:rPr>
                <w:rFonts w:hint="eastAsia" w:eastAsia="仿宋_GB2312"/>
                <w:color w:val="000000"/>
                <w:kern w:val="0"/>
                <w:szCs w:val="21"/>
                <w:lang w:val="en-US" w:eastAsia="zh-CN"/>
              </w:rPr>
              <w:t>0</w:t>
            </w:r>
          </w:p>
        </w:tc>
        <w:tc>
          <w:tcPr>
            <w:tcW w:w="4231" w:type="dxa"/>
            <w:gridSpan w:val="4"/>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widowControl/>
              <w:jc w:val="left"/>
              <w:rPr>
                <w:rFonts w:eastAsia="仿宋_GB2312"/>
                <w:color w:val="000000"/>
                <w:kern w:val="0"/>
                <w:szCs w:val="21"/>
              </w:rPr>
            </w:pPr>
          </w:p>
        </w:tc>
        <w:tc>
          <w:tcPr>
            <w:tcW w:w="5022" w:type="dxa"/>
            <w:gridSpan w:val="5"/>
            <w:noWrap w:val="0"/>
            <w:vAlign w:val="center"/>
          </w:tcPr>
          <w:p>
            <w:pPr>
              <w:widowControl/>
              <w:ind w:firstLine="1470" w:firstLineChars="700"/>
              <w:jc w:val="left"/>
              <w:rPr>
                <w:rFonts w:hint="eastAsia" w:eastAsia="仿宋_GB2312"/>
                <w:color w:val="000000"/>
                <w:kern w:val="0"/>
                <w:szCs w:val="21"/>
                <w:lang w:val="en-US" w:eastAsia="zh-CN"/>
              </w:rPr>
            </w:pPr>
            <w:r>
              <w:rPr>
                <w:rFonts w:eastAsia="仿宋_GB2312"/>
                <w:color w:val="000000"/>
                <w:kern w:val="0"/>
                <w:szCs w:val="21"/>
              </w:rPr>
              <w:t>其他资金：</w:t>
            </w:r>
            <w:r>
              <w:rPr>
                <w:rFonts w:hint="eastAsia" w:eastAsia="仿宋_GB2312"/>
                <w:color w:val="000000"/>
                <w:kern w:val="0"/>
                <w:szCs w:val="21"/>
                <w:lang w:val="en-US" w:eastAsia="zh-CN"/>
              </w:rPr>
              <w:t>0</w:t>
            </w:r>
          </w:p>
        </w:tc>
        <w:tc>
          <w:tcPr>
            <w:tcW w:w="4231" w:type="dxa"/>
            <w:gridSpan w:val="4"/>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年度总体目标</w:t>
            </w:r>
          </w:p>
        </w:tc>
        <w:tc>
          <w:tcPr>
            <w:tcW w:w="5022" w:type="dxa"/>
            <w:gridSpan w:val="5"/>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31"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070" w:type="dxa"/>
            <w:vMerge w:val="continue"/>
            <w:noWrap w:val="0"/>
            <w:vAlign w:val="center"/>
          </w:tcPr>
          <w:p>
            <w:pPr>
              <w:widowControl/>
              <w:jc w:val="left"/>
              <w:rPr>
                <w:rFonts w:eastAsia="仿宋_GB2312"/>
                <w:color w:val="000000"/>
                <w:kern w:val="0"/>
                <w:szCs w:val="21"/>
              </w:rPr>
            </w:pPr>
          </w:p>
        </w:tc>
        <w:tc>
          <w:tcPr>
            <w:tcW w:w="5022" w:type="dxa"/>
            <w:gridSpan w:val="5"/>
            <w:noWrap w:val="0"/>
            <w:vAlign w:val="center"/>
          </w:tcPr>
          <w:p>
            <w:pPr>
              <w:widowControl/>
              <w:jc w:val="center"/>
              <w:rPr>
                <w:rFonts w:eastAsia="仿宋_GB2312"/>
                <w:color w:val="000000"/>
                <w:kern w:val="0"/>
                <w:szCs w:val="21"/>
              </w:rPr>
            </w:pPr>
            <w:r>
              <w:rPr>
                <w:rFonts w:hint="eastAsia" w:ascii="Times New Roman" w:hAnsi="Times New Roman" w:eastAsia="仿宋_GB2312" w:cs="Times New Roman"/>
                <w:color w:val="000000"/>
                <w:sz w:val="20"/>
                <w:szCs w:val="20"/>
                <w:lang w:val="en-US" w:eastAsia="zh-CN"/>
              </w:rPr>
              <w:t>订购《乡村振兴》杂志7000份，覆盖全省脱贫村；计划完成农广助农计划培训班37期，三农干部走出去完成8期，厅培训计划51期，田间学校培训班33期，农村体育文化健身活动4期，培训人数达1万人</w:t>
            </w:r>
            <w:r>
              <w:rPr>
                <w:rFonts w:hint="eastAsia" w:eastAsia="仿宋_GB2312" w:cs="Times New Roman"/>
                <w:color w:val="000000"/>
                <w:sz w:val="20"/>
                <w:szCs w:val="20"/>
                <w:lang w:val="en-US" w:eastAsia="zh-CN"/>
              </w:rPr>
              <w:t>。</w:t>
            </w:r>
            <w:r>
              <w:rPr>
                <w:rFonts w:eastAsia="仿宋_GB2312"/>
                <w:color w:val="000000"/>
                <w:kern w:val="0"/>
                <w:szCs w:val="21"/>
              </w:rPr>
              <w:t>　</w:t>
            </w:r>
          </w:p>
        </w:tc>
        <w:tc>
          <w:tcPr>
            <w:tcW w:w="4231" w:type="dxa"/>
            <w:gridSpan w:val="4"/>
            <w:noWrap w:val="0"/>
            <w:vAlign w:val="center"/>
          </w:tcPr>
          <w:p>
            <w:pPr>
              <w:widowControl/>
              <w:jc w:val="left"/>
              <w:rPr>
                <w:rFonts w:hint="default" w:eastAsia="仿宋_GB2312"/>
                <w:color w:val="000000"/>
                <w:kern w:val="0"/>
                <w:szCs w:val="21"/>
                <w:lang w:val="en-US"/>
              </w:rPr>
            </w:pPr>
            <w:r>
              <w:rPr>
                <w:rFonts w:eastAsia="仿宋_GB2312"/>
                <w:color w:val="000000"/>
                <w:kern w:val="0"/>
                <w:szCs w:val="21"/>
              </w:rPr>
              <w:t>　</w:t>
            </w:r>
            <w:r>
              <w:rPr>
                <w:rFonts w:hint="eastAsia" w:ascii="Times New Roman" w:hAnsi="Times New Roman" w:eastAsia="仿宋_GB2312" w:cs="Times New Roman"/>
                <w:color w:val="000000"/>
                <w:sz w:val="20"/>
                <w:szCs w:val="20"/>
                <w:lang w:val="en-US" w:eastAsia="zh-CN"/>
              </w:rPr>
              <w:t>完成农广助农计划培训班39期，三农干部走出去完成2期，厅培训计划34期，田间学校培训班</w:t>
            </w:r>
            <w:r>
              <w:rPr>
                <w:rFonts w:hint="eastAsia" w:eastAsia="仿宋_GB2312" w:cs="Times New Roman"/>
                <w:color w:val="000000"/>
                <w:sz w:val="20"/>
                <w:szCs w:val="20"/>
                <w:lang w:val="en-US" w:eastAsia="zh-CN"/>
              </w:rPr>
              <w:t>43</w:t>
            </w:r>
            <w:r>
              <w:rPr>
                <w:rFonts w:hint="eastAsia" w:ascii="Times New Roman" w:hAnsi="Times New Roman" w:eastAsia="仿宋_GB2312" w:cs="Times New Roman"/>
                <w:color w:val="000000"/>
                <w:sz w:val="20"/>
                <w:szCs w:val="20"/>
                <w:lang w:val="en-US" w:eastAsia="zh-CN"/>
              </w:rPr>
              <w:t>期，农村体育文化健身活动</w:t>
            </w:r>
            <w:r>
              <w:rPr>
                <w:rFonts w:hint="eastAsia" w:eastAsia="仿宋_GB2312" w:cs="Times New Roman"/>
                <w:color w:val="000000"/>
                <w:sz w:val="20"/>
                <w:szCs w:val="20"/>
                <w:lang w:val="en-US" w:eastAsia="zh-CN"/>
              </w:rPr>
              <w:t>5</w:t>
            </w:r>
            <w:r>
              <w:rPr>
                <w:rFonts w:hint="eastAsia" w:ascii="Times New Roman" w:hAnsi="Times New Roman" w:eastAsia="仿宋_GB2312" w:cs="Times New Roman"/>
                <w:color w:val="000000"/>
                <w:sz w:val="20"/>
                <w:szCs w:val="20"/>
                <w:lang w:val="en-US" w:eastAsia="zh-CN"/>
              </w:rPr>
              <w:t>期，举办近年来首次全省农民教育培训提质暨基层农广校校长能力提升班</w:t>
            </w:r>
            <w:r>
              <w:rPr>
                <w:rFonts w:hint="eastAsia" w:eastAsia="仿宋_GB2312" w:cs="Times New Roman"/>
                <w:color w:val="000000"/>
                <w:sz w:val="20"/>
                <w:szCs w:val="20"/>
                <w:lang w:val="en-US" w:eastAsia="zh-CN"/>
              </w:rPr>
              <w:t>，</w:t>
            </w:r>
            <w:r>
              <w:rPr>
                <w:rFonts w:hint="eastAsia" w:ascii="Times New Roman" w:hAnsi="Times New Roman" w:eastAsia="仿宋_GB2312" w:cs="Times New Roman"/>
                <w:color w:val="000000"/>
                <w:sz w:val="20"/>
                <w:szCs w:val="20"/>
                <w:lang w:val="en-US" w:eastAsia="zh-CN"/>
              </w:rPr>
              <w:t>培训人数达1万余人</w:t>
            </w:r>
            <w:r>
              <w:rPr>
                <w:rFonts w:hint="eastAsia" w:eastAsia="仿宋_GB2312" w:cs="Times New Roman"/>
                <w:color w:val="000000"/>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7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1212"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350"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305" w:type="dxa"/>
            <w:gridSpan w:val="2"/>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155"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205"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05"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0"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351" w:type="dxa"/>
            <w:noWrap w:val="0"/>
            <w:vAlign w:val="top"/>
          </w:tcPr>
          <w:p>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jc w:val="center"/>
              <w:rPr>
                <w:rFonts w:eastAsia="仿宋_GB2312"/>
                <w:color w:val="000000"/>
                <w:kern w:val="0"/>
                <w:szCs w:val="21"/>
              </w:rPr>
            </w:pPr>
          </w:p>
        </w:tc>
        <w:tc>
          <w:tcPr>
            <w:tcW w:w="1212"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产出指标</w:t>
            </w:r>
          </w:p>
          <w:p>
            <w:pPr>
              <w:widowControl/>
              <w:jc w:val="center"/>
              <w:rPr>
                <w:rFonts w:eastAsia="仿宋_GB2312"/>
                <w:color w:val="000000"/>
                <w:kern w:val="0"/>
                <w:szCs w:val="21"/>
              </w:rPr>
            </w:pPr>
            <w:r>
              <w:rPr>
                <w:rFonts w:eastAsia="仿宋_GB2312"/>
                <w:color w:val="000000"/>
                <w:kern w:val="0"/>
                <w:szCs w:val="21"/>
              </w:rPr>
              <w:t>(50分)</w:t>
            </w:r>
          </w:p>
        </w:tc>
        <w:tc>
          <w:tcPr>
            <w:tcW w:w="135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数量</w:t>
            </w:r>
          </w:p>
          <w:p>
            <w:pPr>
              <w:widowControl/>
              <w:jc w:val="center"/>
              <w:rPr>
                <w:rFonts w:eastAsia="仿宋_GB2312"/>
                <w:color w:val="000000"/>
                <w:kern w:val="0"/>
                <w:szCs w:val="21"/>
              </w:rPr>
            </w:pPr>
            <w:r>
              <w:rPr>
                <w:rFonts w:eastAsia="仿宋_GB2312"/>
                <w:color w:val="000000"/>
                <w:kern w:val="0"/>
                <w:szCs w:val="21"/>
              </w:rPr>
              <w:t>指标</w:t>
            </w:r>
          </w:p>
        </w:tc>
        <w:tc>
          <w:tcPr>
            <w:tcW w:w="1305" w:type="dxa"/>
            <w:gridSpan w:val="2"/>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培训期数</w:t>
            </w:r>
          </w:p>
        </w:tc>
        <w:tc>
          <w:tcPr>
            <w:tcW w:w="1155" w:type="dxa"/>
            <w:noWrap w:val="0"/>
            <w:vAlign w:val="center"/>
          </w:tcPr>
          <w:p>
            <w:pPr>
              <w:widowControl/>
              <w:jc w:val="center"/>
              <w:rPr>
                <w:rFonts w:hint="default" w:eastAsia="仿宋_GB2312"/>
                <w:color w:val="000000"/>
                <w:kern w:val="0"/>
                <w:szCs w:val="21"/>
                <w:lang w:val="en-US" w:eastAsia="zh-CN"/>
              </w:rPr>
            </w:pPr>
            <w:r>
              <w:rPr>
                <w:rFonts w:hint="default" w:ascii="Arial" w:hAnsi="Arial" w:eastAsia="仿宋_GB2312" w:cs="Arial"/>
                <w:color w:val="000000"/>
                <w:kern w:val="0"/>
                <w:szCs w:val="21"/>
                <w:lang w:val="en-US" w:eastAsia="zh-CN"/>
              </w:rPr>
              <w:t>≥</w:t>
            </w:r>
            <w:r>
              <w:rPr>
                <w:rFonts w:hint="eastAsia" w:eastAsia="仿宋_GB2312"/>
                <w:color w:val="000000"/>
                <w:kern w:val="0"/>
                <w:szCs w:val="21"/>
                <w:lang w:val="en-US" w:eastAsia="zh-CN"/>
              </w:rPr>
              <w:t>133期</w:t>
            </w:r>
          </w:p>
        </w:tc>
        <w:tc>
          <w:tcPr>
            <w:tcW w:w="1205"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124期</w:t>
            </w:r>
          </w:p>
        </w:tc>
        <w:tc>
          <w:tcPr>
            <w:tcW w:w="805" w:type="dxa"/>
            <w:noWrap w:val="0"/>
            <w:vAlign w:val="center"/>
          </w:tcPr>
          <w:p>
            <w:pPr>
              <w:widowControl/>
              <w:jc w:val="center"/>
              <w:rPr>
                <w:rFonts w:hint="default" w:ascii="Times New Roman" w:hAnsi="Times New Roman" w:eastAsia="仿宋_GB2312" w:cs="Times New Roman"/>
                <w:color w:val="000000"/>
                <w:kern w:val="0"/>
                <w:szCs w:val="21"/>
                <w:lang w:val="en-US" w:eastAsia="zh-CN"/>
              </w:rPr>
            </w:pPr>
            <w:r>
              <w:rPr>
                <w:rFonts w:hint="eastAsia" w:eastAsia="仿宋_GB2312" w:cs="Times New Roman"/>
                <w:color w:val="000000"/>
                <w:kern w:val="0"/>
                <w:szCs w:val="21"/>
                <w:lang w:val="en-US" w:eastAsia="zh-CN"/>
              </w:rPr>
              <w:t>5</w:t>
            </w:r>
          </w:p>
        </w:tc>
        <w:tc>
          <w:tcPr>
            <w:tcW w:w="870"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4.7</w:t>
            </w:r>
          </w:p>
        </w:tc>
        <w:tc>
          <w:tcPr>
            <w:tcW w:w="1351"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jc w:val="center"/>
              <w:rPr>
                <w:rFonts w:eastAsia="仿宋_GB2312"/>
                <w:color w:val="000000"/>
                <w:kern w:val="0"/>
                <w:szCs w:val="21"/>
              </w:rPr>
            </w:pPr>
          </w:p>
        </w:tc>
        <w:tc>
          <w:tcPr>
            <w:tcW w:w="1212" w:type="dxa"/>
            <w:vMerge w:val="continue"/>
            <w:noWrap w:val="0"/>
            <w:vAlign w:val="center"/>
          </w:tcPr>
          <w:p>
            <w:pPr>
              <w:widowControl/>
              <w:jc w:val="center"/>
              <w:rPr>
                <w:rFonts w:eastAsia="仿宋_GB2312"/>
                <w:color w:val="000000"/>
                <w:kern w:val="0"/>
                <w:szCs w:val="21"/>
              </w:rPr>
            </w:pPr>
          </w:p>
        </w:tc>
        <w:tc>
          <w:tcPr>
            <w:tcW w:w="1350" w:type="dxa"/>
            <w:vMerge w:val="continue"/>
            <w:noWrap w:val="0"/>
            <w:vAlign w:val="center"/>
          </w:tcPr>
          <w:p>
            <w:pPr>
              <w:widowControl/>
              <w:jc w:val="center"/>
              <w:rPr>
                <w:rFonts w:eastAsia="仿宋_GB2312"/>
                <w:color w:val="000000"/>
                <w:kern w:val="0"/>
                <w:szCs w:val="21"/>
              </w:rPr>
            </w:pPr>
          </w:p>
        </w:tc>
        <w:tc>
          <w:tcPr>
            <w:tcW w:w="1305" w:type="dxa"/>
            <w:gridSpan w:val="2"/>
            <w:noWrap w:val="0"/>
            <w:vAlign w:val="center"/>
          </w:tcPr>
          <w:p>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培训人数</w:t>
            </w:r>
          </w:p>
        </w:tc>
        <w:tc>
          <w:tcPr>
            <w:tcW w:w="1155" w:type="dxa"/>
            <w:noWrap w:val="0"/>
            <w:vAlign w:val="center"/>
          </w:tcPr>
          <w:p>
            <w:pPr>
              <w:widowControl/>
              <w:jc w:val="center"/>
              <w:rPr>
                <w:rFonts w:hint="default" w:eastAsia="仿宋_GB2312"/>
                <w:color w:val="000000"/>
                <w:kern w:val="0"/>
                <w:szCs w:val="21"/>
                <w:lang w:val="en-US" w:eastAsia="zh-CN"/>
              </w:rPr>
            </w:pPr>
            <w:r>
              <w:rPr>
                <w:rFonts w:hint="default" w:ascii="Arial" w:hAnsi="Arial" w:eastAsia="仿宋_GB2312" w:cs="Arial"/>
                <w:color w:val="000000"/>
                <w:kern w:val="0"/>
                <w:szCs w:val="21"/>
                <w:lang w:val="en-US" w:eastAsia="zh-CN"/>
              </w:rPr>
              <w:t>≥</w:t>
            </w:r>
            <w:r>
              <w:rPr>
                <w:rFonts w:hint="eastAsia" w:eastAsia="仿宋_GB2312"/>
                <w:color w:val="000000"/>
                <w:kern w:val="0"/>
                <w:szCs w:val="21"/>
                <w:lang w:val="en-US" w:eastAsia="zh-CN"/>
              </w:rPr>
              <w:t>10000人</w:t>
            </w:r>
          </w:p>
        </w:tc>
        <w:tc>
          <w:tcPr>
            <w:tcW w:w="1205"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11983人</w:t>
            </w:r>
          </w:p>
        </w:tc>
        <w:tc>
          <w:tcPr>
            <w:tcW w:w="805" w:type="dxa"/>
            <w:noWrap w:val="0"/>
            <w:vAlign w:val="center"/>
          </w:tcPr>
          <w:p>
            <w:pPr>
              <w:widowControl/>
              <w:jc w:val="center"/>
              <w:rPr>
                <w:rFonts w:hint="default"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10</w:t>
            </w:r>
          </w:p>
        </w:tc>
        <w:tc>
          <w:tcPr>
            <w:tcW w:w="870"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351"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jc w:val="center"/>
              <w:rPr>
                <w:rFonts w:eastAsia="仿宋_GB2312"/>
                <w:color w:val="000000"/>
                <w:kern w:val="0"/>
                <w:szCs w:val="21"/>
              </w:rPr>
            </w:pPr>
          </w:p>
        </w:tc>
        <w:tc>
          <w:tcPr>
            <w:tcW w:w="1212" w:type="dxa"/>
            <w:vMerge w:val="continue"/>
            <w:noWrap w:val="0"/>
            <w:vAlign w:val="center"/>
          </w:tcPr>
          <w:p>
            <w:pPr>
              <w:jc w:val="left"/>
              <w:rPr>
                <w:rFonts w:eastAsia="仿宋_GB2312"/>
                <w:color w:val="000000"/>
                <w:kern w:val="0"/>
                <w:szCs w:val="21"/>
              </w:rPr>
            </w:pPr>
          </w:p>
        </w:tc>
        <w:tc>
          <w:tcPr>
            <w:tcW w:w="1350" w:type="dxa"/>
            <w:vMerge w:val="continue"/>
            <w:noWrap w:val="0"/>
            <w:vAlign w:val="center"/>
          </w:tcPr>
          <w:p>
            <w:pPr>
              <w:widowControl/>
              <w:jc w:val="center"/>
              <w:rPr>
                <w:rFonts w:eastAsia="仿宋_GB2312"/>
                <w:color w:val="000000"/>
                <w:kern w:val="0"/>
                <w:szCs w:val="21"/>
              </w:rPr>
            </w:pPr>
          </w:p>
        </w:tc>
        <w:tc>
          <w:tcPr>
            <w:tcW w:w="1305" w:type="dxa"/>
            <w:gridSpan w:val="2"/>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《乡村振兴》杂志订购数</w:t>
            </w:r>
          </w:p>
        </w:tc>
        <w:tc>
          <w:tcPr>
            <w:tcW w:w="1155"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=7000册</w:t>
            </w:r>
          </w:p>
        </w:tc>
        <w:tc>
          <w:tcPr>
            <w:tcW w:w="1205"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0</w:t>
            </w:r>
          </w:p>
        </w:tc>
        <w:tc>
          <w:tcPr>
            <w:tcW w:w="805" w:type="dxa"/>
            <w:noWrap w:val="0"/>
            <w:vAlign w:val="center"/>
          </w:tcPr>
          <w:p>
            <w:pPr>
              <w:widowControl/>
              <w:jc w:val="center"/>
              <w:rPr>
                <w:rFonts w:hint="default" w:ascii="Times New Roman" w:hAnsi="Times New Roman" w:eastAsia="仿宋_GB2312" w:cs="Times New Roman"/>
                <w:color w:val="000000"/>
                <w:kern w:val="0"/>
                <w:szCs w:val="21"/>
                <w:lang w:val="en-US" w:eastAsia="zh-CN"/>
              </w:rPr>
            </w:pPr>
            <w:r>
              <w:rPr>
                <w:rFonts w:hint="eastAsia" w:eastAsia="仿宋_GB2312" w:cs="Times New Roman"/>
                <w:color w:val="000000"/>
                <w:kern w:val="0"/>
                <w:szCs w:val="21"/>
                <w:lang w:val="en-US" w:eastAsia="zh-CN"/>
              </w:rPr>
              <w:t>5</w:t>
            </w:r>
          </w:p>
        </w:tc>
        <w:tc>
          <w:tcPr>
            <w:tcW w:w="870" w:type="dxa"/>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0</w:t>
            </w:r>
          </w:p>
        </w:tc>
        <w:tc>
          <w:tcPr>
            <w:tcW w:w="1351"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jc w:val="center"/>
              <w:rPr>
                <w:rFonts w:eastAsia="仿宋_GB2312"/>
                <w:color w:val="000000"/>
                <w:kern w:val="0"/>
                <w:szCs w:val="21"/>
              </w:rPr>
            </w:pPr>
          </w:p>
        </w:tc>
        <w:tc>
          <w:tcPr>
            <w:tcW w:w="1212" w:type="dxa"/>
            <w:vMerge w:val="continue"/>
            <w:noWrap w:val="0"/>
            <w:vAlign w:val="center"/>
          </w:tcPr>
          <w:p>
            <w:pPr>
              <w:jc w:val="left"/>
              <w:rPr>
                <w:rFonts w:eastAsia="仿宋_GB2312"/>
                <w:color w:val="000000"/>
                <w:kern w:val="0"/>
                <w:szCs w:val="21"/>
              </w:rPr>
            </w:pPr>
          </w:p>
        </w:tc>
        <w:tc>
          <w:tcPr>
            <w:tcW w:w="1350" w:type="dxa"/>
            <w:noWrap w:val="0"/>
            <w:vAlign w:val="center"/>
          </w:tcPr>
          <w:p>
            <w:pPr>
              <w:widowControl/>
              <w:jc w:val="center"/>
              <w:rPr>
                <w:rFonts w:eastAsia="仿宋_GB2312"/>
                <w:color w:val="000000"/>
                <w:kern w:val="0"/>
                <w:szCs w:val="21"/>
              </w:rPr>
            </w:pPr>
            <w:r>
              <w:rPr>
                <w:rFonts w:eastAsia="仿宋_GB2312"/>
                <w:color w:val="000000"/>
                <w:kern w:val="0"/>
                <w:szCs w:val="21"/>
              </w:rPr>
              <w:t>质量</w:t>
            </w:r>
          </w:p>
          <w:p>
            <w:pPr>
              <w:widowControl/>
              <w:jc w:val="center"/>
              <w:rPr>
                <w:rFonts w:eastAsia="仿宋_GB2312"/>
                <w:color w:val="000000"/>
                <w:kern w:val="0"/>
                <w:szCs w:val="21"/>
              </w:rPr>
            </w:pPr>
            <w:r>
              <w:rPr>
                <w:rFonts w:eastAsia="仿宋_GB2312"/>
                <w:color w:val="000000"/>
                <w:kern w:val="0"/>
                <w:szCs w:val="21"/>
              </w:rPr>
              <w:t>指标</w:t>
            </w:r>
          </w:p>
        </w:tc>
        <w:tc>
          <w:tcPr>
            <w:tcW w:w="1305" w:type="dxa"/>
            <w:gridSpan w:val="2"/>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培训合格率</w:t>
            </w:r>
          </w:p>
        </w:tc>
        <w:tc>
          <w:tcPr>
            <w:tcW w:w="1155" w:type="dxa"/>
            <w:noWrap w:val="0"/>
            <w:vAlign w:val="center"/>
          </w:tcPr>
          <w:p>
            <w:pPr>
              <w:widowControl/>
              <w:jc w:val="center"/>
              <w:rPr>
                <w:rFonts w:hint="default" w:eastAsia="仿宋_GB2312"/>
                <w:color w:val="000000"/>
                <w:kern w:val="0"/>
                <w:szCs w:val="21"/>
                <w:lang w:val="en-US" w:eastAsia="zh-CN"/>
              </w:rPr>
            </w:pPr>
            <w:r>
              <w:rPr>
                <w:rFonts w:hint="default" w:ascii="Arial" w:hAnsi="Arial" w:eastAsia="仿宋_GB2312" w:cs="Arial"/>
                <w:color w:val="000000"/>
                <w:kern w:val="0"/>
                <w:szCs w:val="21"/>
                <w:lang w:val="en-US" w:eastAsia="zh-CN"/>
              </w:rPr>
              <w:t>≥</w:t>
            </w:r>
            <w:r>
              <w:rPr>
                <w:rFonts w:hint="eastAsia" w:eastAsia="仿宋_GB2312"/>
                <w:color w:val="000000"/>
                <w:kern w:val="0"/>
                <w:szCs w:val="21"/>
                <w:lang w:val="en-US" w:eastAsia="zh-CN"/>
              </w:rPr>
              <w:t>95%</w:t>
            </w:r>
          </w:p>
        </w:tc>
        <w:tc>
          <w:tcPr>
            <w:tcW w:w="1205"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95%</w:t>
            </w:r>
          </w:p>
        </w:tc>
        <w:tc>
          <w:tcPr>
            <w:tcW w:w="805"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0"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351"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jc w:val="center"/>
              <w:rPr>
                <w:rFonts w:eastAsia="仿宋_GB2312"/>
                <w:color w:val="000000"/>
                <w:kern w:val="0"/>
                <w:szCs w:val="21"/>
              </w:rPr>
            </w:pPr>
          </w:p>
        </w:tc>
        <w:tc>
          <w:tcPr>
            <w:tcW w:w="1212" w:type="dxa"/>
            <w:vMerge w:val="continue"/>
            <w:noWrap w:val="0"/>
            <w:vAlign w:val="center"/>
          </w:tcPr>
          <w:p>
            <w:pPr>
              <w:jc w:val="left"/>
              <w:rPr>
                <w:rFonts w:eastAsia="仿宋_GB2312"/>
                <w:color w:val="000000"/>
                <w:kern w:val="0"/>
                <w:szCs w:val="21"/>
              </w:rPr>
            </w:pPr>
          </w:p>
        </w:tc>
        <w:tc>
          <w:tcPr>
            <w:tcW w:w="1350" w:type="dxa"/>
            <w:noWrap w:val="0"/>
            <w:vAlign w:val="center"/>
          </w:tcPr>
          <w:p>
            <w:pPr>
              <w:widowControl/>
              <w:jc w:val="center"/>
              <w:rPr>
                <w:rFonts w:eastAsia="仿宋_GB2312"/>
                <w:color w:val="000000"/>
                <w:kern w:val="0"/>
                <w:szCs w:val="21"/>
              </w:rPr>
            </w:pPr>
            <w:r>
              <w:rPr>
                <w:rFonts w:eastAsia="仿宋_GB2312"/>
                <w:color w:val="000000"/>
                <w:kern w:val="0"/>
                <w:szCs w:val="21"/>
              </w:rPr>
              <w:t>时效</w:t>
            </w:r>
          </w:p>
          <w:p>
            <w:pPr>
              <w:widowControl/>
              <w:jc w:val="center"/>
              <w:rPr>
                <w:rFonts w:eastAsia="仿宋_GB2312"/>
                <w:color w:val="000000"/>
                <w:kern w:val="0"/>
                <w:szCs w:val="21"/>
              </w:rPr>
            </w:pPr>
            <w:r>
              <w:rPr>
                <w:rFonts w:eastAsia="仿宋_GB2312"/>
                <w:color w:val="000000"/>
                <w:kern w:val="0"/>
                <w:szCs w:val="21"/>
              </w:rPr>
              <w:t>指标</w:t>
            </w:r>
          </w:p>
        </w:tc>
        <w:tc>
          <w:tcPr>
            <w:tcW w:w="1305" w:type="dxa"/>
            <w:gridSpan w:val="2"/>
            <w:noWrap w:val="0"/>
            <w:vAlign w:val="center"/>
          </w:tcPr>
          <w:p>
            <w:pPr>
              <w:widowControl/>
              <w:jc w:val="left"/>
              <w:rPr>
                <w:rFonts w:eastAsia="仿宋_GB2312"/>
                <w:color w:val="000000"/>
                <w:kern w:val="0"/>
                <w:szCs w:val="21"/>
              </w:rPr>
            </w:pPr>
            <w:r>
              <w:rPr>
                <w:rFonts w:hint="eastAsia" w:ascii="Times New Roman" w:hAnsi="Times New Roman" w:eastAsia="仿宋_GB2312" w:cs="Times New Roman"/>
                <w:color w:val="000000"/>
                <w:kern w:val="0"/>
                <w:sz w:val="21"/>
                <w:szCs w:val="21"/>
                <w:lang w:val="en-US" w:eastAsia="zh-CN"/>
              </w:rPr>
              <w:t>培训计划按时完成率</w:t>
            </w:r>
          </w:p>
        </w:tc>
        <w:tc>
          <w:tcPr>
            <w:tcW w:w="1155"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205"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93%</w:t>
            </w:r>
          </w:p>
        </w:tc>
        <w:tc>
          <w:tcPr>
            <w:tcW w:w="805"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0"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9.3</w:t>
            </w:r>
          </w:p>
        </w:tc>
        <w:tc>
          <w:tcPr>
            <w:tcW w:w="1351"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jc w:val="center"/>
              <w:rPr>
                <w:rFonts w:eastAsia="仿宋_GB2312"/>
                <w:color w:val="000000"/>
                <w:kern w:val="0"/>
                <w:szCs w:val="21"/>
              </w:rPr>
            </w:pPr>
          </w:p>
        </w:tc>
        <w:tc>
          <w:tcPr>
            <w:tcW w:w="1212" w:type="dxa"/>
            <w:vMerge w:val="continue"/>
            <w:noWrap w:val="0"/>
            <w:vAlign w:val="center"/>
          </w:tcPr>
          <w:p>
            <w:pPr>
              <w:jc w:val="left"/>
              <w:rPr>
                <w:rFonts w:eastAsia="仿宋_GB2312"/>
                <w:color w:val="000000"/>
                <w:kern w:val="0"/>
                <w:szCs w:val="21"/>
              </w:rPr>
            </w:pPr>
          </w:p>
        </w:tc>
        <w:tc>
          <w:tcPr>
            <w:tcW w:w="1350" w:type="dxa"/>
            <w:noWrap w:val="0"/>
            <w:vAlign w:val="center"/>
          </w:tcPr>
          <w:p>
            <w:pPr>
              <w:widowControl/>
              <w:jc w:val="center"/>
              <w:rPr>
                <w:rFonts w:eastAsia="仿宋_GB2312"/>
                <w:color w:val="000000"/>
                <w:kern w:val="0"/>
                <w:szCs w:val="21"/>
              </w:rPr>
            </w:pPr>
            <w:r>
              <w:rPr>
                <w:rFonts w:eastAsia="仿宋_GB2312"/>
                <w:color w:val="000000"/>
                <w:kern w:val="0"/>
                <w:szCs w:val="21"/>
              </w:rPr>
              <w:t>成本</w:t>
            </w:r>
          </w:p>
          <w:p>
            <w:pPr>
              <w:widowControl/>
              <w:jc w:val="center"/>
              <w:rPr>
                <w:rFonts w:eastAsia="仿宋_GB2312"/>
                <w:color w:val="000000"/>
                <w:kern w:val="0"/>
                <w:szCs w:val="21"/>
              </w:rPr>
            </w:pPr>
            <w:r>
              <w:rPr>
                <w:rFonts w:eastAsia="仿宋_GB2312"/>
                <w:color w:val="000000"/>
                <w:kern w:val="0"/>
                <w:szCs w:val="21"/>
              </w:rPr>
              <w:t>指标</w:t>
            </w:r>
          </w:p>
        </w:tc>
        <w:tc>
          <w:tcPr>
            <w:tcW w:w="1305" w:type="dxa"/>
            <w:gridSpan w:val="2"/>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培训资金使用情况</w:t>
            </w:r>
          </w:p>
        </w:tc>
        <w:tc>
          <w:tcPr>
            <w:tcW w:w="1155" w:type="dxa"/>
            <w:noWrap w:val="0"/>
            <w:vAlign w:val="center"/>
          </w:tcPr>
          <w:p>
            <w:pPr>
              <w:widowControl/>
              <w:jc w:val="center"/>
              <w:rPr>
                <w:rFonts w:hint="default" w:eastAsia="仿宋_GB2312"/>
                <w:color w:val="000000"/>
                <w:kern w:val="0"/>
                <w:szCs w:val="21"/>
                <w:lang w:val="en-US" w:eastAsia="zh-CN"/>
              </w:rPr>
            </w:pPr>
            <w:r>
              <w:rPr>
                <w:rFonts w:hint="default" w:ascii="Arial" w:hAnsi="Arial" w:eastAsia="仿宋_GB2312" w:cs="Arial"/>
                <w:color w:val="000000"/>
                <w:kern w:val="0"/>
                <w:szCs w:val="21"/>
                <w:lang w:val="en-US" w:eastAsia="zh-CN"/>
              </w:rPr>
              <w:t>≤</w:t>
            </w:r>
            <w:r>
              <w:rPr>
                <w:rFonts w:hint="eastAsia" w:eastAsia="仿宋_GB2312"/>
                <w:color w:val="000000"/>
                <w:kern w:val="0"/>
                <w:szCs w:val="21"/>
                <w:lang w:val="en-US" w:eastAsia="zh-CN"/>
              </w:rPr>
              <w:t>1807.61万元</w:t>
            </w:r>
          </w:p>
        </w:tc>
        <w:tc>
          <w:tcPr>
            <w:tcW w:w="1205"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1148.7万元</w:t>
            </w:r>
          </w:p>
        </w:tc>
        <w:tc>
          <w:tcPr>
            <w:tcW w:w="805"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0"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351"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jc w:val="center"/>
              <w:rPr>
                <w:rFonts w:eastAsia="仿宋_GB2312"/>
                <w:color w:val="000000"/>
                <w:kern w:val="0"/>
                <w:szCs w:val="21"/>
              </w:rPr>
            </w:pPr>
          </w:p>
        </w:tc>
        <w:tc>
          <w:tcPr>
            <w:tcW w:w="1212"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效益指标</w:t>
            </w:r>
          </w:p>
          <w:p>
            <w:pPr>
              <w:widowControl/>
              <w:ind w:firstLine="210" w:firstLineChars="100"/>
              <w:jc w:val="left"/>
              <w:rPr>
                <w:rFonts w:eastAsia="仿宋_GB2312"/>
                <w:color w:val="000000"/>
                <w:kern w:val="0"/>
                <w:szCs w:val="21"/>
              </w:rPr>
            </w:pPr>
            <w:r>
              <w:rPr>
                <w:rFonts w:eastAsia="仿宋_GB2312"/>
                <w:color w:val="000000"/>
                <w:kern w:val="0"/>
                <w:szCs w:val="21"/>
              </w:rPr>
              <w:t>（30分）　</w:t>
            </w:r>
          </w:p>
        </w:tc>
        <w:tc>
          <w:tcPr>
            <w:tcW w:w="1350" w:type="dxa"/>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305" w:type="dxa"/>
            <w:gridSpan w:val="2"/>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带动农民增收人数</w:t>
            </w:r>
          </w:p>
        </w:tc>
        <w:tc>
          <w:tcPr>
            <w:tcW w:w="1155" w:type="dxa"/>
            <w:noWrap w:val="0"/>
            <w:vAlign w:val="center"/>
          </w:tcPr>
          <w:p>
            <w:pPr>
              <w:widowControl/>
              <w:jc w:val="center"/>
              <w:rPr>
                <w:rFonts w:hint="eastAsia" w:eastAsia="仿宋_GB2312"/>
                <w:color w:val="000000"/>
                <w:kern w:val="0"/>
                <w:szCs w:val="21"/>
                <w:lang w:val="en-US" w:eastAsia="zh-CN"/>
              </w:rPr>
            </w:pPr>
            <w:r>
              <w:rPr>
                <w:rFonts w:hint="default" w:ascii="Arial" w:hAnsi="Arial" w:eastAsia="仿宋_GB2312" w:cs="Arial"/>
                <w:color w:val="000000"/>
                <w:kern w:val="0"/>
                <w:szCs w:val="21"/>
                <w:lang w:val="en-US" w:eastAsia="zh-CN"/>
              </w:rPr>
              <w:t>≥</w:t>
            </w:r>
            <w:r>
              <w:rPr>
                <w:rFonts w:hint="eastAsia" w:eastAsia="仿宋_GB2312"/>
                <w:color w:val="000000"/>
                <w:kern w:val="0"/>
                <w:szCs w:val="21"/>
                <w:lang w:val="en-US" w:eastAsia="zh-CN"/>
              </w:rPr>
              <w:t>4万</w:t>
            </w:r>
          </w:p>
        </w:tc>
        <w:tc>
          <w:tcPr>
            <w:tcW w:w="1205"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4万</w:t>
            </w:r>
          </w:p>
        </w:tc>
        <w:tc>
          <w:tcPr>
            <w:tcW w:w="805"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0"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351"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jc w:val="center"/>
              <w:rPr>
                <w:rFonts w:eastAsia="仿宋_GB2312"/>
                <w:color w:val="000000"/>
                <w:kern w:val="0"/>
                <w:szCs w:val="21"/>
              </w:rPr>
            </w:pPr>
          </w:p>
        </w:tc>
        <w:tc>
          <w:tcPr>
            <w:tcW w:w="1212" w:type="dxa"/>
            <w:vMerge w:val="continue"/>
            <w:noWrap w:val="0"/>
            <w:vAlign w:val="center"/>
          </w:tcPr>
          <w:p>
            <w:pPr>
              <w:widowControl/>
              <w:ind w:firstLine="210" w:firstLineChars="100"/>
              <w:jc w:val="left"/>
              <w:rPr>
                <w:rFonts w:eastAsia="仿宋_GB2312"/>
                <w:color w:val="000000"/>
                <w:kern w:val="0"/>
                <w:szCs w:val="21"/>
              </w:rPr>
            </w:pPr>
          </w:p>
        </w:tc>
        <w:tc>
          <w:tcPr>
            <w:tcW w:w="1350" w:type="dxa"/>
            <w:shd w:val="clear" w:color="auto" w:fill="auto"/>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ascii="Times New Roman" w:hAnsi="Times New Roman" w:eastAsia="仿宋_GB2312" w:cs="Times New Roman"/>
                <w:color w:val="000000"/>
                <w:kern w:val="0"/>
                <w:sz w:val="21"/>
                <w:szCs w:val="21"/>
                <w:lang w:val="en-US" w:eastAsia="zh-CN" w:bidi="ar-SA"/>
              </w:rPr>
            </w:pPr>
            <w:r>
              <w:rPr>
                <w:rFonts w:eastAsia="仿宋_GB2312"/>
                <w:color w:val="000000"/>
                <w:kern w:val="0"/>
                <w:szCs w:val="21"/>
              </w:rPr>
              <w:t>益指标</w:t>
            </w:r>
          </w:p>
        </w:tc>
        <w:tc>
          <w:tcPr>
            <w:tcW w:w="1305" w:type="dxa"/>
            <w:gridSpan w:val="2"/>
            <w:shd w:val="clear" w:color="auto" w:fill="auto"/>
            <w:noWrap w:val="0"/>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信息公开透明度</w:t>
            </w:r>
          </w:p>
        </w:tc>
        <w:tc>
          <w:tcPr>
            <w:tcW w:w="1155" w:type="dxa"/>
            <w:shd w:val="clear" w:color="auto" w:fill="auto"/>
            <w:noWrap w:val="0"/>
            <w:vAlign w:val="center"/>
          </w:tcPr>
          <w:p>
            <w:pPr>
              <w:widowControl/>
              <w:jc w:val="center"/>
              <w:rPr>
                <w:rFonts w:hint="eastAsia"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=100%</w:t>
            </w:r>
          </w:p>
        </w:tc>
        <w:tc>
          <w:tcPr>
            <w:tcW w:w="1205" w:type="dxa"/>
            <w:shd w:val="clear" w:color="auto" w:fill="auto"/>
            <w:noWrap w:val="0"/>
            <w:vAlign w:val="center"/>
          </w:tcPr>
          <w:p>
            <w:pPr>
              <w:widowControl/>
              <w:jc w:val="center"/>
              <w:rPr>
                <w:rFonts w:hint="eastAsia"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100%</w:t>
            </w:r>
          </w:p>
        </w:tc>
        <w:tc>
          <w:tcPr>
            <w:tcW w:w="805" w:type="dxa"/>
            <w:shd w:val="clear" w:color="auto" w:fill="auto"/>
            <w:noWrap w:val="0"/>
            <w:vAlign w:val="center"/>
          </w:tcPr>
          <w:p>
            <w:pPr>
              <w:widowControl/>
              <w:jc w:val="center"/>
              <w:rPr>
                <w:rFonts w:hint="eastAsia"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w:t>
            </w:r>
          </w:p>
        </w:tc>
        <w:tc>
          <w:tcPr>
            <w:tcW w:w="870" w:type="dxa"/>
            <w:shd w:val="clear" w:color="auto" w:fill="auto"/>
            <w:noWrap w:val="0"/>
            <w:vAlign w:val="center"/>
          </w:tcPr>
          <w:p>
            <w:pPr>
              <w:widowControl/>
              <w:jc w:val="center"/>
              <w:rPr>
                <w:rFonts w:hint="eastAsia"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w:t>
            </w:r>
          </w:p>
        </w:tc>
        <w:tc>
          <w:tcPr>
            <w:tcW w:w="1351" w:type="dxa"/>
            <w:shd w:val="clear" w:color="auto" w:fill="auto"/>
            <w:noWrap w:val="0"/>
            <w:vAlign w:val="center"/>
          </w:tcPr>
          <w:p>
            <w:pPr>
              <w:widowControl/>
              <w:jc w:val="left"/>
              <w:rPr>
                <w:rFonts w:ascii="Times New Roman" w:hAnsi="Times New Roman" w:eastAsia="仿宋_GB2312" w:cs="Times New Roman"/>
                <w:color w:val="000000"/>
                <w:kern w:val="0"/>
                <w:sz w:val="21"/>
                <w:szCs w:val="21"/>
                <w:lang w:val="en-US" w:eastAsia="zh-CN" w:bidi="ar-SA"/>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jc w:val="center"/>
              <w:rPr>
                <w:rFonts w:eastAsia="仿宋_GB2312"/>
                <w:color w:val="000000"/>
                <w:kern w:val="0"/>
                <w:szCs w:val="21"/>
              </w:rPr>
            </w:pPr>
          </w:p>
        </w:tc>
        <w:tc>
          <w:tcPr>
            <w:tcW w:w="1212" w:type="dxa"/>
            <w:vMerge w:val="continue"/>
            <w:noWrap w:val="0"/>
            <w:vAlign w:val="center"/>
          </w:tcPr>
          <w:p>
            <w:pPr>
              <w:jc w:val="left"/>
              <w:rPr>
                <w:rFonts w:eastAsia="仿宋_GB2312"/>
                <w:color w:val="000000"/>
                <w:kern w:val="0"/>
                <w:szCs w:val="21"/>
              </w:rPr>
            </w:pPr>
          </w:p>
        </w:tc>
        <w:tc>
          <w:tcPr>
            <w:tcW w:w="1350" w:type="dxa"/>
            <w:noWrap w:val="0"/>
            <w:vAlign w:val="center"/>
          </w:tcPr>
          <w:p>
            <w:pPr>
              <w:widowControl/>
              <w:spacing w:line="240" w:lineRule="exact"/>
              <w:jc w:val="center"/>
              <w:rPr>
                <w:rFonts w:eastAsia="仿宋_GB2312"/>
                <w:color w:val="000000"/>
                <w:kern w:val="0"/>
                <w:szCs w:val="21"/>
              </w:rPr>
            </w:pPr>
            <w:r>
              <w:rPr>
                <w:rFonts w:hint="default" w:ascii="Times New Roman" w:hAnsi="Times New Roman" w:eastAsia="仿宋_GB2312" w:cs="Times New Roman"/>
                <w:color w:val="000000"/>
                <w:sz w:val="20"/>
                <w:szCs w:val="20"/>
              </w:rPr>
              <w:t>可持续影响指标</w:t>
            </w:r>
          </w:p>
        </w:tc>
        <w:tc>
          <w:tcPr>
            <w:tcW w:w="1305" w:type="dxa"/>
            <w:gridSpan w:val="2"/>
            <w:noWrap w:val="0"/>
            <w:vAlign w:val="top"/>
          </w:tcPr>
          <w:p>
            <w:pPr>
              <w:widowControl/>
              <w:spacing w:line="24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体系能力建设</w:t>
            </w:r>
          </w:p>
        </w:tc>
        <w:tc>
          <w:tcPr>
            <w:tcW w:w="1155" w:type="dxa"/>
            <w:noWrap w:val="0"/>
            <w:vAlign w:val="center"/>
          </w:tcPr>
          <w:p>
            <w:pPr>
              <w:widowControl/>
              <w:spacing w:line="240" w:lineRule="exact"/>
              <w:ind w:firstLine="210" w:firstLineChars="100"/>
              <w:jc w:val="center"/>
              <w:rPr>
                <w:rFonts w:hint="default" w:eastAsia="仿宋_GB2312"/>
                <w:color w:val="000000"/>
                <w:kern w:val="0"/>
                <w:szCs w:val="21"/>
                <w:lang w:val="en-US" w:eastAsia="zh-CN"/>
              </w:rPr>
            </w:pPr>
            <w:r>
              <w:rPr>
                <w:rFonts w:hint="eastAsia" w:eastAsia="仿宋_GB2312"/>
                <w:color w:val="000000"/>
                <w:kern w:val="0"/>
                <w:szCs w:val="21"/>
                <w:lang w:val="en-US" w:eastAsia="zh-CN"/>
              </w:rPr>
              <w:t>有效提升</w:t>
            </w:r>
          </w:p>
        </w:tc>
        <w:tc>
          <w:tcPr>
            <w:tcW w:w="1205" w:type="dxa"/>
            <w:noWrap w:val="0"/>
            <w:vAlign w:val="center"/>
          </w:tcPr>
          <w:p>
            <w:pPr>
              <w:widowControl/>
              <w:spacing w:line="240" w:lineRule="exact"/>
              <w:jc w:val="center"/>
              <w:rPr>
                <w:rFonts w:hint="default" w:eastAsia="仿宋_GB2312"/>
                <w:color w:val="000000"/>
                <w:kern w:val="0"/>
                <w:szCs w:val="21"/>
                <w:lang w:val="en-US" w:eastAsia="zh-CN"/>
              </w:rPr>
            </w:pPr>
            <w:r>
              <w:rPr>
                <w:rFonts w:hint="eastAsia" w:eastAsia="仿宋_GB2312"/>
                <w:color w:val="000000"/>
                <w:kern w:val="0"/>
                <w:szCs w:val="21"/>
                <w:lang w:val="en-US" w:eastAsia="zh-CN"/>
              </w:rPr>
              <w:t>有效提升</w:t>
            </w:r>
          </w:p>
        </w:tc>
        <w:tc>
          <w:tcPr>
            <w:tcW w:w="805" w:type="dxa"/>
            <w:noWrap w:val="0"/>
            <w:vAlign w:val="center"/>
          </w:tcPr>
          <w:p>
            <w:pPr>
              <w:widowControl/>
              <w:spacing w:line="240" w:lineRule="exact"/>
              <w:jc w:val="center"/>
              <w:rPr>
                <w:rFonts w:hint="default" w:eastAsia="仿宋_GB2312"/>
                <w:color w:val="000000"/>
                <w:kern w:val="0"/>
                <w:szCs w:val="21"/>
                <w:lang w:val="en-US" w:eastAsia="zh-CN"/>
              </w:rPr>
            </w:pPr>
            <w:r>
              <w:rPr>
                <w:rFonts w:hint="eastAsia" w:eastAsia="仿宋_GB2312" w:cs="Times New Roman"/>
                <w:color w:val="000000"/>
                <w:sz w:val="20"/>
                <w:szCs w:val="20"/>
                <w:lang w:val="en-US" w:eastAsia="zh-CN"/>
              </w:rPr>
              <w:t>10</w:t>
            </w:r>
          </w:p>
        </w:tc>
        <w:tc>
          <w:tcPr>
            <w:tcW w:w="870" w:type="dxa"/>
            <w:noWrap w:val="0"/>
            <w:vAlign w:val="center"/>
          </w:tcPr>
          <w:p>
            <w:pPr>
              <w:widowControl/>
              <w:spacing w:line="240" w:lineRule="exact"/>
              <w:jc w:val="center"/>
              <w:rPr>
                <w:rFonts w:hint="default" w:eastAsia="仿宋_GB2312"/>
                <w:color w:val="000000"/>
                <w:kern w:val="0"/>
                <w:szCs w:val="21"/>
                <w:lang w:val="en-US" w:eastAsia="zh-CN"/>
              </w:rPr>
            </w:pPr>
            <w:r>
              <w:rPr>
                <w:rFonts w:hint="eastAsia" w:eastAsia="仿宋_GB2312" w:cs="Times New Roman"/>
                <w:color w:val="000000"/>
                <w:sz w:val="20"/>
                <w:szCs w:val="20"/>
                <w:lang w:val="en-US" w:eastAsia="zh-CN"/>
              </w:rPr>
              <w:t>10</w:t>
            </w:r>
          </w:p>
        </w:tc>
        <w:tc>
          <w:tcPr>
            <w:tcW w:w="1351" w:type="dxa"/>
            <w:noWrap w:val="0"/>
            <w:vAlign w:val="center"/>
          </w:tcPr>
          <w:p>
            <w:pPr>
              <w:widowControl/>
              <w:spacing w:line="240" w:lineRule="exact"/>
              <w:jc w:val="left"/>
              <w:rPr>
                <w:rFonts w:eastAsia="仿宋_GB2312"/>
                <w:color w:val="000000"/>
                <w:kern w:val="0"/>
                <w:szCs w:val="21"/>
              </w:rPr>
            </w:pPr>
            <w:r>
              <w:rPr>
                <w:rFonts w:hint="default" w:ascii="Times New Roman" w:hAnsi="Times New Roman" w:eastAsia="仿宋_GB2312" w:cs="Times New Roman"/>
                <w:color w:val="00000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070" w:type="dxa"/>
            <w:vMerge w:val="continue"/>
            <w:noWrap w:val="0"/>
            <w:vAlign w:val="center"/>
          </w:tcPr>
          <w:p>
            <w:pPr>
              <w:jc w:val="left"/>
              <w:rPr>
                <w:rFonts w:eastAsia="仿宋_GB2312"/>
                <w:color w:val="000000"/>
                <w:kern w:val="0"/>
                <w:szCs w:val="21"/>
              </w:rPr>
            </w:pPr>
          </w:p>
        </w:tc>
        <w:tc>
          <w:tcPr>
            <w:tcW w:w="1212" w:type="dxa"/>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350" w:type="dxa"/>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305" w:type="dxa"/>
            <w:gridSpan w:val="2"/>
            <w:noWrap w:val="0"/>
            <w:vAlign w:val="center"/>
          </w:tcPr>
          <w:p>
            <w:pPr>
              <w:widowControl/>
              <w:jc w:val="left"/>
              <w:rPr>
                <w:rFonts w:eastAsia="仿宋_GB2312"/>
                <w:color w:val="000000"/>
                <w:kern w:val="0"/>
                <w:szCs w:val="21"/>
              </w:rPr>
            </w:pPr>
            <w:r>
              <w:rPr>
                <w:rFonts w:hint="eastAsia" w:eastAsia="仿宋_GB2312"/>
                <w:color w:val="000000"/>
                <w:kern w:val="0"/>
                <w:szCs w:val="21"/>
              </w:rPr>
              <w:t>参训人员满意度</w:t>
            </w:r>
          </w:p>
        </w:tc>
        <w:tc>
          <w:tcPr>
            <w:tcW w:w="1155" w:type="dxa"/>
            <w:shd w:val="clear" w:color="auto" w:fill="auto"/>
            <w:noWrap w:val="0"/>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eastAsia="仿宋_GB2312"/>
                <w:color w:val="000000"/>
                <w:kern w:val="0"/>
                <w:szCs w:val="21"/>
              </w:rPr>
              <w:t>　</w:t>
            </w:r>
            <w:r>
              <w:rPr>
                <w:rFonts w:hint="default" w:ascii="Arial" w:hAnsi="Arial" w:eastAsia="仿宋_GB2312" w:cs="Arial"/>
                <w:color w:val="000000"/>
                <w:kern w:val="0"/>
                <w:szCs w:val="21"/>
                <w:lang w:val="en-US" w:eastAsia="zh-CN"/>
              </w:rPr>
              <w:t>≥</w:t>
            </w:r>
            <w:r>
              <w:rPr>
                <w:rFonts w:hint="eastAsia" w:eastAsia="仿宋_GB2312"/>
                <w:color w:val="000000"/>
                <w:kern w:val="0"/>
                <w:szCs w:val="21"/>
                <w:lang w:val="en-US" w:eastAsia="zh-CN"/>
              </w:rPr>
              <w:t>90%</w:t>
            </w:r>
          </w:p>
        </w:tc>
        <w:tc>
          <w:tcPr>
            <w:tcW w:w="1205" w:type="dxa"/>
            <w:shd w:val="clear" w:color="auto" w:fill="auto"/>
            <w:noWrap w:val="0"/>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eastAsia="仿宋_GB2312"/>
                <w:color w:val="000000"/>
                <w:kern w:val="0"/>
                <w:szCs w:val="21"/>
              </w:rPr>
              <w:t>　</w:t>
            </w:r>
            <w:r>
              <w:rPr>
                <w:rFonts w:hint="eastAsia" w:eastAsia="仿宋_GB2312"/>
                <w:color w:val="000000"/>
                <w:kern w:val="0"/>
                <w:szCs w:val="21"/>
                <w:lang w:val="en-US" w:eastAsia="zh-CN"/>
              </w:rPr>
              <w:t>95%</w:t>
            </w:r>
          </w:p>
        </w:tc>
        <w:tc>
          <w:tcPr>
            <w:tcW w:w="805"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w:t>
            </w:r>
          </w:p>
        </w:tc>
        <w:tc>
          <w:tcPr>
            <w:tcW w:w="870"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351"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97" w:type="dxa"/>
            <w:gridSpan w:val="7"/>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805" w:type="dxa"/>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70"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91.1</w:t>
            </w:r>
          </w:p>
        </w:tc>
        <w:tc>
          <w:tcPr>
            <w:tcW w:w="1351"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pStyle w:val="2"/>
        <w:spacing w:before="144" w:beforeLines="25" w:line="500" w:lineRule="exact"/>
        <w:rPr>
          <w:sz w:val="36"/>
          <w:szCs w:val="36"/>
        </w:rPr>
      </w:pPr>
      <w:r>
        <w:rPr>
          <w:sz w:val="36"/>
          <w:szCs w:val="36"/>
        </w:rPr>
        <w:t>项目支出绩效自评表</w:t>
      </w:r>
    </w:p>
    <w:p>
      <w:pPr>
        <w:widowControl/>
        <w:adjustRightInd/>
        <w:snapToGrid/>
        <w:spacing w:line="240" w:lineRule="auto"/>
        <w:ind w:firstLine="0" w:firstLineChars="0"/>
        <w:jc w:val="center"/>
        <w:rPr>
          <w:color w:val="000000"/>
          <w:kern w:val="0"/>
          <w:sz w:val="21"/>
          <w:szCs w:val="21"/>
        </w:rPr>
      </w:pPr>
      <w:r>
        <w:rPr>
          <w:color w:val="000000"/>
          <w:kern w:val="0"/>
          <w:sz w:val="21"/>
          <w:szCs w:val="21"/>
        </w:rPr>
        <w:t>（</w:t>
      </w:r>
      <w:r>
        <w:rPr>
          <w:rFonts w:hint="eastAsia"/>
          <w:color w:val="000000"/>
          <w:kern w:val="0"/>
          <w:sz w:val="21"/>
          <w:szCs w:val="21"/>
          <w:lang w:val="en-US" w:eastAsia="zh-CN"/>
        </w:rPr>
        <w:t>2024</w:t>
      </w:r>
      <w:r>
        <w:rPr>
          <w:color w:val="000000"/>
          <w:kern w:val="0"/>
          <w:sz w:val="21"/>
          <w:szCs w:val="21"/>
        </w:rPr>
        <w:t>年度）</w:t>
      </w:r>
    </w:p>
    <w:tbl>
      <w:tblPr>
        <w:tblStyle w:val="12"/>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项目支</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both"/>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业务工作经费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主管部门</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ascii="Times New Roman" w:hAnsi="Times New Roman" w:eastAsia="仿宋_GB2312" w:cs="Times New Roman"/>
                <w:color w:val="000000"/>
                <w:kern w:val="0"/>
                <w:sz w:val="21"/>
                <w:szCs w:val="21"/>
              </w:rPr>
              <w:t>　</w:t>
            </w:r>
            <w:r>
              <w:rPr>
                <w:rFonts w:hint="eastAsia" w:ascii="Times New Roman" w:hAnsi="Times New Roman" w:eastAsia="仿宋_GB2312" w:cs="Times New Roman"/>
                <w:color w:val="000000"/>
                <w:kern w:val="0"/>
                <w:sz w:val="21"/>
                <w:szCs w:val="21"/>
                <w:lang w:val="en-US" w:eastAsia="zh-CN"/>
              </w:rPr>
              <w:t>湖南省农业农村厅</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实施单位</w:t>
            </w:r>
          </w:p>
        </w:tc>
        <w:tc>
          <w:tcPr>
            <w:tcW w:w="3119" w:type="dxa"/>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湖南省农民科技教育培训中心</w:t>
            </w: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项目资金</w:t>
            </w:r>
            <w:r>
              <w:rPr>
                <w:rFonts w:ascii="Times New Roman" w:hAnsi="Times New Roman" w:eastAsia="仿宋_GB2312" w:cs="Times New Roman"/>
                <w:color w:val="000000"/>
                <w:kern w:val="0"/>
                <w:sz w:val="21"/>
                <w:szCs w:val="21"/>
              </w:rPr>
              <w:br w:type="textWrapping"/>
            </w:r>
            <w:r>
              <w:rPr>
                <w:rFonts w:ascii="Times New Roman" w:hAnsi="Times New Roman" w:eastAsia="仿宋_GB2312" w:cs="Times New Roman"/>
                <w:color w:val="000000"/>
                <w:kern w:val="0"/>
                <w:sz w:val="21"/>
                <w:szCs w:val="21"/>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年初</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预算数</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全年</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全年</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年度资金总额　</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rPr>
            </w:pPr>
            <w:r>
              <w:rPr>
                <w:rFonts w:hint="eastAsia" w:eastAsia="仿宋_GB2312" w:cs="Times New Roman"/>
                <w:color w:val="000000"/>
                <w:kern w:val="0"/>
                <w:sz w:val="21"/>
                <w:szCs w:val="21"/>
                <w:lang w:val="en-US" w:eastAsia="zh-CN"/>
              </w:rPr>
              <w:t>195.27</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eastAsia="仿宋_GB2312" w:cs="Times New Roman"/>
                <w:color w:val="000000"/>
                <w:kern w:val="0"/>
                <w:sz w:val="21"/>
                <w:szCs w:val="21"/>
                <w:lang w:val="en-US" w:eastAsia="zh-CN"/>
              </w:rPr>
              <w:t>195.27</w:t>
            </w:r>
            <w:r>
              <w:rPr>
                <w:rFonts w:ascii="Times New Roman" w:hAnsi="Times New Roman" w:eastAsia="仿宋_GB2312" w:cs="Times New Roman"/>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rPr>
            </w:pPr>
            <w:r>
              <w:rPr>
                <w:rFonts w:hint="eastAsia" w:eastAsia="仿宋_GB2312" w:cs="Times New Roman"/>
                <w:color w:val="000000"/>
                <w:kern w:val="0"/>
                <w:sz w:val="21"/>
                <w:szCs w:val="21"/>
                <w:lang w:val="en-US" w:eastAsia="zh-CN"/>
              </w:rPr>
              <w:t>42.06</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eastAsia="仿宋_GB2312" w:cs="Times New Roman"/>
                <w:color w:val="000000"/>
                <w:kern w:val="0"/>
                <w:sz w:val="21"/>
                <w:szCs w:val="21"/>
                <w:lang w:val="en-US" w:eastAsia="zh-CN"/>
              </w:rPr>
              <w:t>21.54</w:t>
            </w:r>
            <w:r>
              <w:rPr>
                <w:rFonts w:hint="eastAsia" w:ascii="Times New Roman" w:hAnsi="Times New Roman" w:eastAsia="仿宋_GB2312" w:cs="Times New Roman"/>
                <w:color w:val="000000"/>
                <w:kern w:val="0"/>
                <w:sz w:val="21"/>
                <w:szCs w:val="21"/>
                <w:lang w:val="en-US" w:eastAsia="zh-CN"/>
              </w:rPr>
              <w:t>%</w:t>
            </w: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rPr>
            </w:pPr>
            <w:r>
              <w:rPr>
                <w:rFonts w:hint="eastAsia" w:eastAsia="仿宋_GB2312" w:cs="Times New Roman"/>
                <w:color w:val="000000"/>
                <w:kern w:val="0"/>
                <w:sz w:val="21"/>
                <w:szCs w:val="21"/>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其中：当年财政拨款　</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195.27</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195.27</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上年结转资金　</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其他资金</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rPr>
              <w:t>举办</w:t>
            </w:r>
            <w:r>
              <w:rPr>
                <w:rFonts w:hint="eastAsia" w:eastAsia="仿宋_GB2312" w:cs="Times New Roman"/>
                <w:color w:val="000000"/>
                <w:kern w:val="0"/>
                <w:sz w:val="21"/>
                <w:szCs w:val="21"/>
                <w:lang w:val="en-US" w:eastAsia="zh-CN"/>
              </w:rPr>
              <w:t>5期巩固脱贫攻坚成果</w:t>
            </w:r>
            <w:r>
              <w:rPr>
                <w:rFonts w:hint="eastAsia" w:ascii="Times New Roman" w:hAnsi="Times New Roman" w:eastAsia="仿宋_GB2312" w:cs="Times New Roman"/>
                <w:color w:val="000000"/>
                <w:kern w:val="0"/>
                <w:sz w:val="21"/>
                <w:szCs w:val="21"/>
              </w:rPr>
              <w:t>培训班，培训</w:t>
            </w:r>
            <w:r>
              <w:rPr>
                <w:rFonts w:hint="eastAsia" w:eastAsia="仿宋_GB2312" w:cs="Times New Roman"/>
                <w:color w:val="000000"/>
                <w:kern w:val="0"/>
                <w:sz w:val="21"/>
                <w:szCs w:val="21"/>
                <w:lang w:val="en-US" w:eastAsia="zh-CN"/>
              </w:rPr>
              <w:t>2000</w:t>
            </w:r>
            <w:r>
              <w:rPr>
                <w:rFonts w:hint="eastAsia" w:ascii="Times New Roman" w:hAnsi="Times New Roman" w:eastAsia="仿宋_GB2312" w:cs="Times New Roman"/>
                <w:color w:val="000000"/>
                <w:kern w:val="0"/>
                <w:sz w:val="21"/>
                <w:szCs w:val="21"/>
              </w:rPr>
              <w:t>名</w:t>
            </w:r>
            <w:r>
              <w:rPr>
                <w:rFonts w:hint="eastAsia" w:eastAsia="仿宋_GB2312" w:cs="Times New Roman"/>
                <w:color w:val="000000"/>
                <w:kern w:val="0"/>
                <w:sz w:val="21"/>
                <w:szCs w:val="21"/>
                <w:lang w:val="en-US" w:eastAsia="zh-CN"/>
              </w:rPr>
              <w:t>学员，为乡村振兴助力。</w:t>
            </w:r>
            <w:r>
              <w:rPr>
                <w:rFonts w:ascii="Times New Roman" w:hAnsi="Times New Roman" w:eastAsia="仿宋_GB2312" w:cs="Times New Roman"/>
                <w:color w:val="000000"/>
                <w:kern w:val="0"/>
                <w:sz w:val="21"/>
                <w:szCs w:val="21"/>
              </w:rPr>
              <w:t>　　</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eastAsia="仿宋_GB2312" w:cs="Times New Roman"/>
                <w:color w:val="000000"/>
                <w:kern w:val="0"/>
                <w:sz w:val="21"/>
                <w:szCs w:val="21"/>
                <w:lang w:val="en-US" w:eastAsia="zh-CN"/>
              </w:rPr>
              <w:t>举办了5期田间实用技术培训班，培训280人，有效推广普及了一批先进实用技术，培养了一批具有示范带动作用的技术人才；举办1期篮球指导员培训班，培训了46名篮球指导员；举办近年来首次全省农民教育培训提质暨基层农广校校长能力提升班，培训123人。</w:t>
            </w: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绩</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效</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指</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二级指标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三级指标</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年度</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实际</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偏差原因</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分析及</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产出指标</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(50分)</w:t>
            </w:r>
          </w:p>
        </w:tc>
        <w:tc>
          <w:tcPr>
            <w:tcW w:w="1080" w:type="dxa"/>
            <w:vMerge w:val="restart"/>
            <w:tcBorders>
              <w:top w:val="nil"/>
              <w:left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数量指标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培训</w:t>
            </w:r>
            <w:r>
              <w:rPr>
                <w:rFonts w:hint="eastAsia" w:eastAsia="仿宋_GB2312" w:cs="Times New Roman"/>
                <w:color w:val="000000"/>
                <w:kern w:val="0"/>
                <w:sz w:val="21"/>
                <w:szCs w:val="21"/>
                <w:lang w:val="en-US" w:eastAsia="zh-CN"/>
              </w:rPr>
              <w:t>期</w:t>
            </w:r>
            <w:r>
              <w:rPr>
                <w:rFonts w:hint="eastAsia" w:ascii="Times New Roman" w:hAnsi="Times New Roman" w:eastAsia="仿宋_GB2312" w:cs="Times New Roman"/>
                <w:color w:val="000000"/>
                <w:kern w:val="0"/>
                <w:sz w:val="21"/>
                <w:szCs w:val="21"/>
                <w:lang w:val="en-US" w:eastAsia="zh-CN"/>
              </w:rPr>
              <w:t>数</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both"/>
              <w:textAlignment w:val="center"/>
              <w:rPr>
                <w:rFonts w:hint="default" w:ascii="Times New Roman" w:hAnsi="Times New Roman" w:eastAsia="仿宋_GB2312" w:cs="Times New Roman"/>
                <w:color w:val="000000"/>
                <w:kern w:val="0"/>
                <w:sz w:val="21"/>
                <w:szCs w:val="21"/>
                <w:lang w:val="en-US"/>
              </w:rPr>
            </w:pPr>
            <w:r>
              <w:rPr>
                <w:rFonts w:hint="eastAsia" w:ascii="Times New Roman" w:hAnsi="Times New Roman" w:eastAsia="仿宋_GB2312" w:cs="Times New Roman"/>
                <w:color w:val="000000"/>
                <w:kern w:val="0"/>
                <w:sz w:val="21"/>
                <w:szCs w:val="21"/>
                <w:lang w:val="en-US" w:eastAsia="zh-CN"/>
              </w:rPr>
              <w:t xml:space="preserve"> </w:t>
            </w:r>
            <w:r>
              <w:rPr>
                <w:rFonts w:hint="default" w:ascii="Arial" w:hAnsi="Arial" w:eastAsia="仿宋_GB2312" w:cs="Arial"/>
                <w:color w:val="000000"/>
                <w:kern w:val="0"/>
                <w:szCs w:val="21"/>
                <w:lang w:val="en-US" w:eastAsia="zh-CN"/>
              </w:rPr>
              <w:t>≥</w:t>
            </w:r>
            <w:r>
              <w:rPr>
                <w:rFonts w:hint="eastAsia" w:ascii="Arial" w:hAnsi="Arial" w:eastAsia="仿宋_GB2312" w:cs="Arial"/>
                <w:color w:val="000000"/>
                <w:kern w:val="0"/>
                <w:szCs w:val="21"/>
                <w:lang w:val="en-US" w:eastAsia="zh-CN"/>
              </w:rPr>
              <w:t>5期</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7期</w:t>
            </w:r>
            <w:r>
              <w:rPr>
                <w:rFonts w:ascii="Times New Roman" w:hAnsi="Times New Roman" w:eastAsia="仿宋_GB2312" w:cs="Times New Roman"/>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both"/>
              <w:textAlignment w:val="center"/>
              <w:rPr>
                <w:rFonts w:hint="default" w:ascii="Times New Roman" w:hAnsi="Times New Roman" w:eastAsia="仿宋_GB2312" w:cs="Times New Roman"/>
                <w:color w:val="000000"/>
                <w:kern w:val="0"/>
                <w:sz w:val="21"/>
                <w:szCs w:val="21"/>
                <w:lang w:val="en-US" w:eastAsia="zh-CN"/>
              </w:rPr>
            </w:pPr>
            <w:r>
              <w:rPr>
                <w:rFonts w:ascii="Times New Roman" w:hAnsi="Times New Roman" w:eastAsia="仿宋_GB2312" w:cs="Times New Roman"/>
                <w:color w:val="000000"/>
                <w:kern w:val="0"/>
                <w:sz w:val="21"/>
                <w:szCs w:val="21"/>
              </w:rPr>
              <w:t>　</w:t>
            </w:r>
            <w:r>
              <w:rPr>
                <w:rFonts w:hint="eastAsia"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continue"/>
            <w:tcBorders>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napToGrid w:val="0"/>
              <w:spacing w:line="280" w:lineRule="exact"/>
              <w:ind w:firstLine="0" w:firstLineChars="0"/>
              <w:jc w:val="center"/>
              <w:textAlignment w:val="center"/>
              <w:rPr>
                <w:rFonts w:hint="eastAsia" w:ascii="Times New Roman" w:hAnsi="Times New Roman" w:eastAsia="仿宋_GB2312" w:cs="Times New Roman"/>
                <w:color w:val="000000"/>
                <w:kern w:val="0"/>
                <w:sz w:val="21"/>
                <w:szCs w:val="21"/>
                <w:lang w:val="en-US" w:eastAsia="zh-CN" w:bidi="ar-SA"/>
              </w:rPr>
            </w:pPr>
            <w:r>
              <w:rPr>
                <w:rFonts w:hint="eastAsia" w:ascii="Times New Roman" w:hAnsi="Times New Roman" w:eastAsia="仿宋_GB2312" w:cs="Times New Roman"/>
                <w:color w:val="000000"/>
                <w:kern w:val="0"/>
                <w:sz w:val="21"/>
                <w:szCs w:val="21"/>
                <w:lang w:val="en-US" w:eastAsia="zh-CN"/>
              </w:rPr>
              <w:t>培训人数</w:t>
            </w:r>
          </w:p>
        </w:tc>
        <w:tc>
          <w:tcPr>
            <w:tcW w:w="120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napToGrid w:val="0"/>
              <w:spacing w:line="280" w:lineRule="exact"/>
              <w:ind w:firstLine="0" w:firstLineChars="0"/>
              <w:jc w:val="both"/>
              <w:textAlignment w:val="center"/>
              <w:rPr>
                <w:rFonts w:hint="eastAsia" w:ascii="Times New Roman" w:hAnsi="Times New Roman" w:eastAsia="仿宋_GB2312" w:cs="Times New Roman"/>
                <w:color w:val="000000"/>
                <w:kern w:val="0"/>
                <w:sz w:val="21"/>
                <w:szCs w:val="21"/>
                <w:lang w:val="en-US" w:eastAsia="zh-CN" w:bidi="ar-SA"/>
              </w:rPr>
            </w:pPr>
            <w:r>
              <w:rPr>
                <w:rFonts w:hint="eastAsia" w:ascii="Times New Roman" w:hAnsi="Times New Roman" w:eastAsia="仿宋_GB2312" w:cs="Times New Roman"/>
                <w:color w:val="000000"/>
                <w:kern w:val="0"/>
                <w:sz w:val="21"/>
                <w:szCs w:val="21"/>
                <w:lang w:val="en-US" w:eastAsia="zh-CN"/>
              </w:rPr>
              <w:t xml:space="preserve"> </w:t>
            </w:r>
            <w:r>
              <w:rPr>
                <w:rFonts w:hint="default" w:ascii="Arial" w:hAnsi="Arial" w:eastAsia="仿宋_GB2312" w:cs="Arial"/>
                <w:color w:val="000000"/>
                <w:kern w:val="0"/>
                <w:szCs w:val="21"/>
                <w:lang w:val="en-US" w:eastAsia="zh-CN"/>
              </w:rPr>
              <w:t>≥</w:t>
            </w:r>
            <w:r>
              <w:rPr>
                <w:rFonts w:hint="eastAsia" w:eastAsia="仿宋_GB2312" w:cs="Times New Roman"/>
                <w:color w:val="000000"/>
                <w:kern w:val="0"/>
                <w:sz w:val="21"/>
                <w:szCs w:val="21"/>
                <w:lang w:val="en-US" w:eastAsia="zh-CN"/>
              </w:rPr>
              <w:t>2000人</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napToGrid w:val="0"/>
              <w:spacing w:line="280" w:lineRule="exact"/>
              <w:ind w:firstLine="0" w:firstLineChars="0"/>
              <w:jc w:val="center"/>
              <w:textAlignment w:val="center"/>
              <w:rPr>
                <w:rFonts w:hint="eastAsia"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 w:val="21"/>
                <w:szCs w:val="21"/>
                <w:lang w:val="en-US" w:eastAsia="zh-CN"/>
              </w:rPr>
              <w:t>449人</w:t>
            </w:r>
            <w:r>
              <w:rPr>
                <w:rFonts w:ascii="Times New Roman" w:hAnsi="Times New Roman" w:eastAsia="仿宋_GB2312" w:cs="Times New Roman"/>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napToGrid w:val="0"/>
              <w:spacing w:line="280" w:lineRule="exact"/>
              <w:ind w:firstLine="0" w:firstLineChars="0"/>
              <w:jc w:val="both"/>
              <w:textAlignment w:val="center"/>
              <w:rPr>
                <w:rFonts w:hint="default"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 w:val="21"/>
                <w:szCs w:val="21"/>
                <w:lang w:val="en-US" w:eastAsia="zh-CN" w:bidi="ar-SA"/>
              </w:rPr>
              <w:t>2.2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eastAsia"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机构合并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质量指标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培训合格率</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kern w:val="0"/>
                <w:sz w:val="21"/>
                <w:szCs w:val="21"/>
              </w:rPr>
            </w:pPr>
            <w:r>
              <w:rPr>
                <w:rFonts w:hint="default" w:ascii="Arial" w:hAnsi="Arial" w:eastAsia="仿宋_GB2312" w:cs="Arial"/>
                <w:color w:val="000000"/>
                <w:kern w:val="0"/>
                <w:szCs w:val="21"/>
                <w:lang w:val="en-US" w:eastAsia="zh-CN"/>
              </w:rPr>
              <w:t>≥</w:t>
            </w:r>
            <w:r>
              <w:rPr>
                <w:rFonts w:hint="eastAsia" w:eastAsia="仿宋_GB2312"/>
                <w:color w:val="000000"/>
                <w:kern w:val="0"/>
                <w:szCs w:val="21"/>
                <w:lang w:val="en-US" w:eastAsia="zh-CN"/>
              </w:rPr>
              <w:t>95%</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kern w:val="0"/>
                <w:sz w:val="21"/>
                <w:szCs w:val="21"/>
              </w:rPr>
            </w:pPr>
            <w:r>
              <w:rPr>
                <w:rFonts w:hint="eastAsia" w:eastAsia="仿宋_GB2312"/>
                <w:color w:val="000000"/>
                <w:kern w:val="0"/>
                <w:szCs w:val="21"/>
                <w:lang w:val="en-US" w:eastAsia="zh-CN"/>
              </w:rPr>
              <w:t>95%</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both"/>
              <w:textAlignment w:val="center"/>
              <w:rPr>
                <w:rFonts w:hint="default" w:ascii="Times New Roman" w:hAnsi="Times New Roman" w:eastAsia="仿宋_GB2312" w:cs="Times New Roman"/>
                <w:color w:val="000000"/>
                <w:kern w:val="0"/>
                <w:sz w:val="21"/>
                <w:szCs w:val="21"/>
                <w:lang w:val="en-US" w:eastAsia="zh-CN"/>
              </w:rPr>
            </w:pPr>
            <w:r>
              <w:rPr>
                <w:rFonts w:ascii="Times New Roman" w:hAnsi="Times New Roman" w:eastAsia="仿宋_GB2312" w:cs="Times New Roman"/>
                <w:color w:val="000000"/>
                <w:kern w:val="0"/>
                <w:sz w:val="21"/>
                <w:szCs w:val="21"/>
              </w:rPr>
              <w:t>　</w:t>
            </w:r>
            <w:r>
              <w:rPr>
                <w:rFonts w:hint="eastAsia" w:ascii="Times New Roman" w:hAnsi="Times New Roman"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时效指标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培训计划按时完成率</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ascii="Times New Roman" w:hAnsi="Times New Roman" w:eastAsia="仿宋_GB2312" w:cs="Times New Roman"/>
                <w:color w:val="000000"/>
                <w:kern w:val="0"/>
                <w:sz w:val="21"/>
                <w:szCs w:val="21"/>
              </w:rPr>
              <w:t>　</w:t>
            </w:r>
            <w:r>
              <w:rPr>
                <w:rFonts w:hint="eastAsia" w:eastAsia="仿宋_GB2312" w:cs="Times New Roman"/>
                <w:color w:val="000000"/>
                <w:kern w:val="0"/>
                <w:sz w:val="21"/>
                <w:szCs w:val="21"/>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eastAsia="仿宋_GB2312" w:cs="Times New Roman"/>
                <w:color w:val="000000"/>
                <w:kern w:val="0"/>
                <w:sz w:val="21"/>
                <w:szCs w:val="21"/>
                <w:lang w:val="en-US" w:eastAsia="zh-CN"/>
              </w:rPr>
              <w:t>22%</w:t>
            </w:r>
            <w:r>
              <w:rPr>
                <w:rFonts w:ascii="Times New Roman" w:hAnsi="Times New Roman" w:eastAsia="仿宋_GB2312" w:cs="Times New Roman"/>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both"/>
              <w:textAlignment w:val="center"/>
              <w:rPr>
                <w:rFonts w:hint="default" w:ascii="Times New Roman" w:hAnsi="Times New Roman" w:eastAsia="仿宋_GB2312" w:cs="Times New Roman"/>
                <w:color w:val="000000"/>
                <w:kern w:val="0"/>
                <w:sz w:val="21"/>
                <w:szCs w:val="21"/>
                <w:lang w:val="en-US" w:eastAsia="zh-CN"/>
              </w:rPr>
            </w:pPr>
            <w:r>
              <w:rPr>
                <w:rFonts w:ascii="Times New Roman" w:hAnsi="Times New Roman" w:eastAsia="仿宋_GB2312" w:cs="Times New Roman"/>
                <w:color w:val="000000"/>
                <w:kern w:val="0"/>
                <w:sz w:val="21"/>
                <w:szCs w:val="21"/>
              </w:rPr>
              <w:t>　</w:t>
            </w:r>
            <w:r>
              <w:rPr>
                <w:rFonts w:hint="eastAsia" w:ascii="Times New Roman" w:hAnsi="Times New Roman"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2.2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成本指标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培训支出</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default" w:ascii="Arial" w:hAnsi="Arial" w:eastAsia="仿宋_GB2312" w:cs="Arial"/>
                <w:color w:val="000000"/>
                <w:kern w:val="0"/>
                <w:sz w:val="21"/>
                <w:szCs w:val="21"/>
                <w:lang w:val="en-US" w:eastAsia="zh-CN"/>
              </w:rPr>
              <w:t>≤</w:t>
            </w:r>
            <w:r>
              <w:rPr>
                <w:rFonts w:hint="eastAsia" w:eastAsia="仿宋_GB2312" w:cs="Times New Roman"/>
                <w:color w:val="000000"/>
                <w:kern w:val="0"/>
                <w:sz w:val="21"/>
                <w:szCs w:val="21"/>
                <w:lang w:val="en-US" w:eastAsia="zh-CN"/>
              </w:rPr>
              <w:t>195.27万元</w:t>
            </w:r>
            <w:r>
              <w:rPr>
                <w:rFonts w:ascii="Times New Roman" w:hAnsi="Times New Roman" w:eastAsia="仿宋_GB2312" w:cs="Times New Roman"/>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eastAsia="仿宋_GB2312" w:cs="Times New Roman"/>
                <w:color w:val="000000"/>
                <w:kern w:val="0"/>
                <w:sz w:val="21"/>
                <w:szCs w:val="21"/>
                <w:lang w:val="en-US" w:eastAsia="zh-CN"/>
              </w:rPr>
              <w:t>42.06万元</w:t>
            </w:r>
            <w:r>
              <w:rPr>
                <w:rFonts w:ascii="Times New Roman" w:hAnsi="Times New Roman" w:eastAsia="仿宋_GB2312" w:cs="Times New Roman"/>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both"/>
              <w:textAlignment w:val="center"/>
              <w:rPr>
                <w:rFonts w:hint="default" w:ascii="Times New Roman" w:hAnsi="Times New Roman" w:eastAsia="仿宋_GB2312" w:cs="Times New Roman"/>
                <w:color w:val="000000"/>
                <w:kern w:val="0"/>
                <w:sz w:val="21"/>
                <w:szCs w:val="21"/>
                <w:lang w:val="en-US" w:eastAsia="zh-CN"/>
              </w:rPr>
            </w:pPr>
            <w:r>
              <w:rPr>
                <w:rFonts w:ascii="Times New Roman" w:hAnsi="Times New Roman" w:eastAsia="仿宋_GB2312" w:cs="Times New Roman"/>
                <w:color w:val="000000"/>
                <w:kern w:val="0"/>
                <w:sz w:val="21"/>
                <w:szCs w:val="21"/>
              </w:rPr>
              <w:t>　</w:t>
            </w:r>
            <w:r>
              <w:rPr>
                <w:rFonts w:hint="eastAsia" w:ascii="Times New Roman" w:hAnsi="Times New Roman"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eastAsia="仿宋_GB2312" w:cs="Times New Roman"/>
                <w:color w:val="000000"/>
                <w:kern w:val="0"/>
                <w:sz w:val="21"/>
                <w:szCs w:val="21"/>
                <w:lang w:val="en-US" w:eastAsia="zh-CN"/>
              </w:rPr>
              <w:t>10</w:t>
            </w: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效益指标</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（30分）</w:t>
            </w: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经济效</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益指标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社会效</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益指标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体系业务能力</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rPr>
            </w:pPr>
            <w:r>
              <w:rPr>
                <w:rFonts w:hint="eastAsia" w:eastAsia="仿宋_GB2312" w:cs="Times New Roman"/>
                <w:color w:val="000000"/>
                <w:kern w:val="0"/>
                <w:sz w:val="21"/>
                <w:szCs w:val="21"/>
                <w:lang w:val="en-US" w:eastAsia="zh-CN"/>
              </w:rPr>
              <w:t>有效提升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eastAsia="仿宋_GB2312" w:cs="Times New Roman"/>
                <w:color w:val="000000"/>
                <w:kern w:val="0"/>
                <w:sz w:val="21"/>
                <w:szCs w:val="21"/>
                <w:lang w:val="en-US" w:eastAsia="zh-CN"/>
              </w:rPr>
              <w:t>有效提升</w:t>
            </w:r>
            <w:r>
              <w:rPr>
                <w:rFonts w:ascii="Times New Roman" w:hAnsi="Times New Roman" w:eastAsia="仿宋_GB2312" w:cs="Times New Roman"/>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30</w:t>
            </w:r>
            <w:r>
              <w:rPr>
                <w:rFonts w:ascii="Times New Roman" w:hAnsi="Times New Roman" w:eastAsia="仿宋_GB2312" w:cs="Times New Roman"/>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30</w:t>
            </w: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生态效</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益指标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可持续影响指标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满意度</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指标</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（10分）</w:t>
            </w: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服务对象满意度指标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参训人员满意度</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kern w:val="0"/>
                <w:sz w:val="21"/>
                <w:szCs w:val="21"/>
              </w:rPr>
            </w:pPr>
            <w:r>
              <w:rPr>
                <w:rFonts w:eastAsia="仿宋_GB2312"/>
                <w:color w:val="000000"/>
                <w:kern w:val="0"/>
                <w:szCs w:val="21"/>
              </w:rPr>
              <w:t>　</w:t>
            </w:r>
            <w:r>
              <w:rPr>
                <w:rFonts w:hint="default" w:ascii="Arial" w:hAnsi="Arial" w:eastAsia="仿宋_GB2312" w:cs="Arial"/>
                <w:color w:val="000000"/>
                <w:kern w:val="0"/>
                <w:szCs w:val="21"/>
                <w:lang w:val="en-US" w:eastAsia="zh-CN"/>
              </w:rPr>
              <w:t>≥</w:t>
            </w:r>
            <w:r>
              <w:rPr>
                <w:rFonts w:hint="eastAsia" w:eastAsia="仿宋_GB2312"/>
                <w:color w:val="000000"/>
                <w:kern w:val="0"/>
                <w:szCs w:val="21"/>
                <w:lang w:val="en-US" w:eastAsia="zh-CN"/>
              </w:rPr>
              <w:t>90%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kern w:val="0"/>
                <w:sz w:val="21"/>
                <w:szCs w:val="21"/>
              </w:rPr>
            </w:pPr>
            <w:r>
              <w:rPr>
                <w:rFonts w:eastAsia="仿宋_GB2312"/>
                <w:color w:val="000000"/>
                <w:kern w:val="0"/>
                <w:szCs w:val="21"/>
              </w:rPr>
              <w:t>　</w:t>
            </w:r>
            <w:r>
              <w:rPr>
                <w:rFonts w:hint="eastAsia" w:eastAsia="仿宋_GB2312"/>
                <w:color w:val="000000"/>
                <w:kern w:val="0"/>
                <w:szCs w:val="21"/>
                <w:lang w:val="en-US" w:eastAsia="zh-CN"/>
              </w:rPr>
              <w:t>95%</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ascii="Times New Roman" w:hAnsi="Times New Roman" w:eastAsia="仿宋_GB2312" w:cs="Times New Roman"/>
                <w:color w:val="000000"/>
                <w:kern w:val="0"/>
                <w:sz w:val="21"/>
                <w:szCs w:val="21"/>
              </w:rPr>
              <w:t>　</w:t>
            </w:r>
            <w:r>
              <w:rPr>
                <w:rFonts w:hint="eastAsia" w:ascii="Times New Roman" w:hAnsi="Times New Roman"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10</w:t>
            </w: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eastAsia="仿宋_GB2312" w:cs="Times New Roman"/>
                <w:color w:val="000000"/>
                <w:kern w:val="0"/>
                <w:sz w:val="21"/>
                <w:szCs w:val="21"/>
                <w:lang w:val="en-US" w:eastAsia="zh-CN"/>
              </w:rPr>
              <w:t>76.6</w:t>
            </w: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eastAsia="仿宋_GB2312" w:cs="Times New Roman"/>
                <w:color w:val="000000"/>
                <w:kern w:val="0"/>
                <w:sz w:val="21"/>
                <w:szCs w:val="21"/>
                <w:lang w:val="en-US" w:eastAsia="zh-CN"/>
              </w:rPr>
              <w:t>机构合并</w:t>
            </w:r>
            <w:r>
              <w:rPr>
                <w:rFonts w:ascii="Times New Roman" w:hAnsi="Times New Roman" w:eastAsia="仿宋_GB2312" w:cs="Times New Roman"/>
                <w:color w:val="000000"/>
                <w:kern w:val="0"/>
                <w:sz w:val="21"/>
                <w:szCs w:val="21"/>
              </w:rPr>
              <w:t>　</w:t>
            </w:r>
          </w:p>
        </w:tc>
      </w:tr>
    </w:tbl>
    <w:p>
      <w:pPr>
        <w:widowControl w:val="0"/>
        <w:adjustRightInd w:val="0"/>
        <w:snapToGrid w:val="0"/>
        <w:spacing w:before="144" w:beforeLines="25" w:line="500" w:lineRule="exact"/>
        <w:ind w:firstLine="0" w:firstLineChars="0"/>
        <w:jc w:val="center"/>
        <w:outlineLvl w:val="0"/>
        <w:rPr>
          <w:rFonts w:ascii="Times New Roman" w:hAnsi="Times New Roman" w:eastAsia="方正小标宋简体" w:cs="Times New Roman"/>
          <w:bCs/>
          <w:kern w:val="44"/>
          <w:sz w:val="36"/>
          <w:szCs w:val="36"/>
          <w:lang w:val="en-US" w:eastAsia="zh-CN" w:bidi="ar-SA"/>
        </w:rPr>
      </w:pPr>
    </w:p>
    <w:p>
      <w:pPr>
        <w:widowControl w:val="0"/>
        <w:adjustRightInd w:val="0"/>
        <w:snapToGrid w:val="0"/>
        <w:spacing w:before="144" w:beforeLines="25" w:line="500" w:lineRule="exact"/>
        <w:ind w:firstLine="0" w:firstLineChars="0"/>
        <w:jc w:val="center"/>
        <w:outlineLvl w:val="0"/>
        <w:rPr>
          <w:rFonts w:ascii="Times New Roman" w:hAnsi="Times New Roman" w:eastAsia="方正小标宋简体" w:cs="Times New Roman"/>
          <w:bCs/>
          <w:kern w:val="44"/>
          <w:sz w:val="36"/>
          <w:szCs w:val="36"/>
          <w:lang w:val="en-US" w:eastAsia="zh-CN" w:bidi="ar-SA"/>
        </w:rPr>
      </w:pPr>
    </w:p>
    <w:p>
      <w:pPr>
        <w:widowControl w:val="0"/>
        <w:adjustRightInd w:val="0"/>
        <w:snapToGrid w:val="0"/>
        <w:spacing w:before="144" w:beforeLines="25" w:line="500" w:lineRule="exact"/>
        <w:ind w:firstLine="0" w:firstLineChars="0"/>
        <w:jc w:val="center"/>
        <w:outlineLvl w:val="0"/>
        <w:rPr>
          <w:rFonts w:ascii="Times New Roman" w:hAnsi="Times New Roman" w:eastAsia="方正小标宋简体" w:cs="Times New Roman"/>
          <w:bCs/>
          <w:kern w:val="44"/>
          <w:sz w:val="36"/>
          <w:szCs w:val="36"/>
          <w:lang w:val="en-US" w:eastAsia="zh-CN" w:bidi="ar-SA"/>
        </w:rPr>
      </w:pPr>
      <w:r>
        <w:rPr>
          <w:rFonts w:ascii="Times New Roman" w:hAnsi="Times New Roman" w:eastAsia="方正小标宋简体" w:cs="Times New Roman"/>
          <w:bCs/>
          <w:kern w:val="44"/>
          <w:sz w:val="36"/>
          <w:szCs w:val="36"/>
          <w:lang w:val="en-US" w:eastAsia="zh-CN" w:bidi="ar-SA"/>
        </w:rPr>
        <w:t>项目支出绩效自评表</w:t>
      </w:r>
    </w:p>
    <w:p>
      <w:pPr>
        <w:widowControl/>
        <w:adjustRightInd/>
        <w:snapToGrid/>
        <w:spacing w:line="240" w:lineRule="auto"/>
        <w:ind w:firstLine="0" w:firstLineChars="0"/>
        <w:jc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w:t>
      </w:r>
      <w:r>
        <w:rPr>
          <w:rFonts w:hint="eastAsia" w:ascii="Times New Roman" w:hAnsi="Times New Roman" w:eastAsia="仿宋_GB2312" w:cs="Times New Roman"/>
          <w:color w:val="000000"/>
          <w:kern w:val="0"/>
          <w:sz w:val="21"/>
          <w:szCs w:val="21"/>
          <w:lang w:val="en-US" w:eastAsia="zh-CN"/>
        </w:rPr>
        <w:t>2024</w:t>
      </w:r>
      <w:r>
        <w:rPr>
          <w:rFonts w:ascii="Times New Roman" w:hAnsi="Times New Roman" w:eastAsia="仿宋_GB2312" w:cs="Times New Roman"/>
          <w:color w:val="000000"/>
          <w:kern w:val="0"/>
          <w:sz w:val="21"/>
          <w:szCs w:val="21"/>
        </w:rPr>
        <w:t>年度）</w:t>
      </w:r>
    </w:p>
    <w:tbl>
      <w:tblPr>
        <w:tblStyle w:val="12"/>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6"/>
        <w:gridCol w:w="1050"/>
        <w:gridCol w:w="1275"/>
        <w:gridCol w:w="1107"/>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项目支</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lang w:val="en-US"/>
              </w:rPr>
            </w:pPr>
            <w:r>
              <w:rPr>
                <w:rFonts w:hint="eastAsia" w:ascii="Times New Roman" w:hAnsi="Times New Roman" w:eastAsia="仿宋_GB2312" w:cs="Times New Roman"/>
                <w:color w:val="000000"/>
                <w:kern w:val="0"/>
                <w:sz w:val="21"/>
                <w:szCs w:val="21"/>
                <w:lang w:val="en-US" w:eastAsia="zh-CN"/>
              </w:rPr>
              <w:t>运行维护经费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主管部门</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湖南省农业农村厅</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实施单位</w:t>
            </w:r>
          </w:p>
        </w:tc>
        <w:tc>
          <w:tcPr>
            <w:tcW w:w="3119" w:type="dxa"/>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湖南省农民科技教育培训中心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项目资金</w:t>
            </w:r>
            <w:r>
              <w:rPr>
                <w:rFonts w:ascii="Times New Roman" w:hAnsi="Times New Roman" w:eastAsia="仿宋_GB2312" w:cs="Times New Roman"/>
                <w:color w:val="000000"/>
                <w:kern w:val="0"/>
                <w:sz w:val="21"/>
                <w:szCs w:val="21"/>
              </w:rPr>
              <w:br w:type="textWrapping"/>
            </w:r>
            <w:r>
              <w:rPr>
                <w:rFonts w:ascii="Times New Roman" w:hAnsi="Times New Roman" w:eastAsia="仿宋_GB2312" w:cs="Times New Roman"/>
                <w:color w:val="000000"/>
                <w:kern w:val="0"/>
                <w:sz w:val="21"/>
                <w:szCs w:val="21"/>
              </w:rPr>
              <w:t>（万元）</w:t>
            </w:r>
          </w:p>
        </w:tc>
        <w:tc>
          <w:tcPr>
            <w:tcW w:w="2136"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lang w:val="en-US" w:eastAsia="zh-CN"/>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年初</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预算数</w:t>
            </w:r>
          </w:p>
        </w:tc>
        <w:tc>
          <w:tcPr>
            <w:tcW w:w="110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全年</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textAlignment w:val="center"/>
              <w:rPr>
                <w:rFonts w:ascii="Times New Roman" w:hAnsi="Times New Roman" w:eastAsia="仿宋_GB2312" w:cs="Times New Roman"/>
                <w:sz w:val="21"/>
                <w:szCs w:val="21"/>
              </w:rPr>
            </w:pPr>
            <w:r>
              <w:rPr>
                <w:rFonts w:ascii="Times New Roman" w:hAnsi="Times New Roman" w:eastAsia="仿宋_GB2312" w:cs="Times New Roman"/>
                <w:sz w:val="21"/>
                <w:szCs w:val="21"/>
              </w:rPr>
              <w:t>全年</w:t>
            </w:r>
          </w:p>
          <w:p>
            <w:pPr>
              <w:adjustRightInd/>
              <w:snapToGrid w:val="0"/>
              <w:spacing w:line="280" w:lineRule="exact"/>
              <w:ind w:firstLine="0" w:firstLineChars="0"/>
              <w:jc w:val="center"/>
              <w:textAlignment w:val="center"/>
              <w:rPr>
                <w:rFonts w:ascii="Times New Roman" w:hAnsi="Times New Roman" w:eastAsia="仿宋_GB2312" w:cs="Times New Roman"/>
                <w:sz w:val="21"/>
                <w:szCs w:val="21"/>
              </w:rPr>
            </w:pPr>
            <w:r>
              <w:rPr>
                <w:rFonts w:ascii="Times New Roman" w:hAnsi="Times New Roman" w:eastAsia="仿宋_GB2312" w:cs="Times New Roman"/>
                <w:sz w:val="21"/>
                <w:szCs w:val="21"/>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textAlignment w:val="center"/>
              <w:rPr>
                <w:rFonts w:ascii="Times New Roman" w:hAnsi="Times New Roman" w:eastAsia="仿宋_GB2312" w:cs="Times New Roman"/>
                <w:sz w:val="21"/>
                <w:szCs w:val="21"/>
              </w:rPr>
            </w:pPr>
            <w:r>
              <w:rPr>
                <w:rFonts w:ascii="Times New Roman" w:hAnsi="Times New Roman" w:eastAsia="仿宋_GB2312" w:cs="Times New Roman"/>
                <w:sz w:val="21"/>
                <w:szCs w:val="21"/>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textAlignment w:val="center"/>
              <w:rPr>
                <w:rFonts w:ascii="Times New Roman" w:hAnsi="Times New Roman" w:eastAsia="仿宋_GB2312" w:cs="Times New Roman"/>
                <w:sz w:val="21"/>
                <w:szCs w:val="21"/>
              </w:rPr>
            </w:pPr>
            <w:r>
              <w:rPr>
                <w:rFonts w:ascii="Times New Roman" w:hAnsi="Times New Roman" w:eastAsia="仿宋_GB2312" w:cs="Times New Roman"/>
                <w:sz w:val="21"/>
                <w:szCs w:val="21"/>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textAlignment w:val="center"/>
              <w:rPr>
                <w:rFonts w:ascii="Times New Roman" w:hAnsi="Times New Roman" w:eastAsia="仿宋_GB2312" w:cs="Times New Roman"/>
                <w:sz w:val="21"/>
                <w:szCs w:val="21"/>
              </w:rPr>
            </w:pPr>
            <w:r>
              <w:rPr>
                <w:rFonts w:ascii="Times New Roman" w:hAnsi="Times New Roman" w:eastAsia="仿宋_GB2312" w:cs="Times New Roman"/>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ascii="Times New Roman" w:hAnsi="Times New Roman" w:eastAsia="仿宋_GB2312" w:cs="Times New Roman"/>
                <w:color w:val="000000"/>
                <w:kern w:val="0"/>
                <w:sz w:val="21"/>
                <w:szCs w:val="21"/>
              </w:rPr>
            </w:pPr>
          </w:p>
        </w:tc>
        <w:tc>
          <w:tcPr>
            <w:tcW w:w="2136"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年度资金总额　</w:t>
            </w:r>
          </w:p>
        </w:tc>
        <w:tc>
          <w:tcPr>
            <w:tcW w:w="127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591.76</w:t>
            </w:r>
          </w:p>
        </w:tc>
        <w:tc>
          <w:tcPr>
            <w:tcW w:w="110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594.81</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537.47</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90.36%</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ascii="Times New Roman" w:hAnsi="Times New Roman" w:eastAsia="仿宋_GB2312" w:cs="Times New Roman"/>
                <w:color w:val="000000"/>
                <w:kern w:val="0"/>
                <w:sz w:val="21"/>
                <w:szCs w:val="21"/>
              </w:rPr>
            </w:pPr>
          </w:p>
        </w:tc>
        <w:tc>
          <w:tcPr>
            <w:tcW w:w="2136"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其中：当年财政拨款　</w:t>
            </w:r>
          </w:p>
        </w:tc>
        <w:tc>
          <w:tcPr>
            <w:tcW w:w="127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591.76</w:t>
            </w:r>
          </w:p>
        </w:tc>
        <w:tc>
          <w:tcPr>
            <w:tcW w:w="110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591.76</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534.42</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ascii="Times New Roman" w:hAnsi="Times New Roman" w:eastAsia="仿宋_GB2312" w:cs="Times New Roman"/>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ascii="Times New Roman" w:hAnsi="Times New Roman" w:eastAsia="仿宋_GB2312" w:cs="Times New Roman"/>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ascii="Times New Roman" w:hAnsi="Times New Roman" w:eastAsia="仿宋_GB2312" w:cs="Times New Roman"/>
                <w:color w:val="000000"/>
                <w:kern w:val="0"/>
                <w:sz w:val="21"/>
                <w:szCs w:val="21"/>
              </w:rPr>
            </w:pPr>
          </w:p>
        </w:tc>
        <w:tc>
          <w:tcPr>
            <w:tcW w:w="2136"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630" w:firstLineChars="300"/>
              <w:jc w:val="left"/>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上年结转资金　</w:t>
            </w:r>
          </w:p>
        </w:tc>
        <w:tc>
          <w:tcPr>
            <w:tcW w:w="127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ascii="Times New Roman" w:hAnsi="Times New Roman" w:eastAsia="仿宋_GB2312" w:cs="Times New Roman"/>
                <w:color w:val="000000"/>
                <w:kern w:val="0"/>
                <w:sz w:val="21"/>
                <w:szCs w:val="21"/>
              </w:rPr>
            </w:pPr>
          </w:p>
        </w:tc>
        <w:tc>
          <w:tcPr>
            <w:tcW w:w="110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3.05</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3.05</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ascii="Times New Roman" w:hAnsi="Times New Roman" w:eastAsia="仿宋_GB2312" w:cs="Times New Roman"/>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ascii="Times New Roman" w:hAnsi="Times New Roman" w:eastAsia="仿宋_GB2312" w:cs="Times New Roman"/>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ascii="Times New Roman" w:hAnsi="Times New Roman" w:eastAsia="仿宋_GB2312" w:cs="Times New Roman"/>
                <w:color w:val="000000"/>
                <w:kern w:val="0"/>
                <w:sz w:val="21"/>
                <w:szCs w:val="21"/>
              </w:rPr>
            </w:pPr>
          </w:p>
        </w:tc>
        <w:tc>
          <w:tcPr>
            <w:tcW w:w="2136"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630" w:firstLineChars="300"/>
              <w:jc w:val="left"/>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其他资金</w:t>
            </w:r>
          </w:p>
        </w:tc>
        <w:tc>
          <w:tcPr>
            <w:tcW w:w="127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ascii="Times New Roman" w:hAnsi="Times New Roman" w:eastAsia="仿宋_GB2312" w:cs="Times New Roman"/>
                <w:color w:val="000000"/>
                <w:kern w:val="0"/>
                <w:sz w:val="21"/>
                <w:szCs w:val="21"/>
              </w:rPr>
            </w:pPr>
          </w:p>
        </w:tc>
        <w:tc>
          <w:tcPr>
            <w:tcW w:w="110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ascii="Times New Roman" w:hAnsi="Times New Roman" w:eastAsia="仿宋_GB2312" w:cs="Times New Roman"/>
                <w:color w:val="000000"/>
                <w:kern w:val="0"/>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ascii="Times New Roman" w:hAnsi="Times New Roman" w:eastAsia="仿宋_GB2312" w:cs="Times New Roman"/>
                <w:color w:val="000000"/>
                <w:kern w:val="0"/>
                <w:sz w:val="21"/>
                <w:szCs w:val="21"/>
              </w:rPr>
            </w:pP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ascii="Times New Roman" w:hAnsi="Times New Roman" w:eastAsia="仿宋_GB2312" w:cs="Times New Roman"/>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ascii="Times New Roman" w:hAnsi="Times New Roman" w:eastAsia="仿宋_GB2312" w:cs="Times New Roman"/>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ascii="Times New Roman" w:hAnsi="Times New Roman" w:eastAsia="仿宋_GB2312" w:cs="Times New Roman"/>
                <w:color w:val="000000"/>
                <w:kern w:val="0"/>
                <w:sz w:val="21"/>
                <w:szCs w:val="21"/>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培养一批具有示范带动作用的技术人才，农广助农培养3500人，期</w:t>
            </w:r>
            <w:r>
              <w:rPr>
                <w:rFonts w:hint="eastAsia" w:eastAsia="仿宋_GB2312" w:cs="Times New Roman"/>
                <w:color w:val="000000"/>
                <w:kern w:val="0"/>
                <w:sz w:val="21"/>
                <w:szCs w:val="21"/>
                <w:lang w:val="en-US" w:eastAsia="zh-CN"/>
              </w:rPr>
              <w:t>37</w:t>
            </w:r>
            <w:r>
              <w:rPr>
                <w:rFonts w:hint="eastAsia" w:ascii="Times New Roman" w:hAnsi="Times New Roman" w:eastAsia="仿宋_GB2312" w:cs="Times New Roman"/>
                <w:color w:val="000000"/>
                <w:kern w:val="0"/>
                <w:sz w:val="21"/>
                <w:szCs w:val="21"/>
                <w:lang w:val="en-US" w:eastAsia="zh-CN"/>
              </w:rPr>
              <w:t>期；田间学校培养2000人，期数3</w:t>
            </w:r>
            <w:r>
              <w:rPr>
                <w:rFonts w:hint="eastAsia" w:eastAsia="仿宋_GB2312" w:cs="Times New Roman"/>
                <w:color w:val="000000"/>
                <w:kern w:val="0"/>
                <w:sz w:val="21"/>
                <w:szCs w:val="21"/>
                <w:lang w:val="en-US" w:eastAsia="zh-CN"/>
              </w:rPr>
              <w:t>3</w:t>
            </w:r>
            <w:r>
              <w:rPr>
                <w:rFonts w:hint="eastAsia" w:ascii="Times New Roman" w:hAnsi="Times New Roman" w:eastAsia="仿宋_GB2312" w:cs="Times New Roman"/>
                <w:color w:val="000000"/>
                <w:kern w:val="0"/>
                <w:sz w:val="21"/>
                <w:szCs w:val="21"/>
                <w:lang w:val="en-US" w:eastAsia="zh-CN"/>
              </w:rPr>
              <w:t>期。</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田间学校实际完成培训人数3200人，期数39期；农广助农培训人数1927人，期数38期。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绩</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效</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指</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标</w:t>
            </w:r>
          </w:p>
        </w:tc>
        <w:tc>
          <w:tcPr>
            <w:tcW w:w="108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一级指标</w:t>
            </w:r>
          </w:p>
        </w:tc>
        <w:tc>
          <w:tcPr>
            <w:tcW w:w="105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二级指标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三级指标</w:t>
            </w:r>
          </w:p>
        </w:tc>
        <w:tc>
          <w:tcPr>
            <w:tcW w:w="110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年度</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实际</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偏差原因</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分析及</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产出指标</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(50分)</w:t>
            </w:r>
          </w:p>
        </w:tc>
        <w:tc>
          <w:tcPr>
            <w:tcW w:w="1050" w:type="dxa"/>
            <w:vMerge w:val="restart"/>
            <w:tcBorders>
              <w:top w:val="nil"/>
              <w:left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数量指标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培训人数</w:t>
            </w:r>
          </w:p>
        </w:tc>
        <w:tc>
          <w:tcPr>
            <w:tcW w:w="110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Arial" w:hAnsi="Arial" w:eastAsia="仿宋_GB2312" w:cs="Arial"/>
                <w:color w:val="000000"/>
                <w:kern w:val="0"/>
                <w:sz w:val="21"/>
                <w:szCs w:val="21"/>
              </w:rPr>
              <w:t>≥</w:t>
            </w:r>
            <w:r>
              <w:rPr>
                <w:rFonts w:hint="eastAsia" w:ascii="Times New Roman" w:hAnsi="Times New Roman" w:eastAsia="仿宋_GB2312" w:cs="Times New Roman"/>
                <w:color w:val="000000"/>
                <w:kern w:val="0"/>
                <w:sz w:val="21"/>
                <w:szCs w:val="21"/>
                <w:lang w:val="en-US" w:eastAsia="zh-CN"/>
              </w:rPr>
              <w:t>5500人</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4786人</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8.7</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6"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50" w:type="dxa"/>
            <w:vMerge w:val="continue"/>
            <w:tcBorders>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eastAsia"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培训期数</w:t>
            </w:r>
          </w:p>
        </w:tc>
        <w:tc>
          <w:tcPr>
            <w:tcW w:w="110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Arial" w:hAnsi="Arial" w:eastAsia="仿宋_GB2312" w:cs="Arial"/>
                <w:color w:val="000000"/>
                <w:kern w:val="0"/>
                <w:sz w:val="21"/>
                <w:szCs w:val="21"/>
                <w:lang w:val="en-US" w:eastAsia="zh-CN"/>
              </w:rPr>
            </w:pPr>
            <w:r>
              <w:rPr>
                <w:rFonts w:hint="default" w:ascii="Arial" w:hAnsi="Arial" w:eastAsia="仿宋_GB2312" w:cs="Arial"/>
                <w:color w:val="000000"/>
                <w:kern w:val="0"/>
                <w:sz w:val="21"/>
                <w:szCs w:val="21"/>
              </w:rPr>
              <w:t>≥</w:t>
            </w:r>
            <w:r>
              <w:rPr>
                <w:rFonts w:hint="eastAsia" w:ascii="Arial" w:hAnsi="Arial" w:eastAsia="仿宋_GB2312" w:cs="Arial"/>
                <w:color w:val="000000"/>
                <w:kern w:val="0"/>
                <w:sz w:val="21"/>
                <w:szCs w:val="21"/>
                <w:lang w:val="en-US" w:eastAsia="zh-CN"/>
              </w:rPr>
              <w:t>70期</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77期</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50" w:type="dxa"/>
            <w:tcBorders>
              <w:top w:val="nil"/>
              <w:left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质量指标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培训合格率</w:t>
            </w:r>
          </w:p>
        </w:tc>
        <w:tc>
          <w:tcPr>
            <w:tcW w:w="110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bidi="ar-SA"/>
              </w:rPr>
            </w:pPr>
            <w:r>
              <w:rPr>
                <w:rFonts w:hint="default" w:ascii="Arial" w:hAnsi="Arial" w:eastAsia="仿宋_GB2312" w:cs="Arial"/>
                <w:color w:val="000000"/>
                <w:kern w:val="0"/>
                <w:sz w:val="21"/>
                <w:szCs w:val="21"/>
              </w:rPr>
              <w:t>≥</w:t>
            </w:r>
            <w:r>
              <w:rPr>
                <w:rFonts w:hint="eastAsia" w:ascii="Arial" w:hAnsi="Arial" w:eastAsia="仿宋_GB2312" w:cs="Arial"/>
                <w:color w:val="000000"/>
                <w:kern w:val="0"/>
                <w:sz w:val="21"/>
                <w:szCs w:val="21"/>
                <w:lang w:val="en-US" w:eastAsia="zh-CN"/>
              </w:rPr>
              <w:t>95</w:t>
            </w:r>
            <w:r>
              <w:rPr>
                <w:rFonts w:hint="eastAsia" w:ascii="Times New Roman" w:hAnsi="Times New Roman" w:eastAsia="仿宋_GB2312" w:cs="Times New Roman"/>
                <w:color w:val="000000"/>
                <w:kern w:val="0"/>
                <w:sz w:val="21"/>
                <w:szCs w:val="21"/>
                <w:lang w:val="en-US" w:eastAsia="zh-CN"/>
              </w:rPr>
              <w:t>%</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eastAsia" w:ascii="Times New Roman" w:hAnsi="Times New Roman" w:eastAsia="仿宋_GB2312" w:cs="Times New Roman"/>
                <w:color w:val="000000"/>
                <w:kern w:val="0"/>
                <w:sz w:val="21"/>
                <w:szCs w:val="21"/>
                <w:lang w:val="en-US" w:eastAsia="zh-CN"/>
              </w:rPr>
            </w:pPr>
            <w:r>
              <w:rPr>
                <w:rFonts w:hint="eastAsia" w:ascii="Arial" w:hAnsi="Arial" w:eastAsia="仿宋_GB2312" w:cs="Arial"/>
                <w:color w:val="000000"/>
                <w:kern w:val="0"/>
                <w:sz w:val="21"/>
                <w:szCs w:val="21"/>
                <w:lang w:val="en-US" w:eastAsia="zh-CN"/>
              </w:rPr>
              <w:t>95</w:t>
            </w:r>
            <w:r>
              <w:rPr>
                <w:rFonts w:hint="eastAsia" w:ascii="Times New Roman" w:hAnsi="Times New Roman" w:eastAsia="仿宋_GB2312" w:cs="Times New Roman"/>
                <w:color w:val="000000"/>
                <w:kern w:val="0"/>
                <w:sz w:val="21"/>
                <w:szCs w:val="21"/>
                <w:lang w:val="en-US" w:eastAsia="zh-CN"/>
              </w:rPr>
              <w:t>%</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5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时效指标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培训计划按时完成率</w:t>
            </w:r>
          </w:p>
        </w:tc>
        <w:tc>
          <w:tcPr>
            <w:tcW w:w="110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w:t>
            </w:r>
            <w:r>
              <w:rPr>
                <w:rFonts w:hint="eastAsia" w:ascii="Times New Roman" w:hAnsi="Times New Roman" w:eastAsia="仿宋_GB2312" w:cs="Times New Roman"/>
                <w:color w:val="000000"/>
                <w:kern w:val="0"/>
                <w:sz w:val="21"/>
                <w:szCs w:val="21"/>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100</w:t>
            </w:r>
            <w:r>
              <w:rPr>
                <w:rFonts w:hint="eastAsia" w:ascii="Times New Roman" w:hAnsi="Times New Roman" w:eastAsia="仿宋_GB2312" w:cs="Times New Roman"/>
                <w:color w:val="000000"/>
                <w:kern w:val="0"/>
                <w:sz w:val="21"/>
                <w:szCs w:val="21"/>
                <w:lang w:val="en-US" w:eastAsia="zh-CN"/>
              </w:rPr>
              <w:t>%</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5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成本指标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591.76万元</w:t>
            </w:r>
          </w:p>
        </w:tc>
        <w:tc>
          <w:tcPr>
            <w:tcW w:w="110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Arial" w:hAnsi="Arial" w:eastAsia="仿宋_GB2312" w:cs="Arial"/>
                <w:color w:val="000000"/>
                <w:kern w:val="0"/>
                <w:sz w:val="21"/>
                <w:szCs w:val="21"/>
                <w:lang w:val="en-US" w:eastAsia="zh-CN"/>
              </w:rPr>
              <w:t>≤</w:t>
            </w:r>
            <w:r>
              <w:rPr>
                <w:rFonts w:hint="eastAsia" w:ascii="Times New Roman" w:hAnsi="Times New Roman" w:eastAsia="仿宋_GB2312" w:cs="Times New Roman"/>
                <w:color w:val="000000"/>
                <w:kern w:val="0"/>
                <w:sz w:val="21"/>
                <w:szCs w:val="21"/>
                <w:lang w:val="en-US" w:eastAsia="zh-CN"/>
              </w:rPr>
              <w:t>591.76万元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537.47万元</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效益指标</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（30分）</w:t>
            </w:r>
          </w:p>
        </w:tc>
        <w:tc>
          <w:tcPr>
            <w:tcW w:w="105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经济效</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益指标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学员增收比例</w:t>
            </w:r>
          </w:p>
        </w:tc>
        <w:tc>
          <w:tcPr>
            <w:tcW w:w="110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Arial" w:hAnsi="Arial" w:eastAsia="仿宋_GB2312" w:cs="Arial"/>
                <w:color w:val="000000"/>
                <w:kern w:val="0"/>
                <w:sz w:val="21"/>
                <w:szCs w:val="21"/>
              </w:rPr>
              <w:t>≥</w:t>
            </w:r>
            <w:r>
              <w:rPr>
                <w:rFonts w:hint="eastAsia" w:ascii="Times New Roman" w:hAnsi="Times New Roman" w:eastAsia="仿宋_GB2312" w:cs="Times New Roman"/>
                <w:color w:val="000000"/>
                <w:kern w:val="0"/>
                <w:sz w:val="21"/>
                <w:szCs w:val="21"/>
                <w:lang w:val="en-US" w:eastAsia="zh-CN"/>
              </w:rPr>
              <w:t>90%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90%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5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社会效</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益指标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农业从业人群素质提升度</w:t>
            </w:r>
          </w:p>
        </w:tc>
        <w:tc>
          <w:tcPr>
            <w:tcW w:w="110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良好以上占比90%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良好以上占比90%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5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生态效</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益指标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绿色农业技术采用率</w:t>
            </w:r>
          </w:p>
        </w:tc>
        <w:tc>
          <w:tcPr>
            <w:tcW w:w="110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Arial" w:hAnsi="Arial" w:eastAsia="仿宋_GB2312" w:cs="Arial"/>
                <w:color w:val="000000"/>
                <w:kern w:val="0"/>
                <w:sz w:val="21"/>
                <w:szCs w:val="21"/>
              </w:rPr>
              <w:t>≥</w:t>
            </w:r>
            <w:r>
              <w:rPr>
                <w:rFonts w:hint="eastAsia" w:ascii="Times New Roman" w:hAnsi="Times New Roman" w:eastAsia="仿宋_GB2312" w:cs="Times New Roman"/>
                <w:color w:val="000000"/>
                <w:kern w:val="0"/>
                <w:sz w:val="21"/>
                <w:szCs w:val="21"/>
                <w:lang w:val="en-US" w:eastAsia="zh-CN"/>
              </w:rPr>
              <w:t>90%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90%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5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可持续影响指标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p>
        </w:tc>
        <w:tc>
          <w:tcPr>
            <w:tcW w:w="110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rPr>
            </w:pP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eastAsia" w:ascii="Times New Roman" w:hAnsi="Times New Roman" w:eastAsia="仿宋_GB2312" w:cs="Times New Roman"/>
                <w:color w:val="000000"/>
                <w:kern w:val="0"/>
                <w:sz w:val="21"/>
                <w:szCs w:val="21"/>
                <w:lang w:val="en-US" w:eastAsia="zh-CN"/>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eastAsia" w:ascii="Times New Roman" w:hAnsi="Times New Roman" w:eastAsia="仿宋_GB2312" w:cs="Times New Roman"/>
                <w:color w:val="000000"/>
                <w:kern w:val="0"/>
                <w:sz w:val="21"/>
                <w:szCs w:val="21"/>
                <w:lang w:val="en-US" w:eastAsia="zh-CN"/>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6"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满意度</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指标</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（10分）</w:t>
            </w:r>
          </w:p>
        </w:tc>
        <w:tc>
          <w:tcPr>
            <w:tcW w:w="105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服务对象满意度指标</w:t>
            </w:r>
          </w:p>
        </w:tc>
        <w:tc>
          <w:tcPr>
            <w:tcW w:w="127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学员满意度</w:t>
            </w:r>
          </w:p>
        </w:tc>
        <w:tc>
          <w:tcPr>
            <w:tcW w:w="110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Arial" w:hAnsi="Arial" w:eastAsia="仿宋_GB2312" w:cs="Arial"/>
                <w:color w:val="000000"/>
                <w:kern w:val="0"/>
                <w:sz w:val="21"/>
                <w:szCs w:val="21"/>
              </w:rPr>
              <w:t>≥</w:t>
            </w:r>
            <w:r>
              <w:rPr>
                <w:rFonts w:hint="eastAsia" w:ascii="Times New Roman" w:hAnsi="Times New Roman" w:eastAsia="仿宋_GB2312" w:cs="Times New Roman"/>
                <w:color w:val="000000"/>
                <w:kern w:val="0"/>
                <w:sz w:val="21"/>
                <w:szCs w:val="21"/>
                <w:lang w:val="en-US" w:eastAsia="zh-CN"/>
              </w:rPr>
              <w:t>90%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90%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9</w:t>
            </w:r>
            <w:r>
              <w:rPr>
                <w:rFonts w:hint="eastAsia" w:eastAsia="仿宋_GB2312" w:cs="Times New Roman"/>
                <w:color w:val="000000"/>
                <w:kern w:val="0"/>
                <w:sz w:val="21"/>
                <w:szCs w:val="21"/>
                <w:lang w:val="en-US" w:eastAsia="zh-CN"/>
              </w:rPr>
              <w:t>7.7</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r>
    </w:tbl>
    <w:p>
      <w:pPr>
        <w:spacing w:line="600" w:lineRule="exact"/>
        <w:rPr>
          <w:rFonts w:eastAsia="黑体"/>
          <w:kern w:val="0"/>
          <w:sz w:val="32"/>
          <w:szCs w:val="32"/>
        </w:rPr>
      </w:pPr>
    </w:p>
    <w:p/>
    <w:p>
      <w:pPr>
        <w:pStyle w:val="2"/>
        <w:spacing w:before="144" w:beforeLines="25" w:line="500" w:lineRule="exact"/>
        <w:rPr>
          <w:sz w:val="36"/>
          <w:szCs w:val="36"/>
        </w:rPr>
      </w:pPr>
    </w:p>
    <w:p>
      <w:pPr>
        <w:pStyle w:val="2"/>
        <w:spacing w:before="144" w:beforeLines="25" w:line="500" w:lineRule="exact"/>
        <w:rPr>
          <w:sz w:val="36"/>
          <w:szCs w:val="36"/>
        </w:rPr>
      </w:pPr>
      <w:r>
        <w:rPr>
          <w:sz w:val="36"/>
          <w:szCs w:val="36"/>
        </w:rPr>
        <w:t>项目支出绩效自评表</w:t>
      </w:r>
    </w:p>
    <w:p>
      <w:pPr>
        <w:widowControl/>
        <w:adjustRightInd/>
        <w:snapToGrid/>
        <w:spacing w:line="240" w:lineRule="auto"/>
        <w:ind w:firstLine="0" w:firstLineChars="0"/>
        <w:jc w:val="center"/>
        <w:rPr>
          <w:color w:val="000000"/>
          <w:kern w:val="0"/>
          <w:sz w:val="21"/>
          <w:szCs w:val="21"/>
        </w:rPr>
      </w:pPr>
      <w:r>
        <w:rPr>
          <w:color w:val="000000"/>
          <w:kern w:val="0"/>
          <w:sz w:val="21"/>
          <w:szCs w:val="21"/>
        </w:rPr>
        <w:t>（</w:t>
      </w:r>
      <w:r>
        <w:rPr>
          <w:rFonts w:hint="eastAsia"/>
          <w:color w:val="000000"/>
          <w:kern w:val="0"/>
          <w:sz w:val="21"/>
          <w:szCs w:val="21"/>
          <w:lang w:val="en-US" w:eastAsia="zh-CN"/>
        </w:rPr>
        <w:t>2024</w:t>
      </w:r>
      <w:r>
        <w:rPr>
          <w:color w:val="000000"/>
          <w:kern w:val="0"/>
          <w:sz w:val="21"/>
          <w:szCs w:val="21"/>
        </w:rPr>
        <w:t>年度）</w:t>
      </w:r>
    </w:p>
    <w:tbl>
      <w:tblPr>
        <w:tblStyle w:val="12"/>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386"/>
        <w:gridCol w:w="972"/>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项目支</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both"/>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kern w:val="0"/>
                <w:szCs w:val="21"/>
                <w:lang w:val="en-US" w:eastAsia="zh-CN"/>
              </w:rPr>
              <w:t>其他事业发展资金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主管部门</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ascii="Times New Roman" w:hAnsi="Times New Roman" w:eastAsia="仿宋_GB2312" w:cs="Times New Roman"/>
                <w:color w:val="000000"/>
                <w:kern w:val="0"/>
                <w:sz w:val="21"/>
                <w:szCs w:val="21"/>
              </w:rPr>
              <w:t>　</w:t>
            </w:r>
            <w:r>
              <w:rPr>
                <w:rFonts w:hint="eastAsia" w:ascii="Times New Roman" w:hAnsi="Times New Roman" w:eastAsia="仿宋_GB2312" w:cs="Times New Roman"/>
                <w:color w:val="000000"/>
                <w:kern w:val="0"/>
                <w:sz w:val="21"/>
                <w:szCs w:val="21"/>
                <w:lang w:val="en-US" w:eastAsia="zh-CN"/>
              </w:rPr>
              <w:t>湖南省农业农村厅</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实施单位</w:t>
            </w:r>
          </w:p>
        </w:tc>
        <w:tc>
          <w:tcPr>
            <w:tcW w:w="3119" w:type="dxa"/>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湖南省农民科技教育培训中心</w:t>
            </w: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项目资金</w:t>
            </w:r>
            <w:r>
              <w:rPr>
                <w:rFonts w:ascii="Times New Roman" w:hAnsi="Times New Roman" w:eastAsia="仿宋_GB2312" w:cs="Times New Roman"/>
                <w:color w:val="000000"/>
                <w:kern w:val="0"/>
                <w:sz w:val="21"/>
                <w:szCs w:val="21"/>
              </w:rPr>
              <w:br w:type="textWrapping"/>
            </w:r>
            <w:r>
              <w:rPr>
                <w:rFonts w:ascii="Times New Roman" w:hAnsi="Times New Roman" w:eastAsia="仿宋_GB2312" w:cs="Times New Roman"/>
                <w:color w:val="000000"/>
                <w:kern w:val="0"/>
                <w:sz w:val="21"/>
                <w:szCs w:val="21"/>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38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年初</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预算数</w:t>
            </w:r>
          </w:p>
        </w:tc>
        <w:tc>
          <w:tcPr>
            <w:tcW w:w="97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全年</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全年</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年度资金总额　</w:t>
            </w:r>
          </w:p>
        </w:tc>
        <w:tc>
          <w:tcPr>
            <w:tcW w:w="138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367.53</w:t>
            </w:r>
          </w:p>
        </w:tc>
        <w:tc>
          <w:tcPr>
            <w:tcW w:w="97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rPr>
            </w:pPr>
            <w:r>
              <w:rPr>
                <w:rFonts w:hint="eastAsia" w:eastAsia="仿宋_GB2312" w:cs="Times New Roman"/>
                <w:color w:val="000000"/>
                <w:kern w:val="0"/>
                <w:sz w:val="21"/>
                <w:szCs w:val="21"/>
                <w:lang w:val="en-US" w:eastAsia="zh-CN"/>
              </w:rPr>
              <w:t>367.53</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rPr>
            </w:pPr>
            <w:r>
              <w:rPr>
                <w:rFonts w:hint="eastAsia" w:eastAsia="仿宋_GB2312" w:cs="Times New Roman"/>
                <w:color w:val="000000"/>
                <w:kern w:val="0"/>
                <w:sz w:val="21"/>
                <w:szCs w:val="21"/>
                <w:lang w:val="en-US" w:eastAsia="zh-CN"/>
              </w:rPr>
              <w:t>112.99</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eastAsia="仿宋_GB2312" w:cs="Times New Roman"/>
                <w:color w:val="000000"/>
                <w:kern w:val="0"/>
                <w:sz w:val="21"/>
                <w:szCs w:val="21"/>
                <w:lang w:val="en-US" w:eastAsia="zh-CN"/>
              </w:rPr>
              <w:t>30.74%</w:t>
            </w: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其中：当年财政拨款　</w:t>
            </w:r>
          </w:p>
        </w:tc>
        <w:tc>
          <w:tcPr>
            <w:tcW w:w="138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339.53</w:t>
            </w:r>
          </w:p>
        </w:tc>
        <w:tc>
          <w:tcPr>
            <w:tcW w:w="97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367.53</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上年结转资金　</w:t>
            </w:r>
          </w:p>
        </w:tc>
        <w:tc>
          <w:tcPr>
            <w:tcW w:w="138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28</w:t>
            </w:r>
          </w:p>
        </w:tc>
        <w:tc>
          <w:tcPr>
            <w:tcW w:w="97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其他资金</w:t>
            </w:r>
          </w:p>
        </w:tc>
        <w:tc>
          <w:tcPr>
            <w:tcW w:w="138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97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sz w:val="20"/>
                <w:szCs w:val="20"/>
                <w:lang w:val="en-US" w:eastAsia="zh-CN"/>
              </w:rPr>
              <w:t>订购《乡村振兴》杂志7000份，覆盖全省脱贫村；三农干部走出去完成8期，</w:t>
            </w:r>
            <w:r>
              <w:rPr>
                <w:rFonts w:hint="eastAsia" w:eastAsia="仿宋_GB2312" w:cs="Times New Roman"/>
                <w:color w:val="000000"/>
                <w:sz w:val="20"/>
                <w:szCs w:val="20"/>
                <w:lang w:val="en-US" w:eastAsia="zh-CN"/>
              </w:rPr>
              <w:t>培训400人；</w:t>
            </w:r>
            <w:r>
              <w:rPr>
                <w:rFonts w:hint="eastAsia" w:ascii="Times New Roman" w:hAnsi="Times New Roman" w:eastAsia="仿宋_GB2312" w:cs="Times New Roman"/>
                <w:color w:val="000000"/>
                <w:sz w:val="20"/>
                <w:szCs w:val="20"/>
                <w:lang w:val="en-US" w:eastAsia="zh-CN"/>
              </w:rPr>
              <w:t>农村体育文化健身活动4期</w:t>
            </w:r>
            <w:r>
              <w:rPr>
                <w:rFonts w:hint="eastAsia" w:eastAsia="仿宋_GB2312" w:cs="Times New Roman"/>
                <w:color w:val="000000"/>
                <w:sz w:val="20"/>
                <w:szCs w:val="20"/>
                <w:lang w:val="en-US" w:eastAsia="zh-CN"/>
              </w:rPr>
              <w:t>，培训300人。</w:t>
            </w:r>
            <w:r>
              <w:rPr>
                <w:rFonts w:ascii="Times New Roman" w:hAnsi="Times New Roman" w:eastAsia="仿宋_GB2312" w:cs="Times New Roman"/>
                <w:color w:val="000000"/>
                <w:kern w:val="0"/>
                <w:sz w:val="21"/>
                <w:szCs w:val="21"/>
              </w:rPr>
              <w:t>　　</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rPr>
              <w:t>全年共开展培训2期，组织131名“三农”干部赴浙江、北京学习交流</w:t>
            </w:r>
            <w:r>
              <w:rPr>
                <w:rFonts w:hint="eastAsia" w:eastAsia="仿宋_GB2312" w:cs="Times New Roman"/>
                <w:color w:val="000000"/>
                <w:kern w:val="0"/>
                <w:sz w:val="21"/>
                <w:szCs w:val="21"/>
                <w:lang w:eastAsia="zh-CN"/>
              </w:rPr>
              <w:t>；举办全省广场舞、八段锦等农村社会体育指导员培训</w:t>
            </w:r>
            <w:r>
              <w:rPr>
                <w:rFonts w:hint="eastAsia" w:eastAsia="仿宋_GB2312" w:cs="Times New Roman"/>
                <w:color w:val="000000"/>
                <w:kern w:val="0"/>
                <w:sz w:val="21"/>
                <w:szCs w:val="21"/>
                <w:lang w:val="en-US" w:eastAsia="zh-CN"/>
              </w:rPr>
              <w:t>班共4期，培训393人。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绩</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效</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指</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二级指标</w:t>
            </w:r>
          </w:p>
        </w:tc>
        <w:tc>
          <w:tcPr>
            <w:tcW w:w="138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三级指标</w:t>
            </w:r>
          </w:p>
        </w:tc>
        <w:tc>
          <w:tcPr>
            <w:tcW w:w="97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年度</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实际</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偏差原因</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分析及</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产出指标</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(50分)</w:t>
            </w:r>
          </w:p>
        </w:tc>
        <w:tc>
          <w:tcPr>
            <w:tcW w:w="1080" w:type="dxa"/>
            <w:vMerge w:val="restart"/>
            <w:tcBorders>
              <w:top w:val="nil"/>
              <w:left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数量指标</w:t>
            </w:r>
          </w:p>
        </w:tc>
        <w:tc>
          <w:tcPr>
            <w:tcW w:w="138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培训</w:t>
            </w:r>
            <w:r>
              <w:rPr>
                <w:rFonts w:hint="eastAsia" w:eastAsia="仿宋_GB2312" w:cs="Times New Roman"/>
                <w:color w:val="000000"/>
                <w:kern w:val="0"/>
                <w:sz w:val="21"/>
                <w:szCs w:val="21"/>
                <w:lang w:val="en-US" w:eastAsia="zh-CN"/>
              </w:rPr>
              <w:t>期数</w:t>
            </w:r>
          </w:p>
        </w:tc>
        <w:tc>
          <w:tcPr>
            <w:tcW w:w="97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rPr>
            </w:pPr>
            <w:r>
              <w:rPr>
                <w:rFonts w:hint="default" w:ascii="Arial" w:hAnsi="Arial" w:eastAsia="仿宋_GB2312" w:cs="Arial"/>
                <w:color w:val="000000"/>
                <w:kern w:val="0"/>
                <w:szCs w:val="21"/>
                <w:lang w:val="en-US" w:eastAsia="zh-CN"/>
              </w:rPr>
              <w:t>≥</w:t>
            </w:r>
            <w:r>
              <w:rPr>
                <w:rFonts w:hint="eastAsia" w:eastAsia="仿宋_GB2312" w:cs="Times New Roman"/>
                <w:color w:val="000000"/>
                <w:kern w:val="0"/>
                <w:sz w:val="21"/>
                <w:szCs w:val="21"/>
                <w:lang w:val="en-US" w:eastAsia="zh-CN"/>
              </w:rPr>
              <w:t>12期</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6期</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eastAsia"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2.5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38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培训人数</w:t>
            </w:r>
          </w:p>
        </w:tc>
        <w:tc>
          <w:tcPr>
            <w:tcW w:w="97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default" w:ascii="Arial" w:hAnsi="Arial" w:eastAsia="仿宋_GB2312" w:cs="Arial"/>
                <w:color w:val="000000"/>
                <w:kern w:val="0"/>
                <w:sz w:val="21"/>
                <w:szCs w:val="21"/>
              </w:rPr>
              <w:t>≥</w:t>
            </w:r>
            <w:r>
              <w:rPr>
                <w:rFonts w:hint="eastAsia" w:ascii="Arial" w:hAnsi="Arial" w:eastAsia="仿宋_GB2312" w:cs="Arial"/>
                <w:color w:val="000000"/>
                <w:kern w:val="0"/>
                <w:sz w:val="21"/>
                <w:szCs w:val="21"/>
                <w:lang w:val="en-US" w:eastAsia="zh-CN"/>
              </w:rPr>
              <w:t>700人</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524人</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7.5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continue"/>
            <w:tcBorders>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38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eastAsia" w:ascii="Times New Roman" w:hAnsi="Times New Roman" w:eastAsia="仿宋_GB2312" w:cs="Times New Roman"/>
                <w:color w:val="000000"/>
                <w:kern w:val="0"/>
                <w:sz w:val="21"/>
                <w:szCs w:val="21"/>
                <w:lang w:val="en-US" w:eastAsia="zh-CN"/>
              </w:rPr>
            </w:pPr>
            <w:r>
              <w:rPr>
                <w:rFonts w:hint="eastAsia" w:eastAsia="仿宋_GB2312"/>
                <w:color w:val="000000"/>
                <w:kern w:val="0"/>
                <w:szCs w:val="21"/>
                <w:lang w:val="en-US" w:eastAsia="zh-CN"/>
              </w:rPr>
              <w:t>《乡村振兴》杂志订购数</w:t>
            </w:r>
          </w:p>
        </w:tc>
        <w:tc>
          <w:tcPr>
            <w:tcW w:w="97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w:t>
            </w:r>
            <w:r>
              <w:rPr>
                <w:rFonts w:hint="eastAsia" w:ascii="Times New Roman" w:hAnsi="Times New Roman" w:eastAsia="仿宋_GB2312" w:cs="Times New Roman"/>
                <w:color w:val="000000"/>
                <w:kern w:val="0"/>
                <w:sz w:val="21"/>
                <w:szCs w:val="21"/>
                <w:lang w:val="en-US" w:eastAsia="zh-CN"/>
              </w:rPr>
              <w:t>7000</w:t>
            </w:r>
            <w:r>
              <w:rPr>
                <w:rFonts w:hint="eastAsia" w:eastAsia="仿宋_GB2312" w:cs="Times New Roman"/>
                <w:color w:val="000000"/>
                <w:kern w:val="0"/>
                <w:sz w:val="21"/>
                <w:szCs w:val="21"/>
                <w:lang w:val="en-US" w:eastAsia="zh-CN"/>
              </w:rPr>
              <w:t>册</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eastAsia"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机构合并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质量指标</w:t>
            </w:r>
          </w:p>
        </w:tc>
        <w:tc>
          <w:tcPr>
            <w:tcW w:w="138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培训合格率</w:t>
            </w:r>
          </w:p>
        </w:tc>
        <w:tc>
          <w:tcPr>
            <w:tcW w:w="9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kern w:val="0"/>
                <w:sz w:val="21"/>
                <w:szCs w:val="21"/>
              </w:rPr>
            </w:pPr>
            <w:r>
              <w:rPr>
                <w:rFonts w:hint="default" w:ascii="Arial" w:hAnsi="Arial" w:eastAsia="仿宋_GB2312" w:cs="Arial"/>
                <w:color w:val="000000"/>
                <w:kern w:val="0"/>
                <w:szCs w:val="21"/>
                <w:lang w:val="en-US" w:eastAsia="zh-CN"/>
              </w:rPr>
              <w:t>≥</w:t>
            </w:r>
            <w:r>
              <w:rPr>
                <w:rFonts w:hint="eastAsia" w:eastAsia="仿宋_GB2312"/>
                <w:color w:val="000000"/>
                <w:kern w:val="0"/>
                <w:szCs w:val="21"/>
                <w:lang w:val="en-US" w:eastAsia="zh-CN"/>
              </w:rPr>
              <w:t>95%</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kern w:val="0"/>
                <w:sz w:val="21"/>
                <w:szCs w:val="21"/>
              </w:rPr>
            </w:pPr>
            <w:r>
              <w:rPr>
                <w:rFonts w:hint="eastAsia" w:eastAsia="仿宋_GB2312"/>
                <w:color w:val="000000"/>
                <w:kern w:val="0"/>
                <w:szCs w:val="21"/>
                <w:lang w:val="en-US" w:eastAsia="zh-CN"/>
              </w:rPr>
              <w:t>95%</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时效指标</w:t>
            </w:r>
          </w:p>
        </w:tc>
        <w:tc>
          <w:tcPr>
            <w:tcW w:w="138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培训计划按时完成率</w:t>
            </w:r>
          </w:p>
        </w:tc>
        <w:tc>
          <w:tcPr>
            <w:tcW w:w="97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eastAsia="仿宋_GB2312" w:cs="Times New Roman"/>
                <w:color w:val="000000"/>
                <w:kern w:val="0"/>
                <w:sz w:val="21"/>
                <w:szCs w:val="21"/>
                <w:lang w:val="en-US" w:eastAsia="zh-CN"/>
              </w:rPr>
              <w:t>50%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成本指标</w:t>
            </w:r>
          </w:p>
        </w:tc>
        <w:tc>
          <w:tcPr>
            <w:tcW w:w="138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培训支出</w:t>
            </w:r>
          </w:p>
        </w:tc>
        <w:tc>
          <w:tcPr>
            <w:tcW w:w="97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default" w:ascii="Arial" w:hAnsi="Arial" w:eastAsia="仿宋_GB2312" w:cs="Arial"/>
                <w:color w:val="000000"/>
                <w:kern w:val="0"/>
                <w:sz w:val="21"/>
                <w:szCs w:val="21"/>
                <w:lang w:val="en-US" w:eastAsia="zh-CN"/>
              </w:rPr>
              <w:t>≤</w:t>
            </w:r>
            <w:r>
              <w:rPr>
                <w:rFonts w:hint="eastAsia" w:eastAsia="仿宋_GB2312" w:cs="Times New Roman"/>
                <w:color w:val="000000"/>
                <w:kern w:val="0"/>
                <w:sz w:val="21"/>
                <w:szCs w:val="21"/>
                <w:lang w:val="en-US" w:eastAsia="zh-CN"/>
              </w:rPr>
              <w:t>367.53万元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rPr>
            </w:pPr>
            <w:r>
              <w:rPr>
                <w:rFonts w:hint="eastAsia" w:eastAsia="仿宋_GB2312" w:cs="Times New Roman"/>
                <w:color w:val="000000"/>
                <w:kern w:val="0"/>
                <w:sz w:val="21"/>
                <w:szCs w:val="21"/>
                <w:lang w:val="en-US" w:eastAsia="zh-CN"/>
              </w:rPr>
              <w:t>112.99万元</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eastAsia="仿宋_GB2312" w:cs="Times New Roman"/>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效益指标</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（30分）</w:t>
            </w: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经济效</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益指标</w:t>
            </w:r>
          </w:p>
        </w:tc>
        <w:tc>
          <w:tcPr>
            <w:tcW w:w="138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97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社会效</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益指标</w:t>
            </w:r>
          </w:p>
        </w:tc>
        <w:tc>
          <w:tcPr>
            <w:tcW w:w="138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eastAsia="仿宋_GB2312" w:cs="Times New Roman"/>
                <w:color w:val="000000"/>
                <w:kern w:val="0"/>
                <w:sz w:val="21"/>
                <w:szCs w:val="21"/>
                <w:lang w:val="en-US" w:eastAsia="zh-CN"/>
              </w:rPr>
              <w:t>乡村体育建设</w:t>
            </w:r>
          </w:p>
        </w:tc>
        <w:tc>
          <w:tcPr>
            <w:tcW w:w="97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rPr>
            </w:pPr>
            <w:r>
              <w:rPr>
                <w:rFonts w:hint="eastAsia" w:eastAsia="仿宋_GB2312" w:cs="Times New Roman"/>
                <w:color w:val="000000"/>
                <w:kern w:val="0"/>
                <w:sz w:val="21"/>
                <w:szCs w:val="21"/>
                <w:lang w:val="en-US" w:eastAsia="zh-CN"/>
              </w:rPr>
              <w:t>有效提升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eastAsia="仿宋_GB2312" w:cs="Times New Roman"/>
                <w:color w:val="000000"/>
                <w:kern w:val="0"/>
                <w:sz w:val="21"/>
                <w:szCs w:val="21"/>
                <w:lang w:val="en-US" w:eastAsia="zh-CN"/>
              </w:rPr>
              <w:t>有效提升</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30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30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生态效</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益指标</w:t>
            </w:r>
          </w:p>
        </w:tc>
        <w:tc>
          <w:tcPr>
            <w:tcW w:w="138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97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可持续影响指标</w:t>
            </w:r>
          </w:p>
        </w:tc>
        <w:tc>
          <w:tcPr>
            <w:tcW w:w="138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97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满意度</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指标</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（10分）</w:t>
            </w: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服务对象满意度指标</w:t>
            </w:r>
          </w:p>
        </w:tc>
        <w:tc>
          <w:tcPr>
            <w:tcW w:w="138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参训人员满意度</w:t>
            </w:r>
          </w:p>
        </w:tc>
        <w:tc>
          <w:tcPr>
            <w:tcW w:w="9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kern w:val="0"/>
                <w:sz w:val="21"/>
                <w:szCs w:val="21"/>
              </w:rPr>
            </w:pPr>
            <w:r>
              <w:rPr>
                <w:rFonts w:hint="default" w:ascii="Arial" w:hAnsi="Arial" w:eastAsia="仿宋_GB2312" w:cs="Arial"/>
                <w:color w:val="000000"/>
                <w:kern w:val="0"/>
                <w:szCs w:val="21"/>
                <w:lang w:val="en-US" w:eastAsia="zh-CN"/>
              </w:rPr>
              <w:t>≥</w:t>
            </w:r>
            <w:r>
              <w:rPr>
                <w:rFonts w:hint="eastAsia" w:eastAsia="仿宋_GB2312"/>
                <w:color w:val="000000"/>
                <w:kern w:val="0"/>
                <w:szCs w:val="21"/>
                <w:lang w:val="en-US" w:eastAsia="zh-CN"/>
              </w:rPr>
              <w:t>90%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kern w:val="0"/>
                <w:sz w:val="21"/>
                <w:szCs w:val="21"/>
              </w:rPr>
            </w:pPr>
            <w:r>
              <w:rPr>
                <w:rFonts w:hint="eastAsia" w:eastAsia="仿宋_GB2312"/>
                <w:color w:val="000000"/>
                <w:kern w:val="0"/>
                <w:szCs w:val="21"/>
                <w:lang w:val="en-US" w:eastAsia="zh-CN"/>
              </w:rPr>
              <w:t>95%</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rPr>
            </w:pPr>
            <w:r>
              <w:rPr>
                <w:rFonts w:hint="eastAsia" w:eastAsia="仿宋_GB2312" w:cs="Times New Roman"/>
                <w:color w:val="000000"/>
                <w:kern w:val="0"/>
                <w:sz w:val="21"/>
                <w:szCs w:val="21"/>
                <w:lang w:val="en-US" w:eastAsia="zh-CN"/>
              </w:rPr>
              <w:t>78.1</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r>
    </w:tbl>
    <w:p>
      <w:pPr>
        <w:spacing w:line="600" w:lineRule="exact"/>
        <w:rPr>
          <w:rFonts w:eastAsia="黑体"/>
          <w:kern w:val="0"/>
          <w:sz w:val="32"/>
          <w:szCs w:val="32"/>
        </w:rPr>
      </w:pPr>
    </w:p>
    <w:p/>
    <w:p>
      <w:pPr>
        <w:pStyle w:val="2"/>
        <w:spacing w:before="144" w:beforeLines="25" w:line="500" w:lineRule="exact"/>
        <w:rPr>
          <w:sz w:val="36"/>
          <w:szCs w:val="36"/>
        </w:rPr>
      </w:pPr>
    </w:p>
    <w:p>
      <w:pPr>
        <w:pStyle w:val="2"/>
        <w:spacing w:before="144" w:beforeLines="25" w:line="500" w:lineRule="exact"/>
        <w:rPr>
          <w:sz w:val="36"/>
          <w:szCs w:val="36"/>
        </w:rPr>
      </w:pPr>
      <w:r>
        <w:rPr>
          <w:sz w:val="36"/>
          <w:szCs w:val="36"/>
        </w:rPr>
        <w:t>项目支出绩效自评表</w:t>
      </w:r>
    </w:p>
    <w:p>
      <w:pPr>
        <w:widowControl/>
        <w:adjustRightInd/>
        <w:snapToGrid/>
        <w:spacing w:line="240" w:lineRule="auto"/>
        <w:ind w:firstLine="0" w:firstLineChars="0"/>
        <w:jc w:val="center"/>
        <w:rPr>
          <w:color w:val="000000"/>
          <w:kern w:val="0"/>
          <w:sz w:val="21"/>
          <w:szCs w:val="21"/>
        </w:rPr>
      </w:pPr>
      <w:r>
        <w:rPr>
          <w:color w:val="000000"/>
          <w:kern w:val="0"/>
          <w:sz w:val="21"/>
          <w:szCs w:val="21"/>
        </w:rPr>
        <w:t>（</w:t>
      </w:r>
      <w:r>
        <w:rPr>
          <w:rFonts w:hint="eastAsia"/>
          <w:color w:val="000000"/>
          <w:kern w:val="0"/>
          <w:sz w:val="21"/>
          <w:szCs w:val="21"/>
          <w:lang w:val="en-US" w:eastAsia="zh-CN"/>
        </w:rPr>
        <w:t>2024</w:t>
      </w:r>
      <w:r>
        <w:rPr>
          <w:color w:val="000000"/>
          <w:kern w:val="0"/>
          <w:sz w:val="21"/>
          <w:szCs w:val="21"/>
        </w:rPr>
        <w:t>年度）</w:t>
      </w:r>
    </w:p>
    <w:tbl>
      <w:tblPr>
        <w:tblStyle w:val="12"/>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项目支</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both"/>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现代农业农村发展专项</w:t>
            </w: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主管部门</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ascii="Times New Roman" w:hAnsi="Times New Roman" w:eastAsia="仿宋_GB2312" w:cs="Times New Roman"/>
                <w:color w:val="000000"/>
                <w:kern w:val="0"/>
                <w:sz w:val="21"/>
                <w:szCs w:val="21"/>
              </w:rPr>
              <w:t>　</w:t>
            </w:r>
            <w:r>
              <w:rPr>
                <w:rFonts w:hint="eastAsia" w:ascii="Times New Roman" w:hAnsi="Times New Roman" w:eastAsia="仿宋_GB2312" w:cs="Times New Roman"/>
                <w:color w:val="000000"/>
                <w:kern w:val="0"/>
                <w:sz w:val="21"/>
                <w:szCs w:val="21"/>
                <w:lang w:val="en-US" w:eastAsia="zh-CN"/>
              </w:rPr>
              <w:t>湖南省农业农村厅</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实施单位</w:t>
            </w:r>
          </w:p>
        </w:tc>
        <w:tc>
          <w:tcPr>
            <w:tcW w:w="3119" w:type="dxa"/>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湖南省农民科技教育培训中心</w:t>
            </w: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项目资金</w:t>
            </w:r>
            <w:r>
              <w:rPr>
                <w:rFonts w:ascii="Times New Roman" w:hAnsi="Times New Roman" w:eastAsia="仿宋_GB2312" w:cs="Times New Roman"/>
                <w:color w:val="000000"/>
                <w:kern w:val="0"/>
                <w:sz w:val="21"/>
                <w:szCs w:val="21"/>
              </w:rPr>
              <w:br w:type="textWrapping"/>
            </w:r>
            <w:r>
              <w:rPr>
                <w:rFonts w:ascii="Times New Roman" w:hAnsi="Times New Roman" w:eastAsia="仿宋_GB2312" w:cs="Times New Roman"/>
                <w:color w:val="000000"/>
                <w:kern w:val="0"/>
                <w:sz w:val="21"/>
                <w:szCs w:val="21"/>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年初</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预算数</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全年</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全年</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年度资金总额　</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250</w:t>
            </w:r>
            <w:r>
              <w:rPr>
                <w:rFonts w:ascii="Times New Roman" w:hAnsi="Times New Roman" w:eastAsia="仿宋_GB2312" w:cs="Times New Roman"/>
                <w:color w:val="000000"/>
                <w:kern w:val="0"/>
                <w:sz w:val="21"/>
                <w:szCs w:val="21"/>
              </w:rPr>
              <w:t>　</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650</w:t>
            </w:r>
            <w:r>
              <w:rPr>
                <w:rFonts w:ascii="Times New Roman" w:hAnsi="Times New Roman" w:eastAsia="仿宋_GB2312" w:cs="Times New Roman"/>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456.18</w:t>
            </w:r>
            <w:r>
              <w:rPr>
                <w:rFonts w:ascii="Times New Roman" w:hAnsi="Times New Roman" w:eastAsia="仿宋_GB2312" w:cs="Times New Roman"/>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70.18%</w:t>
            </w: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7</w:t>
            </w: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其中：当年财政拨款　</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250</w:t>
            </w:r>
            <w:r>
              <w:rPr>
                <w:rFonts w:ascii="Times New Roman" w:hAnsi="Times New Roman" w:eastAsia="仿宋_GB2312" w:cs="Times New Roman"/>
                <w:color w:val="000000"/>
                <w:kern w:val="0"/>
                <w:sz w:val="21"/>
                <w:szCs w:val="21"/>
              </w:rPr>
              <w:t>　</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650</w:t>
            </w:r>
            <w:r>
              <w:rPr>
                <w:rFonts w:ascii="Times New Roman" w:hAnsi="Times New Roman" w:eastAsia="仿宋_GB2312" w:cs="Times New Roman"/>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上年结转资金　</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其他资金</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rPr>
              <w:t>举办</w:t>
            </w:r>
            <w:r>
              <w:rPr>
                <w:rFonts w:hint="eastAsia" w:ascii="Times New Roman" w:hAnsi="Times New Roman" w:eastAsia="仿宋_GB2312" w:cs="Times New Roman"/>
                <w:color w:val="000000"/>
                <w:kern w:val="0"/>
                <w:sz w:val="21"/>
                <w:szCs w:val="21"/>
                <w:lang w:val="en-US" w:eastAsia="zh-CN"/>
              </w:rPr>
              <w:t>51</w:t>
            </w:r>
            <w:r>
              <w:rPr>
                <w:rFonts w:hint="eastAsia" w:ascii="Times New Roman" w:hAnsi="Times New Roman" w:eastAsia="仿宋_GB2312" w:cs="Times New Roman"/>
                <w:color w:val="000000"/>
                <w:kern w:val="0"/>
                <w:sz w:val="21"/>
                <w:szCs w:val="21"/>
              </w:rPr>
              <w:t>期培训班，培训7400名农业农村系统干部，提高政策理论和专业水平，提升整体业务工作及管理能力，助力乡村振兴。</w:t>
            </w:r>
            <w:r>
              <w:rPr>
                <w:rFonts w:ascii="Times New Roman" w:hAnsi="Times New Roman" w:eastAsia="仿宋_GB2312" w:cs="Times New Roman"/>
                <w:color w:val="000000"/>
                <w:kern w:val="0"/>
                <w:sz w:val="21"/>
                <w:szCs w:val="21"/>
              </w:rPr>
              <w:t>　　</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eastAsia" w:ascii="Times New Roman" w:hAnsi="Times New Roman" w:eastAsia="仿宋_GB2312" w:cs="Times New Roman"/>
                <w:color w:val="000000"/>
                <w:kern w:val="0"/>
                <w:sz w:val="21"/>
                <w:szCs w:val="21"/>
                <w:lang w:eastAsia="zh-CN"/>
              </w:rPr>
            </w:pPr>
            <w:r>
              <w:rPr>
                <w:rFonts w:hint="eastAsia" w:ascii="Times New Roman" w:hAnsi="Times New Roman" w:eastAsia="仿宋_GB2312" w:cs="Times New Roman"/>
                <w:color w:val="000000"/>
                <w:kern w:val="0"/>
                <w:sz w:val="21"/>
                <w:szCs w:val="21"/>
              </w:rPr>
              <w:t>举办</w:t>
            </w:r>
            <w:r>
              <w:rPr>
                <w:rFonts w:hint="eastAsia" w:eastAsia="仿宋_GB2312" w:cs="Times New Roman"/>
                <w:color w:val="000000"/>
                <w:kern w:val="0"/>
                <w:sz w:val="21"/>
                <w:szCs w:val="21"/>
                <w:lang w:val="en-US" w:eastAsia="zh-CN"/>
              </w:rPr>
              <w:t>了34</w:t>
            </w:r>
            <w:r>
              <w:rPr>
                <w:rFonts w:hint="eastAsia" w:ascii="Times New Roman" w:hAnsi="Times New Roman" w:eastAsia="仿宋_GB2312" w:cs="Times New Roman"/>
                <w:color w:val="000000"/>
                <w:kern w:val="0"/>
                <w:sz w:val="21"/>
                <w:szCs w:val="21"/>
              </w:rPr>
              <w:t>期培训班，培训</w:t>
            </w:r>
            <w:r>
              <w:rPr>
                <w:rFonts w:hint="eastAsia" w:eastAsia="仿宋_GB2312" w:cs="Times New Roman"/>
                <w:color w:val="000000"/>
                <w:kern w:val="0"/>
                <w:sz w:val="21"/>
                <w:szCs w:val="21"/>
                <w:lang w:val="en-US" w:eastAsia="zh-CN"/>
              </w:rPr>
              <w:t>了5883</w:t>
            </w:r>
            <w:r>
              <w:rPr>
                <w:rFonts w:hint="eastAsia" w:ascii="Times New Roman" w:hAnsi="Times New Roman" w:eastAsia="仿宋_GB2312" w:cs="Times New Roman"/>
                <w:color w:val="000000"/>
                <w:kern w:val="0"/>
                <w:sz w:val="21"/>
                <w:szCs w:val="21"/>
              </w:rPr>
              <w:t>名农业农村系统干部，提高</w:t>
            </w:r>
            <w:r>
              <w:rPr>
                <w:rFonts w:hint="eastAsia" w:eastAsia="仿宋_GB2312" w:cs="Times New Roman"/>
                <w:color w:val="000000"/>
                <w:kern w:val="0"/>
                <w:sz w:val="21"/>
                <w:szCs w:val="21"/>
                <w:lang w:val="en-US" w:eastAsia="zh-CN"/>
              </w:rPr>
              <w:t>了</w:t>
            </w:r>
            <w:r>
              <w:rPr>
                <w:rFonts w:hint="eastAsia" w:ascii="Times New Roman" w:hAnsi="Times New Roman" w:eastAsia="仿宋_GB2312" w:cs="Times New Roman"/>
                <w:color w:val="000000"/>
                <w:kern w:val="0"/>
                <w:sz w:val="21"/>
                <w:szCs w:val="21"/>
              </w:rPr>
              <w:t>政策理论和专业水平，提升</w:t>
            </w:r>
            <w:r>
              <w:rPr>
                <w:rFonts w:hint="eastAsia" w:eastAsia="仿宋_GB2312" w:cs="Times New Roman"/>
                <w:color w:val="000000"/>
                <w:kern w:val="0"/>
                <w:sz w:val="21"/>
                <w:szCs w:val="21"/>
                <w:lang w:val="en-US" w:eastAsia="zh-CN"/>
              </w:rPr>
              <w:t>了</w:t>
            </w:r>
            <w:r>
              <w:rPr>
                <w:rFonts w:hint="eastAsia" w:ascii="Times New Roman" w:hAnsi="Times New Roman" w:eastAsia="仿宋_GB2312" w:cs="Times New Roman"/>
                <w:color w:val="000000"/>
                <w:kern w:val="0"/>
                <w:sz w:val="21"/>
                <w:szCs w:val="21"/>
              </w:rPr>
              <w:t>整体业务工作及管理能力</w:t>
            </w:r>
            <w:r>
              <w:rPr>
                <w:rFonts w:hint="eastAsia" w:eastAsia="仿宋_GB2312" w:cs="Times New Roman"/>
                <w:color w:val="000000"/>
                <w:kern w:val="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绩</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效</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指</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二级指标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三级指标</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年度</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实际</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偏差原因</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分析及</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产出指标</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(50分)</w:t>
            </w: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数量指标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培训期数</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default" w:ascii="Arial" w:hAnsi="Arial" w:eastAsia="仿宋_GB2312" w:cs="Arial"/>
                <w:color w:val="000000"/>
                <w:kern w:val="0"/>
                <w:sz w:val="21"/>
                <w:szCs w:val="21"/>
                <w:lang w:val="en-US" w:eastAsia="zh-CN"/>
              </w:rPr>
              <w:t>≥</w:t>
            </w:r>
            <w:r>
              <w:rPr>
                <w:rFonts w:hint="eastAsia" w:ascii="Times New Roman" w:hAnsi="Times New Roman" w:eastAsia="仿宋_GB2312" w:cs="Times New Roman"/>
                <w:color w:val="000000"/>
                <w:kern w:val="0"/>
                <w:sz w:val="21"/>
                <w:szCs w:val="21"/>
                <w:lang w:val="en-US" w:eastAsia="zh-CN"/>
              </w:rPr>
              <w:t>51</w:t>
            </w:r>
            <w:r>
              <w:rPr>
                <w:rFonts w:hint="eastAsia" w:eastAsia="仿宋_GB2312" w:cs="Times New Roman"/>
                <w:color w:val="000000"/>
                <w:kern w:val="0"/>
                <w:sz w:val="21"/>
                <w:szCs w:val="21"/>
                <w:lang w:val="en-US" w:eastAsia="zh-CN"/>
              </w:rPr>
              <w:t>期</w:t>
            </w:r>
            <w:r>
              <w:rPr>
                <w:rFonts w:ascii="Times New Roman" w:hAnsi="Times New Roman" w:eastAsia="仿宋_GB2312" w:cs="Times New Roman"/>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34</w:t>
            </w:r>
            <w:r>
              <w:rPr>
                <w:rFonts w:hint="eastAsia" w:eastAsia="仿宋_GB2312" w:cs="Times New Roman"/>
                <w:color w:val="000000"/>
                <w:kern w:val="0"/>
                <w:sz w:val="21"/>
                <w:szCs w:val="21"/>
                <w:lang w:val="en-US" w:eastAsia="zh-CN"/>
              </w:rPr>
              <w:t>期</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6.7</w:t>
            </w: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eastAsia="仿宋_GB2312" w:cs="Times New Roman"/>
                <w:color w:val="000000"/>
                <w:kern w:val="0"/>
                <w:sz w:val="21"/>
                <w:szCs w:val="21"/>
                <w:lang w:val="en-US" w:eastAsia="zh-CN"/>
              </w:rPr>
              <w:t>9月下达400万</w:t>
            </w: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培训人数</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both"/>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 xml:space="preserve">  </w:t>
            </w:r>
            <w:r>
              <w:rPr>
                <w:rFonts w:hint="default" w:ascii="Arial" w:hAnsi="Arial" w:eastAsia="仿宋_GB2312" w:cs="Arial"/>
                <w:color w:val="000000"/>
                <w:kern w:val="0"/>
                <w:sz w:val="21"/>
                <w:szCs w:val="21"/>
                <w:lang w:val="en-US" w:eastAsia="zh-CN"/>
              </w:rPr>
              <w:t>≥</w:t>
            </w:r>
            <w:r>
              <w:rPr>
                <w:rFonts w:hint="eastAsia" w:ascii="Times New Roman" w:hAnsi="Times New Roman" w:eastAsia="仿宋_GB2312" w:cs="Times New Roman"/>
                <w:color w:val="000000"/>
                <w:kern w:val="0"/>
                <w:sz w:val="21"/>
                <w:szCs w:val="21"/>
                <w:lang w:val="en-US" w:eastAsia="zh-CN"/>
              </w:rPr>
              <w:t>7400</w:t>
            </w:r>
            <w:r>
              <w:rPr>
                <w:rFonts w:hint="eastAsia" w:eastAsia="仿宋_GB2312" w:cs="Times New Roman"/>
                <w:color w:val="000000"/>
                <w:kern w:val="0"/>
                <w:sz w:val="21"/>
                <w:szCs w:val="21"/>
                <w:lang w:val="en-US" w:eastAsia="zh-CN"/>
              </w:rPr>
              <w:t>人</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5883</w:t>
            </w:r>
            <w:r>
              <w:rPr>
                <w:rFonts w:hint="eastAsia" w:eastAsia="仿宋_GB2312" w:cs="Times New Roman"/>
                <w:color w:val="000000"/>
                <w:kern w:val="0"/>
                <w:sz w:val="21"/>
                <w:szCs w:val="21"/>
                <w:lang w:val="en-US" w:eastAsia="zh-CN"/>
              </w:rPr>
              <w:t>人</w:t>
            </w:r>
            <w:r>
              <w:rPr>
                <w:rFonts w:ascii="Times New Roman" w:hAnsi="Times New Roman" w:eastAsia="仿宋_GB2312" w:cs="Times New Roman"/>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both"/>
              <w:textAlignment w:val="center"/>
              <w:rPr>
                <w:rFonts w:hint="default" w:ascii="Times New Roman" w:hAnsi="Times New Roman" w:eastAsia="仿宋_GB2312" w:cs="Times New Roman"/>
                <w:color w:val="000000"/>
                <w:kern w:val="0"/>
                <w:sz w:val="21"/>
                <w:szCs w:val="21"/>
                <w:lang w:val="en-US" w:eastAsia="zh-CN"/>
              </w:rPr>
            </w:pPr>
            <w:r>
              <w:rPr>
                <w:rFonts w:ascii="Times New Roman" w:hAnsi="Times New Roman" w:eastAsia="仿宋_GB2312" w:cs="Times New Roman"/>
                <w:color w:val="000000"/>
                <w:kern w:val="0"/>
                <w:sz w:val="21"/>
                <w:szCs w:val="21"/>
              </w:rPr>
              <w:t>　</w:t>
            </w:r>
            <w:r>
              <w:rPr>
                <w:rFonts w:hint="eastAsia" w:ascii="Times New Roman" w:hAnsi="Times New Roman"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8</w:t>
            </w: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质量指标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培训合格率</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default" w:ascii="Arial" w:hAnsi="Arial" w:eastAsia="仿宋_GB2312" w:cs="Arial"/>
                <w:color w:val="000000"/>
                <w:kern w:val="0"/>
                <w:sz w:val="21"/>
                <w:szCs w:val="21"/>
                <w:lang w:val="en-US" w:eastAsia="zh-CN"/>
              </w:rPr>
              <w:t>≥</w:t>
            </w:r>
            <w:r>
              <w:rPr>
                <w:rFonts w:hint="eastAsia" w:ascii="Times New Roman" w:hAnsi="Times New Roman" w:eastAsia="仿宋_GB2312" w:cs="Times New Roman"/>
                <w:color w:val="000000"/>
                <w:kern w:val="0"/>
                <w:sz w:val="21"/>
                <w:szCs w:val="21"/>
                <w:lang w:val="en-US" w:eastAsia="zh-CN"/>
              </w:rPr>
              <w:t>95%</w:t>
            </w:r>
            <w:r>
              <w:rPr>
                <w:rFonts w:ascii="Times New Roman" w:hAnsi="Times New Roman" w:eastAsia="仿宋_GB2312" w:cs="Times New Roman"/>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95%</w:t>
            </w:r>
            <w:r>
              <w:rPr>
                <w:rFonts w:ascii="Times New Roman" w:hAnsi="Times New Roman" w:eastAsia="仿宋_GB2312" w:cs="Times New Roman"/>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both"/>
              <w:textAlignment w:val="center"/>
              <w:rPr>
                <w:rFonts w:hint="default" w:ascii="Times New Roman" w:hAnsi="Times New Roman" w:eastAsia="仿宋_GB2312" w:cs="Times New Roman"/>
                <w:color w:val="000000"/>
                <w:kern w:val="0"/>
                <w:sz w:val="21"/>
                <w:szCs w:val="21"/>
                <w:lang w:val="en-US" w:eastAsia="zh-CN"/>
              </w:rPr>
            </w:pPr>
            <w:r>
              <w:rPr>
                <w:rFonts w:ascii="Times New Roman" w:hAnsi="Times New Roman" w:eastAsia="仿宋_GB2312" w:cs="Times New Roman"/>
                <w:color w:val="000000"/>
                <w:kern w:val="0"/>
                <w:sz w:val="21"/>
                <w:szCs w:val="21"/>
              </w:rPr>
              <w:t>　</w:t>
            </w:r>
            <w:r>
              <w:rPr>
                <w:rFonts w:hint="eastAsia" w:ascii="Times New Roman" w:hAnsi="Times New Roman"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时效指标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培训计划按时完成率</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ascii="Times New Roman" w:hAnsi="Times New Roman" w:eastAsia="仿宋_GB2312" w:cs="Times New Roman"/>
                <w:color w:val="000000"/>
                <w:kern w:val="0"/>
                <w:sz w:val="21"/>
                <w:szCs w:val="21"/>
              </w:rPr>
              <w:t>　</w:t>
            </w:r>
            <w:r>
              <w:rPr>
                <w:rFonts w:hint="eastAsia" w:eastAsia="仿宋_GB2312" w:cs="Times New Roman"/>
                <w:color w:val="000000"/>
                <w:kern w:val="0"/>
                <w:sz w:val="21"/>
                <w:szCs w:val="21"/>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67%</w:t>
            </w:r>
            <w:r>
              <w:rPr>
                <w:rFonts w:ascii="Times New Roman" w:hAnsi="Times New Roman" w:eastAsia="仿宋_GB2312" w:cs="Times New Roman"/>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both"/>
              <w:textAlignment w:val="center"/>
              <w:rPr>
                <w:rFonts w:hint="default" w:ascii="Times New Roman" w:hAnsi="Times New Roman" w:eastAsia="仿宋_GB2312" w:cs="Times New Roman"/>
                <w:color w:val="000000"/>
                <w:kern w:val="0"/>
                <w:sz w:val="21"/>
                <w:szCs w:val="21"/>
                <w:lang w:val="en-US" w:eastAsia="zh-CN"/>
              </w:rPr>
            </w:pPr>
            <w:r>
              <w:rPr>
                <w:rFonts w:ascii="Times New Roman" w:hAnsi="Times New Roman" w:eastAsia="仿宋_GB2312" w:cs="Times New Roman"/>
                <w:color w:val="000000"/>
                <w:kern w:val="0"/>
                <w:sz w:val="21"/>
                <w:szCs w:val="21"/>
              </w:rPr>
              <w:t>　</w:t>
            </w:r>
            <w:r>
              <w:rPr>
                <w:rFonts w:hint="eastAsia" w:ascii="Times New Roman" w:hAnsi="Times New Roman"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6.7</w:t>
            </w: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成本指标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培训资金使用情况</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default" w:ascii="Arial" w:hAnsi="Arial" w:eastAsia="仿宋_GB2312" w:cs="Arial"/>
                <w:color w:val="000000"/>
                <w:kern w:val="0"/>
                <w:sz w:val="21"/>
                <w:szCs w:val="21"/>
                <w:lang w:val="en-US" w:eastAsia="zh-CN"/>
              </w:rPr>
              <w:t>≤</w:t>
            </w:r>
            <w:r>
              <w:rPr>
                <w:rFonts w:hint="eastAsia" w:ascii="Times New Roman" w:hAnsi="Times New Roman" w:eastAsia="仿宋_GB2312" w:cs="Times New Roman"/>
                <w:color w:val="000000"/>
                <w:kern w:val="0"/>
                <w:sz w:val="21"/>
                <w:szCs w:val="21"/>
                <w:lang w:val="en-US" w:eastAsia="zh-CN"/>
              </w:rPr>
              <w:t>650</w:t>
            </w:r>
            <w:r>
              <w:rPr>
                <w:rFonts w:hint="eastAsia" w:eastAsia="仿宋_GB2312" w:cs="Times New Roman"/>
                <w:color w:val="000000"/>
                <w:kern w:val="0"/>
                <w:sz w:val="21"/>
                <w:szCs w:val="21"/>
                <w:lang w:val="en-US" w:eastAsia="zh-CN"/>
              </w:rPr>
              <w:t>万元</w:t>
            </w:r>
            <w:r>
              <w:rPr>
                <w:rFonts w:ascii="Times New Roman" w:hAnsi="Times New Roman" w:eastAsia="仿宋_GB2312" w:cs="Times New Roman"/>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456.18</w:t>
            </w:r>
            <w:r>
              <w:rPr>
                <w:rFonts w:hint="eastAsia" w:eastAsia="仿宋_GB2312" w:cs="Times New Roman"/>
                <w:color w:val="000000"/>
                <w:kern w:val="0"/>
                <w:sz w:val="21"/>
                <w:szCs w:val="21"/>
                <w:lang w:val="en-US" w:eastAsia="zh-CN"/>
              </w:rPr>
              <w:t>万元</w:t>
            </w:r>
            <w:r>
              <w:rPr>
                <w:rFonts w:ascii="Times New Roman" w:hAnsi="Times New Roman" w:eastAsia="仿宋_GB2312" w:cs="Times New Roman"/>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both"/>
              <w:textAlignment w:val="center"/>
              <w:rPr>
                <w:rFonts w:hint="default" w:ascii="Times New Roman" w:hAnsi="Times New Roman" w:eastAsia="仿宋_GB2312" w:cs="Times New Roman"/>
                <w:color w:val="000000"/>
                <w:kern w:val="0"/>
                <w:sz w:val="21"/>
                <w:szCs w:val="21"/>
                <w:lang w:val="en-US" w:eastAsia="zh-CN"/>
              </w:rPr>
            </w:pPr>
            <w:r>
              <w:rPr>
                <w:rFonts w:ascii="Times New Roman" w:hAnsi="Times New Roman" w:eastAsia="仿宋_GB2312" w:cs="Times New Roman"/>
                <w:color w:val="000000"/>
                <w:kern w:val="0"/>
                <w:sz w:val="21"/>
                <w:szCs w:val="21"/>
              </w:rPr>
              <w:t>　</w:t>
            </w:r>
            <w:r>
              <w:rPr>
                <w:rFonts w:hint="eastAsia" w:ascii="Times New Roman" w:hAnsi="Times New Roman"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10</w:t>
            </w: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效益指标</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（30分）</w:t>
            </w: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经济效</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益指标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社会效</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益指标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农业农村系统体系能力建设水平</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有效改善</w:t>
            </w:r>
            <w:r>
              <w:rPr>
                <w:rFonts w:ascii="Times New Roman" w:hAnsi="Times New Roman" w:eastAsia="仿宋_GB2312" w:cs="Times New Roman"/>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有效改善</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30</w:t>
            </w:r>
            <w:r>
              <w:rPr>
                <w:rFonts w:ascii="Times New Roman" w:hAnsi="Times New Roman" w:eastAsia="仿宋_GB2312" w:cs="Times New Roman"/>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30</w:t>
            </w: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生态效</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益指标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可持续影响指标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满意度</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指标</w:t>
            </w:r>
          </w:p>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（10分）</w:t>
            </w: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服务对象满意度指标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参训人员满意度</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kern w:val="0"/>
                <w:sz w:val="21"/>
                <w:szCs w:val="21"/>
              </w:rPr>
            </w:pPr>
            <w:r>
              <w:rPr>
                <w:rFonts w:eastAsia="仿宋_GB2312"/>
                <w:color w:val="000000"/>
                <w:kern w:val="0"/>
                <w:szCs w:val="21"/>
              </w:rPr>
              <w:t>　</w:t>
            </w:r>
            <w:r>
              <w:rPr>
                <w:rFonts w:hint="default" w:ascii="Arial" w:hAnsi="Arial" w:eastAsia="仿宋_GB2312" w:cs="Arial"/>
                <w:color w:val="000000"/>
                <w:kern w:val="0"/>
                <w:szCs w:val="21"/>
                <w:lang w:val="en-US" w:eastAsia="zh-CN"/>
              </w:rPr>
              <w:t>≥</w:t>
            </w:r>
            <w:r>
              <w:rPr>
                <w:rFonts w:hint="eastAsia" w:eastAsia="仿宋_GB2312"/>
                <w:color w:val="000000"/>
                <w:kern w:val="0"/>
                <w:szCs w:val="21"/>
                <w:lang w:val="en-US" w:eastAsia="zh-CN"/>
              </w:rPr>
              <w:t>90%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kern w:val="0"/>
                <w:sz w:val="21"/>
                <w:szCs w:val="21"/>
              </w:rPr>
            </w:pPr>
            <w:r>
              <w:rPr>
                <w:rFonts w:eastAsia="仿宋_GB2312"/>
                <w:color w:val="000000"/>
                <w:kern w:val="0"/>
                <w:szCs w:val="21"/>
              </w:rPr>
              <w:t>　</w:t>
            </w:r>
            <w:r>
              <w:rPr>
                <w:rFonts w:hint="eastAsia" w:eastAsia="仿宋_GB2312"/>
                <w:color w:val="000000"/>
                <w:kern w:val="0"/>
                <w:szCs w:val="21"/>
                <w:lang w:val="en-US" w:eastAsia="zh-CN"/>
              </w:rPr>
              <w:t>95%</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ascii="Times New Roman" w:hAnsi="Times New Roman" w:eastAsia="仿宋_GB2312" w:cs="Times New Roman"/>
                <w:color w:val="000000"/>
                <w:kern w:val="0"/>
                <w:sz w:val="21"/>
                <w:szCs w:val="21"/>
              </w:rPr>
              <w:t>　</w:t>
            </w:r>
            <w:r>
              <w:rPr>
                <w:rFonts w:hint="eastAsia" w:ascii="Times New Roman" w:hAnsi="Times New Roman" w:eastAsia="仿宋_GB2312"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10</w:t>
            </w: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hint="eastAsia" w:ascii="Times New Roman" w:hAnsi="Times New Roman" w:eastAsia="仿宋_GB2312" w:cs="Times New Roman"/>
                <w:color w:val="000000"/>
                <w:kern w:val="0"/>
                <w:sz w:val="21"/>
                <w:szCs w:val="21"/>
                <w:lang w:val="en-US" w:eastAsia="zh-CN"/>
              </w:rPr>
              <w:t>88.4</w:t>
            </w:r>
            <w:r>
              <w:rPr>
                <w:rFonts w:ascii="Times New Roman" w:hAnsi="Times New Roman" w:eastAsia="仿宋_GB2312" w:cs="Times New Roman"/>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ascii="Times New Roman" w:hAnsi="Times New Roman" w:eastAsia="仿宋_GB2312" w:cs="Times New Roman"/>
                <w:color w:val="000000"/>
                <w:kern w:val="0"/>
                <w:sz w:val="21"/>
                <w:szCs w:val="21"/>
              </w:rPr>
            </w:pPr>
            <w:r>
              <w:rPr>
                <w:rFonts w:ascii="Times New Roman" w:hAnsi="Times New Roman" w:eastAsia="仿宋_GB2312" w:cs="Times New Roman"/>
                <w:color w:val="000000"/>
                <w:kern w:val="0"/>
                <w:sz w:val="21"/>
                <w:szCs w:val="21"/>
              </w:rPr>
              <w:t>　</w:t>
            </w:r>
          </w:p>
        </w:tc>
      </w:tr>
    </w:tbl>
    <w:p>
      <w:pPr>
        <w:spacing w:line="600" w:lineRule="exact"/>
        <w:rPr>
          <w:rFonts w:eastAsia="黑体"/>
          <w:kern w:val="0"/>
          <w:sz w:val="32"/>
          <w:szCs w:val="32"/>
        </w:rPr>
      </w:pPr>
    </w:p>
    <w:p>
      <w:pPr>
        <w:jc w:val="left"/>
        <w:rPr>
          <w:rFonts w:ascii="Times New Roman" w:hAnsi="Times New Roman" w:cs="Times New Roman"/>
          <w:color w:val="000000"/>
          <w:kern w:val="0"/>
          <w:sz w:val="32"/>
          <w:szCs w:val="32"/>
        </w:rPr>
      </w:pPr>
    </w:p>
    <w:sectPr>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Times New Roman Regular">
    <w:altName w:val="Nimbus Roman No9 L"/>
    <w:panose1 w:val="02020603050405020304"/>
    <w:charset w:val="00"/>
    <w:family w:val="auto"/>
    <w:pitch w:val="default"/>
    <w:sig w:usb0="00000000" w:usb1="00000000" w:usb2="00000009" w:usb3="00000000" w:csb0="400001FF" w:csb1="FFFF0000"/>
  </w:font>
  <w:font w:name="Batang">
    <w:altName w:val="Noto Serif CJK JP"/>
    <w:panose1 w:val="02030600000101010101"/>
    <w:charset w:val="81"/>
    <w:family w:val="roman"/>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方正宋体S-超大字符集">
    <w:panose1 w:val="02000000000000000000"/>
    <w:charset w:val="86"/>
    <w:family w:val="auto"/>
    <w:pitch w:val="default"/>
    <w:sig w:usb0="00000001" w:usb1="08000000" w:usb2="00000000" w:usb3="00000000" w:csb0="00040000" w:csb1="00000000"/>
  </w:font>
  <w:font w:name="Noto Serif CJK JP">
    <w:panose1 w:val="02020500000000000000"/>
    <w:charset w:val="86"/>
    <w:family w:val="auto"/>
    <w:pitch w:val="default"/>
    <w:sig w:usb0="30000083" w:usb1="2BDF3C10" w:usb2="00000016" w:usb3="00000000" w:csb0="602E0107" w:csb1="0000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nWxrOFQIAABkEAAAOAAAAAAAAAAEAIAAAADUBAABkcnMvZTJvRG9jLnhtbFBLBQYAAAAABgAG&#10;AFkBAAC8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CCAE67"/>
    <w:multiLevelType w:val="singleLevel"/>
    <w:tmpl w:val="F2CCAE67"/>
    <w:lvl w:ilvl="0" w:tentative="0">
      <w:start w:val="3"/>
      <w:numFmt w:val="decimal"/>
      <w:suff w:val="nothing"/>
      <w:lvlText w:val="%1、"/>
      <w:lvlJc w:val="left"/>
    </w:lvl>
  </w:abstractNum>
  <w:abstractNum w:abstractNumId="1">
    <w:nsid w:val="2C76A806"/>
    <w:multiLevelType w:val="singleLevel"/>
    <w:tmpl w:val="2C76A806"/>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embedTrueTypeFonts/>
  <w:saveSubsetFonts/>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0BE1"/>
    <w:rsid w:val="0027426B"/>
    <w:rsid w:val="00296D60"/>
    <w:rsid w:val="002E0A30"/>
    <w:rsid w:val="0030077D"/>
    <w:rsid w:val="003130C4"/>
    <w:rsid w:val="00316C4B"/>
    <w:rsid w:val="0032192B"/>
    <w:rsid w:val="0033283E"/>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347A59"/>
    <w:rsid w:val="030D1668"/>
    <w:rsid w:val="03471A70"/>
    <w:rsid w:val="03EC360F"/>
    <w:rsid w:val="04843394"/>
    <w:rsid w:val="04DC4690"/>
    <w:rsid w:val="05467D5B"/>
    <w:rsid w:val="05CC04F5"/>
    <w:rsid w:val="06103955"/>
    <w:rsid w:val="08CB39E8"/>
    <w:rsid w:val="0A0A75A9"/>
    <w:rsid w:val="0ADD2F10"/>
    <w:rsid w:val="0E1E3623"/>
    <w:rsid w:val="0F4632F8"/>
    <w:rsid w:val="0F825E34"/>
    <w:rsid w:val="0F9B487B"/>
    <w:rsid w:val="0FA32B5E"/>
    <w:rsid w:val="10BD1C77"/>
    <w:rsid w:val="11042690"/>
    <w:rsid w:val="11FD07C1"/>
    <w:rsid w:val="12C31EC6"/>
    <w:rsid w:val="12DA3AFB"/>
    <w:rsid w:val="12DD2585"/>
    <w:rsid w:val="134238FB"/>
    <w:rsid w:val="1490670C"/>
    <w:rsid w:val="14C23F3C"/>
    <w:rsid w:val="150177FB"/>
    <w:rsid w:val="1635775C"/>
    <w:rsid w:val="16765CDC"/>
    <w:rsid w:val="16B27361"/>
    <w:rsid w:val="18C23292"/>
    <w:rsid w:val="18EF4151"/>
    <w:rsid w:val="19CE5EFC"/>
    <w:rsid w:val="1B0B3181"/>
    <w:rsid w:val="1B18764C"/>
    <w:rsid w:val="1D97DEFF"/>
    <w:rsid w:val="1D9A47B6"/>
    <w:rsid w:val="1DFF72E5"/>
    <w:rsid w:val="1E8F7C25"/>
    <w:rsid w:val="1ECF145C"/>
    <w:rsid w:val="1EFC6F07"/>
    <w:rsid w:val="1FE77FC8"/>
    <w:rsid w:val="201C373B"/>
    <w:rsid w:val="20577A8C"/>
    <w:rsid w:val="20AF45AF"/>
    <w:rsid w:val="22563A79"/>
    <w:rsid w:val="22586046"/>
    <w:rsid w:val="22F008BC"/>
    <w:rsid w:val="235B60DC"/>
    <w:rsid w:val="23810EEB"/>
    <w:rsid w:val="239C52BE"/>
    <w:rsid w:val="25237319"/>
    <w:rsid w:val="25C22391"/>
    <w:rsid w:val="25DA0320"/>
    <w:rsid w:val="26F87CB2"/>
    <w:rsid w:val="28617CFE"/>
    <w:rsid w:val="289F315B"/>
    <w:rsid w:val="28A95D87"/>
    <w:rsid w:val="28F017E9"/>
    <w:rsid w:val="29882870"/>
    <w:rsid w:val="299261EC"/>
    <w:rsid w:val="2A127F21"/>
    <w:rsid w:val="2A4C11FC"/>
    <w:rsid w:val="2A992557"/>
    <w:rsid w:val="2B062705"/>
    <w:rsid w:val="2B3109E2"/>
    <w:rsid w:val="2B5D3585"/>
    <w:rsid w:val="2DFA0C10"/>
    <w:rsid w:val="2E644DE9"/>
    <w:rsid w:val="2E9D1EEA"/>
    <w:rsid w:val="2FDF85B8"/>
    <w:rsid w:val="2FFFEE04"/>
    <w:rsid w:val="303F77A5"/>
    <w:rsid w:val="30473F30"/>
    <w:rsid w:val="31230779"/>
    <w:rsid w:val="319D7E54"/>
    <w:rsid w:val="32521E64"/>
    <w:rsid w:val="33142830"/>
    <w:rsid w:val="33702BE6"/>
    <w:rsid w:val="34DF85B0"/>
    <w:rsid w:val="34F85278"/>
    <w:rsid w:val="35FDEB0C"/>
    <w:rsid w:val="36B80A44"/>
    <w:rsid w:val="36F60F68"/>
    <w:rsid w:val="38A00F55"/>
    <w:rsid w:val="38C71E18"/>
    <w:rsid w:val="395B12C8"/>
    <w:rsid w:val="3A5C3770"/>
    <w:rsid w:val="3B495926"/>
    <w:rsid w:val="3B8F36BC"/>
    <w:rsid w:val="3BED2703"/>
    <w:rsid w:val="3C0572CE"/>
    <w:rsid w:val="3DE21710"/>
    <w:rsid w:val="3E0A5A0D"/>
    <w:rsid w:val="3EB90958"/>
    <w:rsid w:val="3EE53B65"/>
    <w:rsid w:val="3EF841D3"/>
    <w:rsid w:val="402661E4"/>
    <w:rsid w:val="406B5B07"/>
    <w:rsid w:val="4161682B"/>
    <w:rsid w:val="41735459"/>
    <w:rsid w:val="41EA3241"/>
    <w:rsid w:val="421C3214"/>
    <w:rsid w:val="424C7F73"/>
    <w:rsid w:val="426258BF"/>
    <w:rsid w:val="42EE327C"/>
    <w:rsid w:val="42F07BB5"/>
    <w:rsid w:val="43E964A0"/>
    <w:rsid w:val="44E16B7D"/>
    <w:rsid w:val="44E958DF"/>
    <w:rsid w:val="45252A8A"/>
    <w:rsid w:val="45F62BC6"/>
    <w:rsid w:val="47392CA0"/>
    <w:rsid w:val="47947BBD"/>
    <w:rsid w:val="488B68D6"/>
    <w:rsid w:val="48A00CF2"/>
    <w:rsid w:val="491FF225"/>
    <w:rsid w:val="493E191A"/>
    <w:rsid w:val="498176C7"/>
    <w:rsid w:val="498A767E"/>
    <w:rsid w:val="49B12694"/>
    <w:rsid w:val="4A064990"/>
    <w:rsid w:val="4AFC5C0E"/>
    <w:rsid w:val="4C4A274C"/>
    <w:rsid w:val="4C981C67"/>
    <w:rsid w:val="4CF908D9"/>
    <w:rsid w:val="4EF71E53"/>
    <w:rsid w:val="4F396B2A"/>
    <w:rsid w:val="4FFD214C"/>
    <w:rsid w:val="50060D27"/>
    <w:rsid w:val="50574197"/>
    <w:rsid w:val="50F9756B"/>
    <w:rsid w:val="516F66B9"/>
    <w:rsid w:val="51F11323"/>
    <w:rsid w:val="525769D2"/>
    <w:rsid w:val="52D10231"/>
    <w:rsid w:val="562F32CA"/>
    <w:rsid w:val="569A7F58"/>
    <w:rsid w:val="56BC2FA6"/>
    <w:rsid w:val="56E77E44"/>
    <w:rsid w:val="5777D4F5"/>
    <w:rsid w:val="57C77AC1"/>
    <w:rsid w:val="584A54CA"/>
    <w:rsid w:val="58BF7F7D"/>
    <w:rsid w:val="59DD8326"/>
    <w:rsid w:val="59EA607C"/>
    <w:rsid w:val="5A0C7DA1"/>
    <w:rsid w:val="5A7A211E"/>
    <w:rsid w:val="5A9A5C3D"/>
    <w:rsid w:val="5CBD2118"/>
    <w:rsid w:val="5DEF592A"/>
    <w:rsid w:val="5E940365"/>
    <w:rsid w:val="5FBE0E28"/>
    <w:rsid w:val="5FC6BB1E"/>
    <w:rsid w:val="5FD52192"/>
    <w:rsid w:val="5FDC829F"/>
    <w:rsid w:val="5FF720F1"/>
    <w:rsid w:val="60716541"/>
    <w:rsid w:val="622E2F2E"/>
    <w:rsid w:val="624C1DD7"/>
    <w:rsid w:val="625B001B"/>
    <w:rsid w:val="62C674AA"/>
    <w:rsid w:val="6412144A"/>
    <w:rsid w:val="642279FC"/>
    <w:rsid w:val="64247CDD"/>
    <w:rsid w:val="64993214"/>
    <w:rsid w:val="64DA2918"/>
    <w:rsid w:val="65A17F37"/>
    <w:rsid w:val="65CC77AA"/>
    <w:rsid w:val="673426E5"/>
    <w:rsid w:val="673E4C74"/>
    <w:rsid w:val="67FF5C0B"/>
    <w:rsid w:val="687544E3"/>
    <w:rsid w:val="68893DA0"/>
    <w:rsid w:val="68A50127"/>
    <w:rsid w:val="6904103C"/>
    <w:rsid w:val="694542C0"/>
    <w:rsid w:val="69496A13"/>
    <w:rsid w:val="697A326D"/>
    <w:rsid w:val="69823D56"/>
    <w:rsid w:val="69DE6B0D"/>
    <w:rsid w:val="6AC87FE6"/>
    <w:rsid w:val="6AE66C4B"/>
    <w:rsid w:val="6B31510A"/>
    <w:rsid w:val="6D282CEC"/>
    <w:rsid w:val="6DEE254B"/>
    <w:rsid w:val="6E5D17A4"/>
    <w:rsid w:val="6E69536A"/>
    <w:rsid w:val="6EFC0924"/>
    <w:rsid w:val="6F1918D1"/>
    <w:rsid w:val="6F21584E"/>
    <w:rsid w:val="6FB74722"/>
    <w:rsid w:val="6FEF8B7E"/>
    <w:rsid w:val="703E6382"/>
    <w:rsid w:val="709E580C"/>
    <w:rsid w:val="70BD374B"/>
    <w:rsid w:val="71A6591B"/>
    <w:rsid w:val="71BE3C1E"/>
    <w:rsid w:val="737D59BA"/>
    <w:rsid w:val="73E00C6A"/>
    <w:rsid w:val="74A569D0"/>
    <w:rsid w:val="75832D5B"/>
    <w:rsid w:val="758B2F20"/>
    <w:rsid w:val="77410383"/>
    <w:rsid w:val="77456248"/>
    <w:rsid w:val="775E5A5C"/>
    <w:rsid w:val="777668B4"/>
    <w:rsid w:val="77C37683"/>
    <w:rsid w:val="78300ECB"/>
    <w:rsid w:val="7892370F"/>
    <w:rsid w:val="78AC1A52"/>
    <w:rsid w:val="792113FE"/>
    <w:rsid w:val="799A0ACD"/>
    <w:rsid w:val="79D19834"/>
    <w:rsid w:val="79D67DEC"/>
    <w:rsid w:val="79E24222"/>
    <w:rsid w:val="79FF515B"/>
    <w:rsid w:val="7A4642E6"/>
    <w:rsid w:val="7A7237F8"/>
    <w:rsid w:val="7ACD0E64"/>
    <w:rsid w:val="7AE77D42"/>
    <w:rsid w:val="7AFD72B5"/>
    <w:rsid w:val="7B045685"/>
    <w:rsid w:val="7BAE6E7C"/>
    <w:rsid w:val="7BD75A22"/>
    <w:rsid w:val="7D742F87"/>
    <w:rsid w:val="7E3567AA"/>
    <w:rsid w:val="7E5576B9"/>
    <w:rsid w:val="7E9E1962"/>
    <w:rsid w:val="7E9F11B4"/>
    <w:rsid w:val="7F37EC1E"/>
    <w:rsid w:val="7F5B4A4F"/>
    <w:rsid w:val="7F7DCD9D"/>
    <w:rsid w:val="7F88193F"/>
    <w:rsid w:val="7F970A6F"/>
    <w:rsid w:val="7FC1FFF3"/>
    <w:rsid w:val="7FC69637"/>
    <w:rsid w:val="7FDF8620"/>
    <w:rsid w:val="7FE8C8F7"/>
    <w:rsid w:val="7FFB242F"/>
    <w:rsid w:val="7FFB4C83"/>
    <w:rsid w:val="7FFDB408"/>
    <w:rsid w:val="7FFE4EEB"/>
    <w:rsid w:val="95FB2B98"/>
    <w:rsid w:val="9A639BC2"/>
    <w:rsid w:val="9FF7D786"/>
    <w:rsid w:val="ABBFB23D"/>
    <w:rsid w:val="B9E3EE16"/>
    <w:rsid w:val="C3B4DA5A"/>
    <w:rsid w:val="CBFF70E0"/>
    <w:rsid w:val="CFF50B82"/>
    <w:rsid w:val="CFFFAD89"/>
    <w:rsid w:val="DAFECCD2"/>
    <w:rsid w:val="DFFE359E"/>
    <w:rsid w:val="DFFE4FFD"/>
    <w:rsid w:val="EEABED75"/>
    <w:rsid w:val="EF6FE15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line="700" w:lineRule="exact"/>
      <w:ind w:firstLine="0" w:firstLineChars="0"/>
      <w:jc w:val="center"/>
      <w:outlineLvl w:val="0"/>
    </w:pPr>
    <w:rPr>
      <w:rFonts w:ascii="Times New Roman" w:hAnsi="Times New Roman" w:eastAsia="方正小标宋简体"/>
      <w:bCs/>
      <w:kern w:val="44"/>
      <w:sz w:val="44"/>
      <w:szCs w:val="44"/>
    </w:rPr>
  </w:style>
  <w:style w:type="paragraph" w:styleId="3">
    <w:name w:val="heading 2"/>
    <w:basedOn w:val="1"/>
    <w:next w:val="1"/>
    <w:qFormat/>
    <w:uiPriority w:val="0"/>
    <w:pPr>
      <w:outlineLvl w:val="1"/>
    </w:pPr>
    <w:rPr>
      <w:rFonts w:ascii="Times New Roman" w:hAnsi="Times New Roman" w:eastAsia="黑体"/>
      <w:bCs/>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Body Text"/>
    <w:basedOn w:val="1"/>
    <w:unhideWhenUsed/>
    <w:qFormat/>
    <w:uiPriority w:val="99"/>
    <w:pPr>
      <w:spacing w:after="120"/>
    </w:pPr>
  </w:style>
  <w:style w:type="paragraph" w:styleId="5">
    <w:name w:val="Body Text Indent"/>
    <w:basedOn w:val="1"/>
    <w:next w:val="6"/>
    <w:unhideWhenUsed/>
    <w:qFormat/>
    <w:uiPriority w:val="99"/>
    <w:pPr>
      <w:widowControl/>
      <w:spacing w:after="120"/>
      <w:ind w:left="420" w:leftChars="200"/>
      <w:jc w:val="left"/>
    </w:pPr>
    <w:rPr>
      <w:rFonts w:ascii="宋体" w:hAnsi="宋体" w:eastAsia="宋体" w:cs="宋体"/>
      <w:kern w:val="0"/>
      <w:sz w:val="24"/>
    </w:rPr>
  </w:style>
  <w:style w:type="paragraph" w:styleId="6">
    <w:name w:val="Body Text First Indent 2"/>
    <w:basedOn w:val="5"/>
    <w:next w:val="1"/>
    <w:unhideWhenUsed/>
    <w:qFormat/>
    <w:uiPriority w:val="99"/>
    <w:pPr>
      <w:ind w:firstLine="420" w:firstLineChars="200"/>
    </w:pPr>
  </w:style>
  <w:style w:type="paragraph" w:styleId="7">
    <w:name w:val="Balloon Text"/>
    <w:basedOn w:val="1"/>
    <w:link w:val="18"/>
    <w:semiHidden/>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next w:val="6"/>
    <w:semiHidden/>
    <w:qFormat/>
    <w:uiPriority w:val="0"/>
    <w:pPr>
      <w:snapToGrid w:val="0"/>
      <w:jc w:val="left"/>
    </w:pPr>
    <w:rPr>
      <w:sz w:val="18"/>
      <w:szCs w:val="18"/>
    </w:rPr>
  </w:style>
  <w:style w:type="paragraph" w:styleId="11">
    <w:name w:val="Body Text First Indent"/>
    <w:basedOn w:val="4"/>
    <w:unhideWhenUsed/>
    <w:qFormat/>
    <w:uiPriority w:val="99"/>
    <w:pPr>
      <w:ind w:firstLine="420" w:firstLineChars="100"/>
    </w:pPr>
  </w:style>
  <w:style w:type="character" w:customStyle="1" w:styleId="14">
    <w:name w:val="页眉 Char"/>
    <w:basedOn w:val="13"/>
    <w:link w:val="9"/>
    <w:qFormat/>
    <w:uiPriority w:val="99"/>
    <w:rPr>
      <w:sz w:val="18"/>
      <w:szCs w:val="18"/>
    </w:rPr>
  </w:style>
  <w:style w:type="character" w:customStyle="1" w:styleId="15">
    <w:name w:val="页脚 Char"/>
    <w:basedOn w:val="13"/>
    <w:link w:val="8"/>
    <w:qFormat/>
    <w:uiPriority w:val="99"/>
    <w:rPr>
      <w:sz w:val="18"/>
      <w:szCs w:val="18"/>
    </w:rPr>
  </w:style>
  <w:style w:type="paragraph" w:customStyle="1" w:styleId="16">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批注框文本 Char"/>
    <w:basedOn w:val="13"/>
    <w:link w:val="7"/>
    <w:semiHidden/>
    <w:qFormat/>
    <w:uiPriority w:val="99"/>
    <w:rPr>
      <w:sz w:val="18"/>
      <w:szCs w:val="18"/>
    </w:rPr>
  </w:style>
  <w:style w:type="character" w:customStyle="1" w:styleId="19">
    <w:name w:val="font01"/>
    <w:basedOn w:val="13"/>
    <w:qFormat/>
    <w:uiPriority w:val="0"/>
    <w:rPr>
      <w:rFonts w:hint="eastAsia" w:ascii="宋体" w:hAnsi="宋体" w:eastAsia="宋体" w:cs="宋体"/>
      <w:color w:val="000000"/>
      <w:sz w:val="22"/>
      <w:szCs w:val="22"/>
      <w:u w:val="none"/>
    </w:rPr>
  </w:style>
  <w:style w:type="character" w:customStyle="1" w:styleId="20">
    <w:name w:val="font21"/>
    <w:basedOn w:val="13"/>
    <w:qFormat/>
    <w:uiPriority w:val="0"/>
    <w:rPr>
      <w:rFonts w:hint="eastAsia" w:ascii="宋体" w:hAnsi="宋体" w:eastAsia="宋体" w:cs="宋体"/>
      <w:color w:val="000000"/>
      <w:sz w:val="24"/>
      <w:szCs w:val="24"/>
      <w:u w:val="none"/>
    </w:rPr>
  </w:style>
  <w:style w:type="character" w:customStyle="1" w:styleId="21">
    <w:name w:val="font11"/>
    <w:basedOn w:val="13"/>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49</Pages>
  <Words>1820</Words>
  <Characters>2643</Characters>
  <Lines>69</Lines>
  <Paragraphs>19</Paragraphs>
  <TotalTime>10</TotalTime>
  <ScaleCrop>false</ScaleCrop>
  <LinksUpToDate>false</LinksUpToDate>
  <CharactersWithSpaces>2744</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2025-08-19T18:17:00Z</dcterms:created>
  <dc:creator>李航 null</dc:creator>
  <cp:lastModifiedBy>greatwall</cp:lastModifiedBy>
  <cp:lastPrinted>2024-08-10T02:20:00Z</cp:lastPrinted>
  <dcterms:modified xsi:type="dcterms:W3CDTF">2025-09-18T10:16:50Z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69BCFC94915D4BFD962E02F44277E683_13</vt:lpwstr>
  </property>
  <property fmtid="{D5CDD505-2E9C-101B-9397-08002B2CF9AE}" pid="4" name="KSOTemplateDocerSaveRecord">
    <vt:lpwstr>eyJoZGlkIjoiMDk0YzE3MjBiMzZiNjBiOGQxNmVjNjI1ZTI4Y2E1YmEiLCJ1c2VySWQiOiI0NDY0MzQ4MDMifQ==</vt:lpwstr>
  </property>
</Properties>
</file>