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rFonts w:ascii="Times New Roman" w:hAnsi="Times New Roman" w:cs="Times New Roman"/>
          <w:sz w:val="56"/>
          <w:szCs w:val="56"/>
        </w:rPr>
      </w:pPr>
    </w:p>
    <w:p>
      <w:pPr>
        <w:pStyle w:val="15"/>
        <w:jc w:val="center"/>
        <w:rPr>
          <w:rFonts w:ascii="Times New Roman" w:hAnsi="Times New Roman" w:cs="Times New Roman"/>
          <w:sz w:val="84"/>
          <w:szCs w:val="84"/>
        </w:rPr>
      </w:pPr>
    </w:p>
    <w:p>
      <w:pPr>
        <w:pStyle w:val="15"/>
        <w:jc w:val="center"/>
        <w:rPr>
          <w:rFonts w:ascii="Times New Roman" w:hAnsi="Times New Roman" w:cs="Times New Roman"/>
          <w:sz w:val="84"/>
          <w:szCs w:val="84"/>
        </w:rPr>
      </w:pPr>
    </w:p>
    <w:p>
      <w:pPr>
        <w:pStyle w:val="15"/>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5"/>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lang w:val="en-US" w:eastAsia="zh-CN"/>
        </w:rPr>
        <w:t>湖南省农垦管理服务站</w:t>
      </w:r>
      <w:r>
        <w:rPr>
          <w:rFonts w:ascii="Times New Roman" w:hAnsi="Times New Roman" w:eastAsia="方正小标宋简体" w:cs="Times New Roman"/>
          <w:sz w:val="72"/>
          <w:szCs w:val="72"/>
        </w:rPr>
        <w:t>部门决算</w:t>
      </w:r>
    </w:p>
    <w:p>
      <w:pPr>
        <w:pStyle w:val="15"/>
        <w:rPr>
          <w:rFonts w:ascii="Times New Roman" w:hAnsi="Times New Roman" w:cs="Times New Roman"/>
          <w:sz w:val="56"/>
          <w:szCs w:val="56"/>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spacing w:line="540" w:lineRule="exact"/>
        <w:jc w:val="center"/>
        <w:rPr>
          <w:rFonts w:ascii="Times New Roman" w:hAnsi="Times New Roman" w:cs="Times New Roman"/>
          <w:sz w:val="56"/>
          <w:szCs w:val="56"/>
        </w:rPr>
      </w:pPr>
    </w:p>
    <w:p>
      <w:pPr>
        <w:rPr>
          <w:rFonts w:ascii="Times New Roman" w:hAnsi="Times New Roman" w:cs="Times New Roman"/>
          <w:b/>
          <w:sz w:val="36"/>
          <w:szCs w:val="28"/>
        </w:rPr>
        <w:sectPr>
          <w:pgSz w:w="11906" w:h="16838"/>
          <w:pgMar w:top="1417" w:right="1588" w:bottom="1417" w:left="1588" w:header="851" w:footer="992" w:gutter="0"/>
          <w:cols w:space="425" w:num="1"/>
          <w:docGrid w:type="lines" w:linePitch="312" w:charSpace="0"/>
        </w:sectPr>
      </w:pPr>
    </w:p>
    <w:p>
      <w:pPr>
        <w:pStyle w:val="15"/>
        <w:spacing w:line="600" w:lineRule="exact"/>
        <w:jc w:val="both"/>
        <w:rPr>
          <w:rFonts w:ascii="Times New Roman" w:hAnsi="Times New Roman" w:cs="Times New Roman"/>
          <w:b/>
          <w:sz w:val="36"/>
          <w:szCs w:val="28"/>
        </w:rPr>
      </w:pPr>
    </w:p>
    <w:p>
      <w:pPr>
        <w:pStyle w:val="15"/>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5"/>
        <w:spacing w:line="600" w:lineRule="exact"/>
        <w:jc w:val="center"/>
        <w:rPr>
          <w:rFonts w:ascii="Times New Roman" w:hAnsi="Times New Roman" w:cs="Times New Roman"/>
          <w:b/>
          <w:sz w:val="36"/>
          <w:szCs w:val="28"/>
        </w:rPr>
      </w:pPr>
    </w:p>
    <w:p>
      <w:pPr>
        <w:pStyle w:val="15"/>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val="en-US" w:eastAsia="zh-CN"/>
        </w:rPr>
        <w:t>湖南省农垦管理服务站</w:t>
      </w:r>
      <w:r>
        <w:rPr>
          <w:rFonts w:ascii="Times New Roman" w:hAnsi="Times New Roman" w:cs="Times New Roman"/>
          <w:bCs/>
          <w:sz w:val="32"/>
          <w:szCs w:val="32"/>
        </w:rPr>
        <w:t>概况</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5"/>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10"/>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5"/>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val="en-US" w:eastAsia="zh-CN"/>
        </w:rPr>
        <w:t>湖南省农垦管理服务站</w:t>
      </w:r>
      <w:r>
        <w:rPr>
          <w:rFonts w:ascii="Times New Roman" w:hAnsi="Times New Roman" w:eastAsia="方正小标宋_GBK" w:cs="Times New Roman"/>
          <w:sz w:val="52"/>
          <w:szCs w:val="52"/>
        </w:rPr>
        <w:t>概况</w:t>
      </w:r>
    </w:p>
    <w:p>
      <w:pPr>
        <w:pStyle w:val="6"/>
        <w:ind w:left="0" w:leftChars="0" w:firstLine="0" w:firstLineChars="0"/>
        <w:rPr>
          <w:rFonts w:ascii="Times New Roman" w:hAnsi="Times New Roman" w:cs="Times New Roman"/>
        </w:rPr>
      </w:pPr>
    </w:p>
    <w:p>
      <w:pPr>
        <w:pStyle w:val="16"/>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pStyle w:val="16"/>
        <w:ind w:firstLine="640"/>
        <w:rPr>
          <w:rFonts w:hint="eastAsia" w:ascii="Times New Roman" w:hAnsi="Times New Roman" w:eastAsia="仿宋_GB2312" w:cs="仿宋_GB2312"/>
          <w:sz w:val="32"/>
          <w:szCs w:val="32"/>
        </w:rPr>
      </w:pPr>
      <w:r>
        <w:rPr>
          <w:rFonts w:hint="eastAsia" w:ascii="仿宋" w:hAnsi="仿宋" w:eastAsia="仿宋"/>
          <w:sz w:val="32"/>
          <w:szCs w:val="32"/>
        </w:rPr>
        <w:t>湖南省农垦管理服务站为湖南省农业农村厅管理的公益一类事业单位，宗旨和业务范围是为农田建设与农垦处拟制全省农垦经济和社会发展中长期规划及年度计划并组织监督实施以及指导、协调全省垦区的财务、统计、科研、文化、教育、卫生事业、社会公益事业，为工农业生产及第三产业的发展做好基础性、服务性工作。</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仿宋" w:hAnsi="仿宋" w:eastAsia="仿宋"/>
          <w:sz w:val="32"/>
          <w:szCs w:val="32"/>
        </w:rPr>
        <w:t>湖南省农垦管理服务站</w:t>
      </w:r>
      <w:r>
        <w:rPr>
          <w:rFonts w:hint="eastAsia" w:ascii="Times New Roman" w:hAnsi="Times New Roman" w:eastAsia="仿宋_GB2312" w:cs="仿宋_GB2312"/>
          <w:bCs/>
          <w:kern w:val="0"/>
          <w:sz w:val="32"/>
          <w:szCs w:val="32"/>
        </w:rPr>
        <w:t>内设机构包括：</w:t>
      </w:r>
      <w:r>
        <w:rPr>
          <w:rFonts w:hint="eastAsia" w:ascii="仿宋" w:hAnsi="仿宋" w:eastAsia="仿宋"/>
          <w:sz w:val="32"/>
          <w:szCs w:val="32"/>
        </w:rPr>
        <w:t>办公室、计划财务办公室、农垦经济办公室、垦区社会事务办公室四个副处级办室。</w:t>
      </w:r>
    </w:p>
    <w:p>
      <w:pPr>
        <w:widowControl/>
        <w:spacing w:line="600" w:lineRule="exact"/>
        <w:ind w:firstLine="640" w:firstLineChars="200"/>
        <w:rPr>
          <w:rFonts w:ascii="Times New Roman" w:hAnsi="Times New Roman" w:eastAsia="黑体" w:cs="Times New Roman"/>
          <w:sz w:val="28"/>
          <w:szCs w:val="28"/>
        </w:rPr>
      </w:pPr>
      <w:r>
        <w:rPr>
          <w:rFonts w:hint="eastAsia" w:ascii="Times New Roman" w:hAnsi="Times New Roman" w:eastAsia="仿宋_GB2312" w:cs="仿宋_GB2312"/>
          <w:bCs/>
          <w:kern w:val="0"/>
          <w:sz w:val="32"/>
          <w:szCs w:val="32"/>
        </w:rPr>
        <w:t>（二）决算单位构成。</w:t>
      </w:r>
      <w:r>
        <w:rPr>
          <w:rFonts w:hint="eastAsia" w:ascii="仿宋" w:hAnsi="仿宋" w:eastAsia="仿宋"/>
          <w:sz w:val="32"/>
          <w:szCs w:val="32"/>
        </w:rPr>
        <w:t>湖南省农垦管理服务站</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w:t>
      </w:r>
      <w:r>
        <w:rPr>
          <w:rFonts w:hint="eastAsia" w:ascii="仿宋" w:hAnsi="仿宋" w:eastAsia="仿宋"/>
          <w:sz w:val="32"/>
          <w:szCs w:val="32"/>
        </w:rPr>
        <w:t>湖南省农垦管理服务站</w:t>
      </w:r>
      <w:r>
        <w:rPr>
          <w:rFonts w:hint="eastAsia" w:ascii="Times New Roman" w:hAnsi="Times New Roman" w:eastAsia="仿宋_GB2312" w:cs="仿宋_GB2312"/>
          <w:bCs/>
          <w:kern w:val="0"/>
          <w:sz w:val="32"/>
          <w:szCs w:val="32"/>
        </w:rPr>
        <w:t>单位本级</w:t>
      </w:r>
      <w:r>
        <w:rPr>
          <w:rFonts w:hint="eastAsia" w:ascii="Times New Roman" w:hAnsi="Times New Roman" w:eastAsia="仿宋_GB2312" w:cs="仿宋_GB2312"/>
          <w:bCs/>
          <w:kern w:val="0"/>
          <w:sz w:val="32"/>
          <w:szCs w:val="32"/>
          <w:lang w:eastAsia="zh-CN"/>
        </w:rPr>
        <w:t>。</w:t>
      </w: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10"/>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5"/>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bookmarkStart w:id="0" w:name="OLE_LINK1"/>
      <w:r>
        <w:rPr>
          <w:rFonts w:hint="eastAsia" w:ascii="Times New Roman" w:hAnsi="Times New Roman" w:eastAsia="仿宋_GB2312" w:cs="Times New Roman"/>
          <w:color w:val="000000"/>
          <w:kern w:val="0"/>
          <w:sz w:val="20"/>
          <w:szCs w:val="20"/>
          <w:lang w:bidi="ar"/>
        </w:rPr>
        <w:t>湖南省农垦管理服务站</w:t>
      </w:r>
      <w:bookmarkEnd w:id="0"/>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p>
      <w:pPr>
        <w:widowControl/>
        <w:jc w:val="left"/>
        <w:textAlignment w:val="center"/>
        <w:rPr>
          <w:rFonts w:ascii="Times New Roman" w:hAnsi="Times New Roman" w:eastAsia="宋体" w:cs="Times New Roman"/>
          <w:color w:val="000000"/>
          <w:kern w:val="0"/>
          <w:sz w:val="24"/>
          <w:szCs w:val="24"/>
          <w:lang w:bidi="ar"/>
        </w:rPr>
      </w:pPr>
    </w:p>
    <w:tbl>
      <w:tblPr>
        <w:tblStyle w:val="11"/>
        <w:tblW w:w="138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256"/>
        <w:gridCol w:w="683"/>
        <w:gridCol w:w="1009"/>
        <w:gridCol w:w="3320"/>
        <w:gridCol w:w="460"/>
        <w:gridCol w:w="31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94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693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760.22</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0.01</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760.23</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643.93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使用非财政拨款结余（含专用结余）</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13.39</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773.62</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773.62</w:t>
            </w:r>
          </w:p>
        </w:tc>
      </w:tr>
    </w:tbl>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kern w:val="0"/>
          <w:sz w:val="20"/>
          <w:szCs w:val="20"/>
          <w:lang w:bidi="ar"/>
        </w:rPr>
        <w:t>湖南省农垦管理服务站</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1"/>
        <w:tblW w:w="15513" w:type="dxa"/>
        <w:tblInd w:w="-6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9"/>
        <w:gridCol w:w="3854"/>
        <w:gridCol w:w="1649"/>
        <w:gridCol w:w="1649"/>
        <w:gridCol w:w="1650"/>
        <w:gridCol w:w="1364"/>
        <w:gridCol w:w="1375"/>
        <w:gridCol w:w="1650"/>
        <w:gridCol w:w="14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76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36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3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85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85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85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76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76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760.23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760.22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一般公共服务支出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20106</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财政事务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2010699</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其他财政事务支出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91.76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91.76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62.83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62.83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528.20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528.18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528.20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528.18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370.11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370.10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2130105</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农垦运行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116.30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116.30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33.50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bidi="ar"/>
        </w:rPr>
        <w:t>湖南省农垦管理服务站</w:t>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1"/>
        <w:tblW w:w="15210" w:type="dxa"/>
        <w:tblInd w:w="-47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143"/>
        <w:gridCol w:w="4213"/>
        <w:gridCol w:w="1648"/>
        <w:gridCol w:w="1487"/>
        <w:gridCol w:w="1437"/>
        <w:gridCol w:w="1648"/>
        <w:gridCol w:w="1336"/>
        <w:gridCol w:w="12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35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48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64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33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29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42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2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2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35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64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3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35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643.93</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556.47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87.47</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一般公共服务支出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20106</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财政事务</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2010699</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其他财政事务支出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154.50</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91.67</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91.67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62.83</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62.83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432.19</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348.92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83.27</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432.19</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348.92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83.27</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366.94</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348.92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18.02</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2130105</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农垦运行</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7.51</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47.46</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47.46</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10.27</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10.27</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2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1" w:name="RANGE!A1:I22"/>
      <w:bookmarkEnd w:id="1"/>
      <w:bookmarkStart w:id="2"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bidi="ar"/>
        </w:rPr>
        <w:t>湖南省农垦管理服务站</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11"/>
        <w:tblW w:w="15412" w:type="dxa"/>
        <w:tblInd w:w="-51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462"/>
        <w:gridCol w:w="523"/>
        <w:gridCol w:w="1540"/>
        <w:gridCol w:w="4337"/>
        <w:gridCol w:w="509"/>
        <w:gridCol w:w="906"/>
        <w:gridCol w:w="1478"/>
        <w:gridCol w:w="1185"/>
        <w:gridCol w:w="14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2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887"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346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3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47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47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34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3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760.22</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154.50</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154.50</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432.19</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432.19</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760.22</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643.93</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643.93</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13.39</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129.67</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129.67</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13.39</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773.61</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773.61</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773.61</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2"/>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 w:val="20"/>
          <w:szCs w:val="20"/>
          <w:lang w:bidi="ar"/>
        </w:rPr>
        <w:t>湖南省农垦管理服务站</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1"/>
        <w:tblW w:w="1358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016"/>
        <w:gridCol w:w="4934"/>
        <w:gridCol w:w="2262"/>
        <w:gridCol w:w="2313"/>
        <w:gridCol w:w="20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9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63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49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26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3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06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9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9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9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95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643.93</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556.47</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87.47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一般公共服务支出</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20106</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财政事务</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2010699</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其他财政事务支出</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154.50</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154.50</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154.50</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154.50</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91.67</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91.67</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62.83</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62.83</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19.13</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432.19</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348.92</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432.19</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348.92</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83.27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366.94</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348.92</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2130105</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农垦运行</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7.51</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47.46</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10.27</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2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33.91</w:t>
            </w:r>
          </w:p>
        </w:tc>
        <w:tc>
          <w:tcPr>
            <w:tcW w:w="20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3" w:name="RANGE!A1:I34"/>
      <w:r>
        <w:rPr>
          <w:rFonts w:ascii="Times New Roman" w:hAnsi="Times New Roman" w:eastAsia="黑体" w:cs="Times New Roman"/>
          <w:color w:val="000000"/>
          <w:kern w:val="0"/>
          <w:sz w:val="36"/>
          <w:szCs w:val="36"/>
          <w:lang w:bidi="ar"/>
        </w:rPr>
        <w:t>一般公共预算财政拨款基本支出决算明细表</w:t>
      </w:r>
      <w:bookmarkEnd w:id="3"/>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 w:val="20"/>
          <w:szCs w:val="20"/>
          <w:lang w:bidi="ar"/>
        </w:rPr>
        <w:t>湖南省农垦管理服务站</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1"/>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372.55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75.87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92.14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1.48</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74.06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80.88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9.60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0.22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36.29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4.77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1.42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23.54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19.13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3.00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2.97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33.91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2.41</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2.05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108.04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91.67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0.04</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1.01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21.63</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5.92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1.56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10.19</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11"/>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11"/>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17.10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13.80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right"/>
              <w:rPr>
                <w:rFonts w:ascii="Times New Roman" w:hAnsi="Times New Roman" w:eastAsia="仿宋_GB2312" w:cs="Times New Roman"/>
                <w:color w:val="000000"/>
                <w:kern w:val="0"/>
                <w:szCs w:val="20"/>
              </w:rPr>
            </w:pP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center"/>
              <w:rPr>
                <w:rFonts w:ascii="Times New Roman" w:hAnsi="Times New Roman" w:eastAsia="仿宋_GB2312" w:cs="Times New Roman"/>
                <w:color w:val="000000"/>
                <w:kern w:val="0"/>
                <w:sz w:val="22"/>
                <w:szCs w:val="21"/>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5.68</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exact"/>
              <w:jc w:val="right"/>
              <w:rPr>
                <w:rFonts w:ascii="Times New Roman" w:hAnsi="Times New Roman" w:eastAsia="仿宋_GB2312" w:cs="Times New Roman"/>
                <w:color w:val="000000"/>
                <w:kern w:val="0"/>
                <w:szCs w:val="20"/>
              </w:rPr>
            </w:pPr>
          </w:p>
        </w:tc>
      </w:tr>
      <w:tr>
        <w:tblPrEx>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仿宋_GB2312" w:cs="Times New Roman"/>
                <w:color w:val="000000"/>
                <w:kern w:val="0"/>
                <w:sz w:val="22"/>
                <w:szCs w:val="21"/>
              </w:rPr>
            </w:pPr>
            <w:r>
              <w:rPr>
                <w:rFonts w:hint="eastAsia" w:ascii="宋体" w:hAnsi="宋体" w:eastAsia="宋体" w:cs="宋体"/>
                <w:i w:val="0"/>
                <w:color w:val="000000"/>
                <w:kern w:val="0"/>
                <w:sz w:val="24"/>
                <w:szCs w:val="24"/>
                <w:u w:val="none"/>
                <w:lang w:val="en-US" w:eastAsia="zh-CN" w:bidi="ar"/>
              </w:rPr>
              <w:t>480.59</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Times New Roman" w:hAnsi="Times New Roman" w:eastAsia="仿宋_GB2312" w:cs="Times New Roman"/>
                <w:color w:val="000000"/>
                <w:kern w:val="0"/>
                <w:szCs w:val="18"/>
              </w:rPr>
            </w:pPr>
            <w:r>
              <w:rPr>
                <w:rFonts w:hint="eastAsia" w:ascii="宋体" w:hAnsi="宋体" w:eastAsia="宋体" w:cs="宋体"/>
                <w:i w:val="0"/>
                <w:color w:val="000000"/>
                <w:kern w:val="0"/>
                <w:sz w:val="22"/>
                <w:szCs w:val="22"/>
                <w:u w:val="none"/>
                <w:lang w:val="en-US" w:eastAsia="zh-CN" w:bidi="ar"/>
              </w:rPr>
              <w:t>75.87</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bidi="ar"/>
        </w:rPr>
        <w:t>湖南省农垦管理服务站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1"/>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8"/>
                <w:rFonts w:hint="default" w:ascii="Times New Roman" w:hAnsi="Times New Roman" w:eastAsia="仿宋_GB2312" w:cs="Times New Roman"/>
                <w:b/>
                <w:bCs/>
                <w:lang w:bidi="ar"/>
              </w:rPr>
              <w:t xml:space="preserve">   </w:t>
            </w:r>
            <w:r>
              <w:rPr>
                <w:rStyle w:val="19"/>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公开08表</w:t>
      </w:r>
    </w:p>
    <w:p>
      <w:pPr>
        <w:widowControl/>
        <w:tabs>
          <w:tab w:val="left" w:pos="1326"/>
          <w:tab w:val="left" w:pos="2027"/>
          <w:tab w:val="left" w:pos="4319"/>
          <w:tab w:val="left" w:pos="7634"/>
          <w:tab w:val="left" w:pos="10949"/>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bidi="ar"/>
        </w:rPr>
        <w:t>湖南省农垦管理服务站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单位：万元</w:t>
      </w:r>
    </w:p>
    <w:tbl>
      <w:tblPr>
        <w:tblStyle w:val="11"/>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0"/>
                <w:rFonts w:hint="default" w:ascii="Times New Roman" w:hAnsi="Times New Roman" w:eastAsia="仿宋_GB2312" w:cs="Times New Roman"/>
                <w:b/>
                <w:bCs/>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10"/>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both"/>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bidi="ar"/>
        </w:rPr>
        <w:t>湖南省农垦管理服务站</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hint="eastAsia" w:ascii="Times New Roman" w:hAnsi="Times New Roman" w:eastAsia="楷体_GB2312" w:cs="Times New Roman"/>
          <w:color w:val="000000"/>
          <w:sz w:val="20"/>
          <w:szCs w:val="20"/>
          <w:lang w:val="en-US" w:eastAsia="zh-CN"/>
        </w:rPr>
        <w:t xml:space="preserve">                 </w:t>
      </w:r>
      <w:r>
        <w:rPr>
          <w:rFonts w:ascii="Times New Roman" w:hAnsi="Times New Roman" w:eastAsia="楷体_GB2312" w:cs="Times New Roman"/>
          <w:color w:val="000000"/>
          <w:kern w:val="0"/>
          <w:sz w:val="20"/>
          <w:szCs w:val="20"/>
          <w:lang w:bidi="ar"/>
        </w:rPr>
        <w:t>单位：万元</w:t>
      </w:r>
    </w:p>
    <w:tbl>
      <w:tblPr>
        <w:tblStyle w:val="11"/>
        <w:tblW w:w="14544" w:type="dxa"/>
        <w:jc w:val="center"/>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1.00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0.04</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0.04</w:t>
            </w: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5"/>
        <w:rPr>
          <w:rFonts w:ascii="Times New Roman" w:hAnsi="Times New Roman" w:cs="Times New Roman"/>
          <w:sz w:val="72"/>
          <w:szCs w:val="72"/>
        </w:rPr>
      </w:pPr>
    </w:p>
    <w:p>
      <w:pPr>
        <w:pStyle w:val="15"/>
        <w:rPr>
          <w:rFonts w:ascii="Times New Roman" w:hAnsi="Times New Roman" w:cs="Times New Roman"/>
          <w:sz w:val="72"/>
          <w:szCs w:val="72"/>
        </w:rPr>
      </w:pPr>
    </w:p>
    <w:p>
      <w:pPr>
        <w:pStyle w:val="15"/>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eastAsia="方正小标宋_GBK"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773.62</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47.85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5.83</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上年结转结余减少。</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760.23</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760.22</w:t>
      </w:r>
      <w:r>
        <w:rPr>
          <w:rFonts w:ascii="Times New Roman" w:hAnsi="Times New Roman" w:eastAsia="仿宋_GB2312" w:cs="Times New Roman"/>
          <w:sz w:val="32"/>
          <w:szCs w:val="32"/>
        </w:rPr>
        <w:t>万元，</w:t>
      </w:r>
      <w:r>
        <w:rPr>
          <w:rFonts w:ascii="Times New Roman" w:hAnsi="Times New Roman" w:eastAsia="仿宋_GB2312" w:cs="Times New Roman"/>
          <w:sz w:val="32"/>
          <w:szCs w:val="32"/>
          <w:highlight w:val="none"/>
        </w:rPr>
        <w:t>占</w:t>
      </w:r>
      <w:r>
        <w:rPr>
          <w:rFonts w:hint="eastAsia" w:ascii="Times New Roman" w:hAnsi="Times New Roman" w:eastAsia="仿宋_GB2312" w:cs="Times New Roman"/>
          <w:sz w:val="32"/>
          <w:szCs w:val="32"/>
          <w:highlight w:val="none"/>
          <w:lang w:val="en-US" w:eastAsia="zh-CN"/>
        </w:rPr>
        <w:t>100</w:t>
      </w:r>
      <w:r>
        <w:rPr>
          <w:rFonts w:ascii="Times New Roman" w:hAnsi="Times New Roman" w:eastAsia="仿宋_GB2312" w:cs="Times New Roman"/>
          <w:sz w:val="32"/>
          <w:szCs w:val="32"/>
          <w:highlight w:val="none"/>
        </w:rPr>
        <w:t>%；上级补助收入</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%；事业收入</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%；经营收入</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%；附属单位上缴收入</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%；其他收入</w:t>
      </w:r>
      <w:r>
        <w:rPr>
          <w:rFonts w:hint="eastAsia" w:ascii="Times New Roman" w:hAnsi="Times New Roman" w:eastAsia="仿宋_GB2312" w:cs="Times New Roman"/>
          <w:sz w:val="32"/>
          <w:szCs w:val="32"/>
          <w:highlight w:val="none"/>
          <w:lang w:val="en-US" w:eastAsia="zh-CN"/>
        </w:rPr>
        <w:t>0.01</w:t>
      </w:r>
      <w:r>
        <w:rPr>
          <w:rFonts w:ascii="Times New Roman" w:hAnsi="Times New Roman" w:eastAsia="仿宋_GB2312" w:cs="Times New Roman"/>
          <w:sz w:val="32"/>
          <w:szCs w:val="32"/>
          <w:highlight w:val="none"/>
        </w:rPr>
        <w:t>万元，占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643.93</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556.47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86.42</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87.47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13.58</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773.61</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47.62</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5.80</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上年结转结余减少。</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yellow"/>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643.93</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144.84</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18.37</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yellow"/>
        </w:rPr>
        <w:t>主要是因为</w:t>
      </w:r>
      <w:r>
        <w:rPr>
          <w:rFonts w:hint="eastAsia" w:ascii="Times New Roman" w:hAnsi="Times New Roman" w:eastAsia="仿宋_GB2312" w:cs="Times New Roman"/>
          <w:sz w:val="32"/>
          <w:szCs w:val="32"/>
          <w:highlight w:val="yellow"/>
          <w:lang w:val="en-US" w:eastAsia="zh-CN"/>
        </w:rPr>
        <w:t>人员经费减少。</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643.93</w:t>
      </w:r>
      <w:r>
        <w:rPr>
          <w:rFonts w:ascii="Times New Roman" w:hAnsi="Times New Roman" w:eastAsia="仿宋_GB2312" w:cs="Times New Roman"/>
          <w:sz w:val="32"/>
          <w:szCs w:val="32"/>
        </w:rPr>
        <w:t>万元，主要用于以下方面：一般公共服务（类）支出</w:t>
      </w:r>
      <w:r>
        <w:rPr>
          <w:rFonts w:hint="eastAsia" w:ascii="Times New Roman" w:hAnsi="Times New Roman" w:eastAsia="仿宋_GB2312" w:cs="Times New Roman"/>
          <w:sz w:val="32"/>
          <w:szCs w:val="32"/>
          <w:lang w:val="en-US" w:eastAsia="zh-CN"/>
        </w:rPr>
        <w:t>3.44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0.53</w:t>
      </w:r>
      <w:r>
        <w:rPr>
          <w:rFonts w:ascii="Times New Roman" w:hAnsi="Times New Roman" w:eastAsia="仿宋_GB2312" w:cs="Times New Roman"/>
          <w:sz w:val="32"/>
          <w:szCs w:val="32"/>
        </w:rPr>
        <w:t>%；教育（类）支出</w:t>
      </w:r>
      <w:r>
        <w:rPr>
          <w:rFonts w:hint="eastAsia" w:ascii="Times New Roman" w:hAnsi="Times New Roman" w:eastAsia="仿宋_GB2312" w:cs="Times New Roman"/>
          <w:sz w:val="32"/>
          <w:szCs w:val="32"/>
          <w:lang w:val="en-US" w:eastAsia="zh-CN"/>
        </w:rPr>
        <w:t>0.76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0.12</w:t>
      </w:r>
      <w:r>
        <w:rPr>
          <w:rFonts w:ascii="Times New Roman" w:hAnsi="Times New Roman" w:eastAsia="仿宋_GB2312" w:cs="Times New Roman"/>
          <w:sz w:val="32"/>
          <w:szCs w:val="32"/>
        </w:rPr>
        <w:t>%;</w:t>
      </w:r>
      <w:r>
        <w:rPr>
          <w:rFonts w:hint="eastAsia" w:ascii="Times New Roman" w:hAnsi="Times New Roman" w:eastAsia="仿宋_GB2312"/>
          <w:sz w:val="32"/>
          <w:szCs w:val="32"/>
        </w:rPr>
        <w:t>社会保障和就业（类）支出</w:t>
      </w:r>
      <w:r>
        <w:rPr>
          <w:rFonts w:hint="eastAsia" w:ascii="Times New Roman" w:hAnsi="Times New Roman" w:eastAsia="仿宋_GB2312"/>
          <w:sz w:val="32"/>
          <w:szCs w:val="32"/>
          <w:lang w:val="en-US" w:eastAsia="zh-CN"/>
        </w:rPr>
        <w:t>154.50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23.99</w:t>
      </w:r>
      <w:r>
        <w:rPr>
          <w:rFonts w:hint="eastAsia" w:ascii="Times New Roman" w:hAnsi="Times New Roman" w:eastAsia="仿宋_GB2312"/>
          <w:sz w:val="32"/>
          <w:szCs w:val="32"/>
        </w:rPr>
        <w:t>%;卫生健康</w:t>
      </w:r>
      <w:r>
        <w:rPr>
          <w:rFonts w:hint="eastAsia" w:ascii="Times New Roman" w:hAnsi="Times New Roman" w:eastAsia="仿宋_GB2312"/>
          <w:sz w:val="32"/>
          <w:szCs w:val="32"/>
          <w:lang w:eastAsia="zh-CN"/>
        </w:rPr>
        <w:t>（</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19.13</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2.97</w:t>
      </w:r>
      <w:r>
        <w:rPr>
          <w:rFonts w:ascii="Times New Roman" w:hAnsi="Times New Roman" w:eastAsia="仿宋_GB2312" w:cs="Times New Roman"/>
          <w:sz w:val="32"/>
          <w:szCs w:val="32"/>
        </w:rPr>
        <w:t>%；</w:t>
      </w:r>
      <w:r>
        <w:rPr>
          <w:rFonts w:hint="eastAsia" w:ascii="Times New Roman" w:hAnsi="Times New Roman" w:eastAsia="仿宋_GB2312"/>
          <w:sz w:val="32"/>
          <w:szCs w:val="32"/>
        </w:rPr>
        <w:t>农林水</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432.19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67.12</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；住房保障（</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33.91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5.27</w:t>
      </w:r>
      <w:r>
        <w:rPr>
          <w:rFonts w:ascii="Times New Roman" w:hAnsi="Times New Roman" w:eastAsia="仿宋_GB2312" w:cs="Times New Roman"/>
          <w:sz w:val="32"/>
          <w:szCs w:val="32"/>
        </w:rPr>
        <w:t>%；</w:t>
      </w:r>
      <w:r>
        <w:rPr>
          <w:rFonts w:hint="eastAsia" w:ascii="Times New Roman" w:hAnsi="Times New Roman" w:eastAsia="仿宋_GB2312"/>
          <w:sz w:val="32"/>
          <w:szCs w:val="32"/>
          <w:lang w:eastAsia="zh-CN"/>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726.59</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643.93</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88.63</w:t>
      </w:r>
      <w:r>
        <w:rPr>
          <w:rFonts w:ascii="Times New Roman" w:hAnsi="Times New Roman" w:eastAsia="仿宋_GB2312" w:cs="Times New Roman"/>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1、一般公共服务</w:t>
      </w:r>
      <w:r>
        <w:rPr>
          <w:rFonts w:hint="eastAsia" w:ascii="Times New Roman" w:hAnsi="Times New Roman" w:eastAsia="仿宋_GB2312"/>
          <w:sz w:val="32"/>
          <w:szCs w:val="32"/>
          <w:lang w:val="en-US" w:eastAsia="zh-CN"/>
        </w:rPr>
        <w:t>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财政事务</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其他财政事务支出</w:t>
      </w:r>
      <w:r>
        <w:rPr>
          <w:rFonts w:hint="eastAsia" w:ascii="Times New Roman" w:hAnsi="Times New Roman" w:eastAsia="仿宋_GB2312"/>
          <w:sz w:val="32"/>
          <w:szCs w:val="32"/>
        </w:rPr>
        <w:t>（项）。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0.41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3.44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839.03</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年中追加项目资金。</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教育支出（类）</w:t>
      </w:r>
      <w:r>
        <w:rPr>
          <w:rFonts w:hint="eastAsia" w:ascii="Times New Roman" w:hAnsi="Times New Roman" w:eastAsia="仿宋_GB2312"/>
          <w:sz w:val="32"/>
          <w:szCs w:val="32"/>
          <w:lang w:val="en-US" w:eastAsia="zh-CN"/>
        </w:rPr>
        <w:t>进修及培训</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培训支出</w:t>
      </w:r>
      <w:r>
        <w:rPr>
          <w:rFonts w:hint="eastAsia" w:ascii="Times New Roman" w:hAnsi="Times New Roman" w:eastAsia="仿宋_GB2312"/>
          <w:sz w:val="32"/>
          <w:szCs w:val="32"/>
        </w:rPr>
        <w:t>（项）。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4.40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0.76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17.28</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rPr>
        <w:t>于</w:t>
      </w:r>
      <w:r>
        <w:rPr>
          <w:rFonts w:hint="eastAsia" w:ascii="Times New Roman" w:hAnsi="Times New Roman" w:eastAsia="仿宋_GB2312"/>
          <w:sz w:val="32"/>
          <w:szCs w:val="32"/>
          <w:highlight w:val="yellow"/>
        </w:rPr>
        <w:t>年初预算数的主要原因是：</w:t>
      </w:r>
      <w:r>
        <w:rPr>
          <w:rFonts w:hint="eastAsia" w:ascii="Times New Roman" w:hAnsi="Times New Roman" w:eastAsia="仿宋_GB2312"/>
          <w:sz w:val="32"/>
          <w:szCs w:val="32"/>
          <w:lang w:val="en-US" w:eastAsia="zh-CN"/>
        </w:rPr>
        <w:t>项目跨年实施。</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3、社会保障和就业</w:t>
      </w:r>
      <w:r>
        <w:rPr>
          <w:rFonts w:hint="eastAsia" w:ascii="Times New Roman" w:hAnsi="Times New Roman" w:eastAsia="仿宋_GB2312"/>
          <w:sz w:val="32"/>
          <w:szCs w:val="32"/>
          <w:highlight w:val="none"/>
        </w:rPr>
        <w:t>（类）行政事业单位养老支出（款）行政单位离退休（项）。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red"/>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90.16</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91.67</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101.68</w:t>
      </w:r>
      <w:r>
        <w:rPr>
          <w:rFonts w:hint="eastAsia" w:ascii="Times New Roman" w:hAnsi="Times New Roman" w:eastAsia="仿宋_GB2312"/>
          <w:sz w:val="32"/>
          <w:szCs w:val="32"/>
          <w:highlight w:val="none"/>
        </w:rPr>
        <w:t>%，决算数</w:t>
      </w:r>
      <w:r>
        <w:rPr>
          <w:rFonts w:hint="eastAsia" w:ascii="Times New Roman" w:hAnsi="Times New Roman" w:eastAsia="仿宋_GB2312"/>
          <w:sz w:val="32"/>
          <w:szCs w:val="32"/>
          <w:highlight w:val="none"/>
          <w:lang w:val="en-US" w:eastAsia="zh-CN"/>
        </w:rPr>
        <w:t>大</w:t>
      </w:r>
      <w:r>
        <w:rPr>
          <w:rFonts w:hint="eastAsia" w:ascii="Times New Roman" w:hAnsi="Times New Roman" w:eastAsia="仿宋_GB2312"/>
          <w:sz w:val="32"/>
          <w:szCs w:val="32"/>
          <w:highlight w:val="none"/>
        </w:rPr>
        <w:t>于年初预算数</w:t>
      </w:r>
      <w:r>
        <w:rPr>
          <w:rFonts w:hint="eastAsia" w:ascii="Times New Roman" w:hAnsi="Times New Roman" w:eastAsia="仿宋_GB2312"/>
          <w:sz w:val="32"/>
          <w:szCs w:val="32"/>
        </w:rPr>
        <w:t>的主要原因是：</w:t>
      </w:r>
      <w:r>
        <w:rPr>
          <w:rFonts w:hint="eastAsia" w:ascii="Times New Roman" w:hAnsi="Times New Roman" w:eastAsia="仿宋_GB2312"/>
          <w:sz w:val="32"/>
          <w:szCs w:val="32"/>
          <w:lang w:val="en-US" w:eastAsia="zh-CN"/>
        </w:rPr>
        <w:t>年中进行了指标调剂。</w:t>
      </w:r>
    </w:p>
    <w:p>
      <w:pPr>
        <w:pStyle w:val="15"/>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4、社会</w:t>
      </w:r>
      <w:r>
        <w:rPr>
          <w:rFonts w:hint="eastAsia" w:ascii="Times New Roman" w:hAnsi="Times New Roman" w:eastAsia="仿宋_GB2312"/>
          <w:sz w:val="32"/>
          <w:szCs w:val="32"/>
        </w:rPr>
        <w:t>保障和就业（类）</w:t>
      </w:r>
      <w:r>
        <w:rPr>
          <w:rFonts w:hint="eastAsia" w:ascii="Times New Roman" w:hAnsi="Times New Roman" w:eastAsia="仿宋_GB2312"/>
          <w:sz w:val="32"/>
          <w:szCs w:val="32"/>
          <w:lang w:val="en-US" w:eastAsia="zh-CN"/>
        </w:rPr>
        <w:t>行</w:t>
      </w:r>
      <w:r>
        <w:rPr>
          <w:rFonts w:hint="eastAsia" w:ascii="Times New Roman" w:hAnsi="Times New Roman" w:eastAsia="仿宋_GB2312"/>
          <w:sz w:val="32"/>
          <w:szCs w:val="32"/>
        </w:rPr>
        <w:t>政事业单位养老支出（款）机关事业单位基本养老保险缴费支出（项）。</w:t>
      </w:r>
    </w:p>
    <w:p>
      <w:pPr>
        <w:pStyle w:val="15"/>
        <w:spacing w:line="600" w:lineRule="exact"/>
        <w:ind w:firstLine="800" w:firstLineChars="25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62.83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62.83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w:t>
      </w:r>
    </w:p>
    <w:p>
      <w:pPr>
        <w:pStyle w:val="15"/>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5、卫生健康支出</w:t>
      </w:r>
      <w:r>
        <w:rPr>
          <w:rFonts w:hint="eastAsia" w:ascii="Times New Roman" w:hAnsi="Times New Roman" w:eastAsia="仿宋_GB2312"/>
          <w:sz w:val="32"/>
          <w:szCs w:val="32"/>
        </w:rPr>
        <w:t>（类）行政事业单位医疗（款）公务员医疗补助（项）。</w:t>
      </w:r>
    </w:p>
    <w:p>
      <w:pPr>
        <w:pStyle w:val="15"/>
        <w:spacing w:line="600" w:lineRule="exact"/>
        <w:ind w:firstLine="800" w:firstLineChars="25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19.13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19.13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highlight w:val="none"/>
          <w:lang w:val="en-US" w:eastAsia="zh-CN"/>
        </w:rPr>
        <w:t>、农林水支出</w:t>
      </w:r>
      <w:r>
        <w:rPr>
          <w:rFonts w:hint="eastAsia" w:ascii="Times New Roman" w:hAnsi="Times New Roman" w:eastAsia="仿宋_GB2312"/>
          <w:sz w:val="32"/>
          <w:szCs w:val="32"/>
          <w:highlight w:val="none"/>
        </w:rPr>
        <w:t>（类）农业农村（款）行政运行（项）。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345.08</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366.94</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106.34</w:t>
      </w:r>
      <w:r>
        <w:rPr>
          <w:rFonts w:hint="eastAsia" w:ascii="Times New Roman" w:hAnsi="Times New Roman" w:eastAsia="仿宋_GB2312"/>
          <w:sz w:val="32"/>
          <w:szCs w:val="32"/>
          <w:highlight w:val="none"/>
        </w:rPr>
        <w:t>%，决算数</w:t>
      </w:r>
      <w:r>
        <w:rPr>
          <w:rFonts w:hint="eastAsia" w:ascii="Times New Roman" w:hAnsi="Times New Roman" w:eastAsia="仿宋_GB2312"/>
          <w:sz w:val="32"/>
          <w:szCs w:val="32"/>
          <w:highlight w:val="none"/>
          <w:lang w:val="en-US" w:eastAsia="zh-CN"/>
        </w:rPr>
        <w:t>大</w:t>
      </w:r>
      <w:r>
        <w:rPr>
          <w:rFonts w:hint="eastAsia" w:ascii="Times New Roman" w:hAnsi="Times New Roman" w:eastAsia="仿宋_GB2312"/>
          <w:sz w:val="32"/>
          <w:szCs w:val="32"/>
          <w:highlight w:val="none"/>
        </w:rPr>
        <w:t>于年初预算数的主要原因是：</w:t>
      </w:r>
      <w:r>
        <w:rPr>
          <w:rFonts w:hint="eastAsia" w:ascii="Times New Roman" w:hAnsi="Times New Roman" w:eastAsia="仿宋_GB2312"/>
          <w:sz w:val="32"/>
          <w:szCs w:val="32"/>
          <w:highlight w:val="none"/>
          <w:lang w:val="en-US" w:eastAsia="zh-CN"/>
        </w:rPr>
        <w:t>年中追加人员经费。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7、农林水支出</w:t>
      </w:r>
      <w:r>
        <w:rPr>
          <w:rFonts w:hint="eastAsia" w:ascii="Times New Roman" w:hAnsi="Times New Roman" w:eastAsia="仿宋_GB2312"/>
          <w:sz w:val="32"/>
          <w:szCs w:val="32"/>
          <w:highlight w:val="none"/>
        </w:rPr>
        <w:t>（类）农业农村（款）农垦运行（项）。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15.51</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7.51</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48.42</w:t>
      </w:r>
      <w:r>
        <w:rPr>
          <w:rFonts w:hint="eastAsia" w:ascii="Times New Roman" w:hAnsi="Times New Roman" w:eastAsia="仿宋_GB2312"/>
          <w:sz w:val="32"/>
          <w:szCs w:val="32"/>
          <w:highlight w:val="none"/>
        </w:rPr>
        <w:t>%，决算数</w:t>
      </w:r>
      <w:r>
        <w:rPr>
          <w:rFonts w:hint="eastAsia" w:ascii="Times New Roman" w:hAnsi="Times New Roman" w:eastAsia="仿宋_GB2312"/>
          <w:sz w:val="32"/>
          <w:szCs w:val="32"/>
          <w:highlight w:val="none"/>
          <w:lang w:val="en-US" w:eastAsia="zh-CN"/>
        </w:rPr>
        <w:t>小</w:t>
      </w:r>
      <w:r>
        <w:rPr>
          <w:rFonts w:hint="eastAsia" w:ascii="Times New Roman" w:hAnsi="Times New Roman" w:eastAsia="仿宋_GB2312"/>
          <w:sz w:val="32"/>
          <w:szCs w:val="32"/>
          <w:highlight w:val="none"/>
        </w:rPr>
        <w:t>于年初预算数的主要原因是：</w:t>
      </w:r>
      <w:r>
        <w:rPr>
          <w:rFonts w:hint="eastAsia" w:ascii="Times New Roman" w:hAnsi="Times New Roman" w:eastAsia="仿宋_GB2312"/>
          <w:sz w:val="32"/>
          <w:szCs w:val="32"/>
          <w:highlight w:val="none"/>
          <w:lang w:val="en-US" w:eastAsia="zh-CN"/>
        </w:rPr>
        <w:t>项目跨年实施。</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8、农林水支出</w:t>
      </w:r>
      <w:r>
        <w:rPr>
          <w:rFonts w:hint="eastAsia" w:ascii="Times New Roman" w:hAnsi="Times New Roman" w:eastAsia="仿宋_GB2312"/>
          <w:sz w:val="32"/>
          <w:szCs w:val="32"/>
          <w:highlight w:val="none"/>
        </w:rPr>
        <w:t>（类）农业农村（款）农业生产发展（项）。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120.76</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7.51</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6.22</w:t>
      </w:r>
      <w:r>
        <w:rPr>
          <w:rFonts w:hint="eastAsia" w:ascii="Times New Roman" w:hAnsi="Times New Roman" w:eastAsia="仿宋_GB2312"/>
          <w:sz w:val="32"/>
          <w:szCs w:val="32"/>
          <w:highlight w:val="none"/>
        </w:rPr>
        <w:t>%，决算数小于年初预算数的主要原因是：</w:t>
      </w:r>
      <w:r>
        <w:rPr>
          <w:rFonts w:hint="eastAsia" w:ascii="Times New Roman" w:hAnsi="Times New Roman" w:eastAsia="仿宋_GB2312"/>
          <w:sz w:val="32"/>
          <w:szCs w:val="32"/>
          <w:highlight w:val="none"/>
          <w:lang w:val="en-US" w:eastAsia="zh-CN"/>
        </w:rPr>
        <w:t>项目跨年实施。</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9、农林水支出</w:t>
      </w:r>
      <w:r>
        <w:rPr>
          <w:rFonts w:hint="eastAsia" w:ascii="Times New Roman" w:hAnsi="Times New Roman" w:eastAsia="仿宋_GB2312"/>
          <w:sz w:val="32"/>
          <w:szCs w:val="32"/>
          <w:highlight w:val="none"/>
        </w:rPr>
        <w:t>（类）农业农村（款）其他农业农村支出（项）。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33.50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10.27</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30.66</w:t>
      </w:r>
      <w:r>
        <w:rPr>
          <w:rFonts w:hint="eastAsia" w:ascii="Times New Roman" w:hAnsi="Times New Roman" w:eastAsia="仿宋_GB2312"/>
          <w:sz w:val="32"/>
          <w:szCs w:val="32"/>
          <w:highlight w:val="none"/>
        </w:rPr>
        <w:t>%，决算数小于年初预算数的主要原因是：</w:t>
      </w:r>
      <w:r>
        <w:rPr>
          <w:rFonts w:hint="eastAsia" w:ascii="Times New Roman" w:hAnsi="Times New Roman" w:eastAsia="仿宋_GB2312"/>
          <w:sz w:val="32"/>
          <w:szCs w:val="32"/>
          <w:highlight w:val="none"/>
          <w:lang w:val="en-US" w:eastAsia="zh-CN"/>
        </w:rPr>
        <w:t>项目跨年实施。</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10、住房保障支出</w:t>
      </w:r>
      <w:r>
        <w:rPr>
          <w:rFonts w:hint="eastAsia" w:ascii="Times New Roman" w:hAnsi="Times New Roman" w:eastAsia="仿宋_GB2312"/>
          <w:sz w:val="32"/>
          <w:szCs w:val="32"/>
          <w:highlight w:val="none"/>
        </w:rPr>
        <w:t>（类）住房改革支出（款）其住房公积金（项）。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34.81</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33.91</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97.42</w:t>
      </w:r>
      <w:r>
        <w:rPr>
          <w:rFonts w:hint="eastAsia" w:ascii="Times New Roman" w:hAnsi="Times New Roman" w:eastAsia="仿宋_GB2312"/>
          <w:sz w:val="32"/>
          <w:szCs w:val="32"/>
          <w:highlight w:val="none"/>
        </w:rPr>
        <w:t>%，决算数小于年初预算数的主要原因是：</w:t>
      </w:r>
      <w:r>
        <w:rPr>
          <w:rFonts w:hint="eastAsia" w:ascii="Times New Roman" w:hAnsi="Times New Roman" w:eastAsia="仿宋_GB2312"/>
          <w:sz w:val="32"/>
          <w:szCs w:val="32"/>
          <w:highlight w:val="none"/>
          <w:lang w:val="en-US" w:eastAsia="zh-CN"/>
        </w:rPr>
        <w:t>人员经费有结余。</w:t>
      </w:r>
    </w:p>
    <w:p>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六、一般公共预算财政拨款基本支出决算情况说明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highlight w:val="none"/>
        </w:rPr>
        <w:t>2024年度一般公共预算财政拨款基本支出</w:t>
      </w:r>
      <w:r>
        <w:rPr>
          <w:rFonts w:hint="eastAsia" w:ascii="Times New Roman" w:hAnsi="Times New Roman" w:eastAsia="仿宋_GB2312" w:cs="Times New Roman"/>
          <w:sz w:val="32"/>
          <w:szCs w:val="32"/>
          <w:highlight w:val="none"/>
          <w:lang w:val="en-US" w:eastAsia="zh-CN"/>
        </w:rPr>
        <w:t>556.47</w:t>
      </w:r>
      <w:r>
        <w:rPr>
          <w:rFonts w:ascii="Times New Roman" w:hAnsi="Times New Roman" w:eastAsia="仿宋_GB2312" w:cs="Times New Roman"/>
          <w:sz w:val="32"/>
          <w:szCs w:val="32"/>
          <w:highlight w:val="none"/>
        </w:rPr>
        <w:t>万</w:t>
      </w:r>
      <w:r>
        <w:rPr>
          <w:rFonts w:ascii="Times New Roman" w:hAnsi="Times New Roman" w:eastAsia="仿宋_GB2312" w:cs="Times New Roman"/>
          <w:sz w:val="32"/>
          <w:szCs w:val="32"/>
        </w:rPr>
        <w:t>元，其中：</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480.59</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86.37</w:t>
      </w:r>
      <w:r>
        <w:rPr>
          <w:rFonts w:ascii="Times New Roman" w:hAnsi="Times New Roman" w:eastAsia="仿宋_GB2312" w:cs="Times New Roman"/>
          <w:sz w:val="32"/>
          <w:szCs w:val="32"/>
        </w:rPr>
        <w:t>%,主要包括基本工资、津贴补贴、奖金、伙食补助费</w:t>
      </w:r>
      <w:r>
        <w:rPr>
          <w:rFonts w:hint="eastAsia" w:ascii="Times New Roman" w:hAnsi="Times New Roman" w:eastAsia="仿宋_GB2312" w:cs="Times New Roman"/>
          <w:sz w:val="32"/>
          <w:szCs w:val="32"/>
          <w:lang w:eastAsia="zh-CN"/>
        </w:rPr>
        <w:t>、机关事业单位基本养老保险缴费、职工基本医疗保险缴费、住房公积金、退休费</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75.87</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13.63</w:t>
      </w:r>
      <w:r>
        <w:rPr>
          <w:rFonts w:ascii="Times New Roman" w:hAnsi="Times New Roman" w:eastAsia="仿宋_GB2312" w:cs="Times New Roman"/>
          <w:sz w:val="32"/>
          <w:szCs w:val="32"/>
        </w:rPr>
        <w:t>%，主要包括办公费、</w:t>
      </w:r>
      <w:r>
        <w:rPr>
          <w:rFonts w:hint="eastAsia" w:ascii="Times New Roman" w:hAnsi="Times New Roman" w:eastAsia="仿宋_GB2312" w:cs="Times New Roman"/>
          <w:sz w:val="32"/>
          <w:szCs w:val="32"/>
          <w:lang w:val="en-US" w:eastAsia="zh-CN"/>
        </w:rPr>
        <w:t>水费、电费、邮电费、维修（护）费、租赁费、劳务费、工会经费、劳务费、其他交通费用、其他商品和服务支出等</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4.00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0.27</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87.10</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lang w:val="en-US" w:eastAsia="zh-CN"/>
        </w:rPr>
        <w:t>单位厉行节约，</w:t>
      </w:r>
      <w:r>
        <w:rPr>
          <w:rFonts w:hint="eastAsia" w:ascii="Times New Roman" w:hAnsi="Times New Roman" w:eastAsia="仿宋_GB2312"/>
          <w:sz w:val="32"/>
          <w:szCs w:val="32"/>
          <w:lang w:val="en-US" w:eastAsia="zh-CN"/>
        </w:rPr>
        <w:t>将开支控制在预算范围内</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highlight w:val="yellow"/>
          <w:lang w:val="en-US" w:eastAsia="zh-CN"/>
        </w:rPr>
        <w:t>落实“过紧日子”要求，本年接待任务较上年减少</w:t>
      </w:r>
      <w:r>
        <w:rPr>
          <w:rFonts w:ascii="Times New Roman" w:hAnsi="Times New Roman" w:eastAsia="仿宋_GB2312" w:cs="Times New Roman"/>
          <w:sz w:val="32"/>
          <w:szCs w:val="32"/>
          <w:highlight w:val="yellow"/>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val="en-US"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。其中：</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highlight w:val="none"/>
        </w:rPr>
        <w:t>与上年</w:t>
      </w:r>
      <w:r>
        <w:rPr>
          <w:rFonts w:hint="eastAsia" w:ascii="Times New Roman" w:hAnsi="Times New Roman" w:eastAsia="仿宋_GB2312" w:cs="Times New Roman"/>
          <w:sz w:val="32"/>
          <w:szCs w:val="32"/>
          <w:highlight w:val="none"/>
          <w:lang w:val="en-US" w:eastAsia="zh-CN"/>
        </w:rPr>
        <w:t>持平。</w:t>
      </w:r>
      <w:r>
        <w:rPr>
          <w:rFonts w:ascii="Times New Roman" w:hAnsi="Times New Roman" w:eastAsia="仿宋_GB2312" w:cs="Times New Roman"/>
          <w:sz w:val="32"/>
          <w:szCs w:val="32"/>
          <w:highlight w:val="none"/>
        </w:rPr>
        <w:t>单位本级更新公务用车</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辆</w:t>
      </w:r>
      <w:r>
        <w:rPr>
          <w:rFonts w:hint="eastAsia" w:ascii="Times New Roman" w:hAnsi="Times New Roman" w:eastAsia="仿宋_GB2312" w:cs="Times New Roman"/>
          <w:sz w:val="32"/>
          <w:szCs w:val="32"/>
          <w:highlight w:val="none"/>
          <w:lang w:eastAsia="zh-CN"/>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4.00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0.27</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87.10</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lang w:val="en-US" w:eastAsia="zh-CN"/>
        </w:rPr>
        <w:t>单位厉行节约，</w:t>
      </w:r>
      <w:r>
        <w:rPr>
          <w:rFonts w:hint="eastAsia" w:ascii="Times New Roman" w:hAnsi="Times New Roman" w:eastAsia="仿宋_GB2312"/>
          <w:sz w:val="32"/>
          <w:szCs w:val="32"/>
          <w:lang w:val="en-US" w:eastAsia="zh-CN"/>
        </w:rPr>
        <w:t>将开支控制在预算范围内</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highlight w:val="yellow"/>
          <w:lang w:val="en-US" w:eastAsia="zh-CN"/>
        </w:rPr>
        <w:t>落实“过紧日子”要求，本年接待任务较上年减少</w:t>
      </w:r>
      <w:r>
        <w:rPr>
          <w:rFonts w:ascii="Times New Roman" w:hAnsi="Times New Roman" w:eastAsia="仿宋_GB2312" w:cs="Times New Roman"/>
          <w:sz w:val="32"/>
          <w:szCs w:val="32"/>
          <w:highlight w:val="yellow"/>
        </w:rPr>
        <w:t>。</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024年度共接待来访团组</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人次，主要是</w:t>
      </w:r>
      <w:r>
        <w:rPr>
          <w:rFonts w:hint="eastAsia" w:ascii="Times New Roman" w:hAnsi="Times New Roman" w:eastAsia="仿宋_GB2312"/>
          <w:sz w:val="32"/>
          <w:szCs w:val="32"/>
          <w:lang w:val="en-US" w:eastAsia="zh-CN"/>
        </w:rPr>
        <w:t>市县汇报工作</w:t>
      </w:r>
      <w:r>
        <w:rPr>
          <w:rFonts w:hint="eastAsia" w:ascii="Times New Roman" w:hAnsi="Times New Roman" w:eastAsia="仿宋_GB2312"/>
          <w:sz w:val="32"/>
          <w:szCs w:val="32"/>
        </w:rPr>
        <w:t>发生的接待支出</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本</w:t>
      </w:r>
      <w:r>
        <w:rPr>
          <w:rFonts w:ascii="Times New Roman" w:hAnsi="Times New Roman" w:eastAsia="仿宋_GB2312" w:cs="Times New Roman"/>
          <w:sz w:val="32"/>
          <w:szCs w:val="32"/>
        </w:rPr>
        <w:t>单位无政府性基金收支</w:t>
      </w:r>
      <w:r>
        <w:rPr>
          <w:rFonts w:hint="eastAsia" w:ascii="Times New Roman" w:hAnsi="Times New Roman" w:eastAsia="仿宋_GB2312" w:cs="Times New Roman"/>
          <w:sz w:val="32"/>
          <w:szCs w:val="32"/>
          <w:lang w:eastAsia="zh-CN"/>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ascii="Times New Roman" w:hAnsi="Times New Roman" w:eastAsia="仿宋_GB2312" w:cs="Times New Roman"/>
          <w:sz w:val="32"/>
          <w:szCs w:val="32"/>
        </w:rPr>
        <w:t>本部门2024年度机关运行经费支出</w:t>
      </w:r>
      <w:r>
        <w:rPr>
          <w:rFonts w:hint="eastAsia" w:ascii="Times New Roman" w:hAnsi="Times New Roman" w:eastAsia="仿宋_GB2312" w:cs="Times New Roman"/>
          <w:sz w:val="32"/>
          <w:szCs w:val="32"/>
          <w:lang w:val="en-US" w:eastAsia="zh-CN"/>
        </w:rPr>
        <w:t>75.87</w:t>
      </w:r>
      <w:r>
        <w:rPr>
          <w:rFonts w:ascii="Times New Roman" w:hAnsi="Times New Roman" w:eastAsia="仿宋_GB2312" w:cs="Times New Roman"/>
          <w:sz w:val="32"/>
          <w:szCs w:val="32"/>
        </w:rPr>
        <w:t>万元，比年初预算数减少</w:t>
      </w:r>
      <w:r>
        <w:rPr>
          <w:rFonts w:hint="eastAsia" w:ascii="Times New Roman" w:hAnsi="Times New Roman" w:eastAsia="仿宋_GB2312" w:cs="Times New Roman"/>
          <w:sz w:val="32"/>
          <w:szCs w:val="32"/>
          <w:lang w:val="en-US" w:eastAsia="zh-CN"/>
        </w:rPr>
        <w:t>5.50</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6.76</w:t>
      </w:r>
      <w:r>
        <w:rPr>
          <w:rFonts w:ascii="Times New Roman" w:hAnsi="Times New Roman" w:eastAsia="仿宋_GB2312" w:cs="Times New Roman"/>
          <w:sz w:val="32"/>
          <w:szCs w:val="32"/>
        </w:rPr>
        <w:t>%。主要原因是：</w:t>
      </w:r>
      <w:r>
        <w:rPr>
          <w:rFonts w:hint="eastAsia" w:ascii="Times New Roman" w:hAnsi="Times New Roman" w:eastAsia="仿宋_GB2312"/>
          <w:sz w:val="32"/>
          <w:szCs w:val="32"/>
          <w:lang w:val="en-US" w:eastAsia="zh-CN"/>
        </w:rPr>
        <w:t>我单位</w:t>
      </w:r>
      <w:r>
        <w:rPr>
          <w:rFonts w:hint="eastAsia" w:ascii="Times New Roman" w:hAnsi="Times New Roman" w:eastAsia="仿宋_GB2312"/>
          <w:sz w:val="32"/>
          <w:szCs w:val="32"/>
        </w:rPr>
        <w:t>贯彻中央“八项规定”和厉行节约的要求，</w:t>
      </w:r>
      <w:r>
        <w:rPr>
          <w:rFonts w:hint="eastAsia" w:ascii="Times New Roman" w:hAnsi="Times New Roman" w:eastAsia="仿宋_GB2312"/>
          <w:sz w:val="32"/>
          <w:szCs w:val="32"/>
          <w:lang w:eastAsia="zh-CN"/>
        </w:rPr>
        <w:t>压减机关运费经费开支</w:t>
      </w:r>
      <w:r>
        <w:rPr>
          <w:rFonts w:hint="eastAsia" w:ascii="Times New Roman" w:hAnsi="Times New Roman" w:eastAsia="仿宋_GB2312"/>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万元；开支培训费</w:t>
      </w:r>
      <w:r>
        <w:rPr>
          <w:rFonts w:hint="eastAsia" w:ascii="Times New Roman" w:hAnsi="Times New Roman" w:eastAsia="仿宋_GB2312" w:cs="Times New Roman"/>
          <w:sz w:val="32"/>
          <w:szCs w:val="32"/>
          <w:lang w:val="en-US" w:eastAsia="zh-CN"/>
        </w:rPr>
        <w:t>2.56</w:t>
      </w:r>
      <w:r>
        <w:rPr>
          <w:rFonts w:ascii="Times New Roman" w:hAnsi="Times New Roman" w:eastAsia="仿宋_GB2312" w:cs="Times New Roman"/>
          <w:sz w:val="32"/>
          <w:szCs w:val="32"/>
        </w:rPr>
        <w:t>万元，用于开展</w:t>
      </w:r>
      <w:r>
        <w:rPr>
          <w:rFonts w:hint="eastAsia" w:ascii="Times New Roman" w:hAnsi="Times New Roman" w:eastAsia="仿宋_GB2312" w:cs="Times New Roman"/>
          <w:sz w:val="32"/>
          <w:szCs w:val="32"/>
          <w:lang w:val="en-US" w:eastAsia="zh-CN"/>
        </w:rPr>
        <w:t>参加部农垦局、农业农村部管理干部学院等部门组织的培训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10</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val="en-US" w:eastAsia="zh-CN"/>
        </w:rPr>
        <w:t>参加公文写作与办公综合能力提升培训班、参加农垦统计人员培训班、参加农垦欠发达国有农场能力提升培训班、参加农垦系统财务管理能力提升培训班、参加工勤人员</w:t>
      </w:r>
      <w:r>
        <w:rPr>
          <w:rFonts w:hint="default" w:ascii="Times New Roman" w:hAnsi="Times New Roman" w:eastAsia="仿宋_GB2312" w:cs="Times New Roman"/>
          <w:sz w:val="32"/>
          <w:szCs w:val="32"/>
          <w:lang w:val="en-US" w:eastAsia="zh-CN"/>
        </w:rPr>
        <w:t>公共科目培训</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未</w:t>
      </w:r>
      <w:r>
        <w:rPr>
          <w:rFonts w:ascii="Times New Roman" w:hAnsi="Times New Roman" w:eastAsia="仿宋_GB2312" w:cs="Times New Roman"/>
          <w:sz w:val="32"/>
          <w:szCs w:val="32"/>
        </w:rPr>
        <w:t>举办节庆、晚会、论坛、赛事活动。</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1.84</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1.84</w:t>
      </w:r>
      <w:r>
        <w:rPr>
          <w:rFonts w:ascii="Times New Roman" w:hAnsi="Times New Roman" w:eastAsia="仿宋_GB2312" w:cs="Times New Roman"/>
          <w:sz w:val="32"/>
          <w:szCs w:val="32"/>
        </w:rPr>
        <w:t>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1.84</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1.84</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87.47</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87.47</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13.58</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ascii="Times New Roman" w:hAnsi="Times New Roman" w:eastAsia="仿宋_GB2312" w:cs="Times New Roman"/>
          <w:bCs/>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w:t>
      </w:r>
      <w:r>
        <w:rPr>
          <w:rFonts w:ascii="Times New Roman" w:hAnsi="Times New Roman" w:eastAsia="仿宋_GB2312" w:cs="Times New Roman"/>
          <w:kern w:val="0"/>
          <w:sz w:val="32"/>
          <w:szCs w:val="32"/>
          <w:highlight w:val="none"/>
        </w:rPr>
        <w:t>年度本单位整体支出</w:t>
      </w:r>
      <w:r>
        <w:rPr>
          <w:rFonts w:ascii="Times New Roman" w:hAnsi="Times New Roman" w:eastAsia="仿宋_GB2312" w:cs="Times New Roman"/>
          <w:sz w:val="32"/>
          <w:szCs w:val="32"/>
          <w:highlight w:val="none"/>
        </w:rPr>
        <w:t>全年预算数</w:t>
      </w:r>
      <w:r>
        <w:rPr>
          <w:rFonts w:hint="eastAsia" w:ascii="Times New Roman" w:hAnsi="Times New Roman" w:eastAsia="仿宋_GB2312" w:cs="Times New Roman"/>
          <w:sz w:val="32"/>
          <w:szCs w:val="32"/>
          <w:highlight w:val="none"/>
          <w:lang w:val="en-US" w:eastAsia="zh-CN"/>
        </w:rPr>
        <w:t>773.61</w:t>
      </w:r>
      <w:r>
        <w:rPr>
          <w:rFonts w:ascii="Times New Roman" w:hAnsi="Times New Roman" w:eastAsia="仿宋_GB2312" w:cs="Times New Roman"/>
          <w:sz w:val="32"/>
          <w:szCs w:val="32"/>
          <w:highlight w:val="none"/>
        </w:rPr>
        <w:t>万元，执行数</w:t>
      </w:r>
      <w:r>
        <w:rPr>
          <w:rFonts w:hint="eastAsia" w:ascii="Times New Roman" w:hAnsi="Times New Roman" w:eastAsia="仿宋_GB2312" w:cs="Times New Roman"/>
          <w:sz w:val="32"/>
          <w:szCs w:val="32"/>
          <w:highlight w:val="none"/>
          <w:lang w:val="en-US" w:eastAsia="zh-CN"/>
        </w:rPr>
        <w:t>643.93</w:t>
      </w:r>
      <w:r>
        <w:rPr>
          <w:rFonts w:ascii="Times New Roman" w:hAnsi="Times New Roman" w:eastAsia="仿宋_GB2312" w:cs="Times New Roman"/>
          <w:sz w:val="32"/>
          <w:szCs w:val="32"/>
          <w:highlight w:val="none"/>
        </w:rPr>
        <w:t>万元，完成预算的</w:t>
      </w:r>
      <w:r>
        <w:rPr>
          <w:rFonts w:hint="eastAsia" w:ascii="Times New Roman" w:hAnsi="Times New Roman" w:eastAsia="仿宋_GB2312" w:cs="Times New Roman"/>
          <w:sz w:val="32"/>
          <w:szCs w:val="32"/>
          <w:lang w:val="en-US" w:eastAsia="zh-CN"/>
        </w:rPr>
        <w:t>93.24</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98.30</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”。绩效目标完成情况：一是</w:t>
      </w:r>
      <w:r>
        <w:rPr>
          <w:rFonts w:hint="eastAsia" w:ascii="仿宋" w:hAnsi="仿宋" w:eastAsia="仿宋" w:cs="仿宋"/>
          <w:sz w:val="32"/>
          <w:szCs w:val="32"/>
          <w:lang w:val="en-US" w:eastAsia="zh-CN"/>
        </w:rPr>
        <w:t>加快推进项目建设，赋能欠发达农场发展。下达欠发达国有农场巩固提升资金4020万元，比上年增长5.9%。通过强化项目绩效管理、提升资金使用效率推动我省欠发达国有农场实现产业发展、资源盘活、群众增收。</w:t>
      </w:r>
      <w:r>
        <w:rPr>
          <w:rFonts w:hint="eastAsia" w:ascii="仿宋" w:hAnsi="仿宋" w:eastAsia="仿宋" w:cs="仿宋"/>
          <w:sz w:val="32"/>
          <w:szCs w:val="32"/>
        </w:rPr>
        <w:t>20</w:t>
      </w:r>
      <w:r>
        <w:rPr>
          <w:rFonts w:hint="eastAsia" w:ascii="仿宋" w:hAnsi="仿宋" w:eastAsia="仿宋" w:cs="仿宋"/>
          <w:b w:val="0"/>
          <w:bCs w:val="0"/>
          <w:kern w:val="2"/>
          <w:sz w:val="32"/>
          <w:szCs w:val="32"/>
          <w:highlight w:val="none"/>
          <w:lang w:val="zh-CN" w:eastAsia="zh-CN" w:bidi="ar-SA"/>
        </w:rPr>
        <w:t>2</w:t>
      </w:r>
      <w:r>
        <w:rPr>
          <w:rFonts w:hint="eastAsia" w:ascii="仿宋" w:hAnsi="仿宋" w:eastAsia="仿宋" w:cs="仿宋"/>
          <w:b w:val="0"/>
          <w:bCs w:val="0"/>
          <w:kern w:val="2"/>
          <w:sz w:val="32"/>
          <w:szCs w:val="32"/>
          <w:highlight w:val="none"/>
          <w:lang w:val="en-US" w:eastAsia="zh-CN" w:bidi="ar-SA"/>
        </w:rPr>
        <w:t>4</w:t>
      </w:r>
      <w:r>
        <w:rPr>
          <w:rFonts w:hint="eastAsia" w:ascii="仿宋" w:hAnsi="仿宋" w:eastAsia="仿宋" w:cs="仿宋"/>
          <w:b w:val="0"/>
          <w:bCs w:val="0"/>
          <w:kern w:val="2"/>
          <w:sz w:val="32"/>
          <w:szCs w:val="32"/>
          <w:highlight w:val="none"/>
          <w:lang w:val="zh-CN" w:eastAsia="zh-CN" w:bidi="ar-SA"/>
        </w:rPr>
        <w:t>年度全省欠发达国有农场从业人员人均收入达</w:t>
      </w:r>
      <w:r>
        <w:rPr>
          <w:rFonts w:hint="eastAsia" w:ascii="仿宋" w:hAnsi="仿宋" w:eastAsia="仿宋" w:cs="仿宋"/>
          <w:b w:val="0"/>
          <w:bCs w:val="0"/>
          <w:kern w:val="2"/>
          <w:sz w:val="32"/>
          <w:szCs w:val="32"/>
          <w:highlight w:val="none"/>
          <w:lang w:val="en-US" w:eastAsia="zh-CN" w:bidi="ar-SA"/>
        </w:rPr>
        <w:t>2.59</w:t>
      </w:r>
      <w:r>
        <w:rPr>
          <w:rFonts w:hint="eastAsia" w:ascii="仿宋" w:hAnsi="仿宋" w:eastAsia="仿宋" w:cs="仿宋"/>
          <w:b w:val="0"/>
          <w:bCs w:val="0"/>
          <w:kern w:val="2"/>
          <w:sz w:val="32"/>
          <w:szCs w:val="32"/>
          <w:highlight w:val="none"/>
          <w:lang w:val="zh-CN" w:eastAsia="zh-CN" w:bidi="ar-SA"/>
        </w:rPr>
        <w:t>万元，较上一年增长</w:t>
      </w:r>
      <w:r>
        <w:rPr>
          <w:rFonts w:hint="eastAsia" w:ascii="仿宋" w:hAnsi="仿宋" w:eastAsia="仿宋" w:cs="仿宋"/>
          <w:b w:val="0"/>
          <w:bCs w:val="0"/>
          <w:kern w:val="2"/>
          <w:sz w:val="32"/>
          <w:szCs w:val="32"/>
          <w:highlight w:val="none"/>
          <w:lang w:val="en-US" w:eastAsia="zh-CN" w:bidi="ar-SA"/>
        </w:rPr>
        <w:t>2.97</w:t>
      </w:r>
      <w:r>
        <w:rPr>
          <w:rFonts w:hint="eastAsia" w:ascii="仿宋" w:hAnsi="仿宋" w:eastAsia="仿宋" w:cs="仿宋"/>
          <w:b w:val="0"/>
          <w:bCs w:val="0"/>
          <w:kern w:val="2"/>
          <w:sz w:val="32"/>
          <w:szCs w:val="32"/>
          <w:highlight w:val="none"/>
          <w:lang w:val="zh-CN" w:eastAsia="zh-CN" w:bidi="ar-SA"/>
        </w:rPr>
        <w:t>%，增长率比全省高</w:t>
      </w:r>
      <w:r>
        <w:rPr>
          <w:rFonts w:hint="eastAsia" w:ascii="仿宋" w:hAnsi="仿宋" w:eastAsia="仿宋" w:cs="仿宋"/>
          <w:b w:val="0"/>
          <w:bCs w:val="0"/>
          <w:kern w:val="2"/>
          <w:sz w:val="32"/>
          <w:szCs w:val="32"/>
          <w:highlight w:val="none"/>
          <w:lang w:val="en-US" w:eastAsia="zh-CN" w:bidi="ar-SA"/>
        </w:rPr>
        <w:t>2.58</w:t>
      </w:r>
      <w:r>
        <w:rPr>
          <w:rFonts w:hint="eastAsia" w:ascii="仿宋" w:hAnsi="仿宋" w:eastAsia="仿宋" w:cs="仿宋"/>
          <w:b w:val="0"/>
          <w:bCs w:val="0"/>
          <w:kern w:val="2"/>
          <w:sz w:val="32"/>
          <w:szCs w:val="32"/>
          <w:highlight w:val="none"/>
          <w:lang w:val="zh-CN" w:eastAsia="zh-CN" w:bidi="ar-SA"/>
        </w:rPr>
        <w:t>个百分点</w:t>
      </w:r>
      <w:r>
        <w:rPr>
          <w:rFonts w:ascii="Times New Roman" w:hAnsi="Times New Roman" w:eastAsia="仿宋_GB2312" w:cs="Times New Roman"/>
          <w:sz w:val="32"/>
          <w:szCs w:val="32"/>
        </w:rPr>
        <w:t>；二是</w:t>
      </w:r>
      <w:r>
        <w:rPr>
          <w:rStyle w:val="22"/>
          <w:rFonts w:hint="eastAsia" w:ascii="仿宋" w:hAnsi="仿宋" w:eastAsia="仿宋" w:cs="仿宋"/>
          <w:kern w:val="0"/>
          <w:sz w:val="32"/>
          <w:szCs w:val="32"/>
        </w:rPr>
        <w:t>省农垦完成早稻种植面积</w:t>
      </w:r>
      <w:r>
        <w:rPr>
          <w:rFonts w:hint="eastAsia" w:ascii="仿宋" w:hAnsi="仿宋" w:eastAsia="仿宋" w:cs="仿宋"/>
          <w:i w:val="0"/>
          <w:iCs w:val="0"/>
          <w:color w:val="000000"/>
          <w:kern w:val="0"/>
          <w:sz w:val="32"/>
          <w:szCs w:val="32"/>
          <w:u w:val="none"/>
          <w:lang w:val="en-US" w:eastAsia="zh-CN" w:bidi="ar"/>
        </w:rPr>
        <w:t>65.94</w:t>
      </w:r>
      <w:r>
        <w:rPr>
          <w:rStyle w:val="22"/>
          <w:rFonts w:hint="eastAsia" w:ascii="仿宋" w:hAnsi="仿宋" w:eastAsia="仿宋" w:cs="仿宋"/>
          <w:kern w:val="0"/>
          <w:sz w:val="32"/>
          <w:szCs w:val="32"/>
        </w:rPr>
        <w:t>万亩，总产27.</w:t>
      </w:r>
      <w:r>
        <w:rPr>
          <w:rStyle w:val="22"/>
          <w:rFonts w:hint="eastAsia" w:ascii="仿宋" w:hAnsi="仿宋" w:eastAsia="仿宋" w:cs="仿宋"/>
          <w:kern w:val="0"/>
          <w:sz w:val="32"/>
          <w:szCs w:val="32"/>
          <w:lang w:val="en-US" w:eastAsia="zh-CN"/>
        </w:rPr>
        <w:t>45</w:t>
      </w:r>
      <w:r>
        <w:rPr>
          <w:rStyle w:val="22"/>
          <w:rFonts w:hint="eastAsia" w:ascii="仿宋" w:hAnsi="仿宋" w:eastAsia="仿宋" w:cs="仿宋"/>
          <w:kern w:val="0"/>
          <w:sz w:val="32"/>
          <w:szCs w:val="32"/>
        </w:rPr>
        <w:t>万吨；全省农垦中晚稻种植面积</w:t>
      </w:r>
      <w:r>
        <w:rPr>
          <w:rStyle w:val="22"/>
          <w:rFonts w:hint="eastAsia" w:ascii="仿宋" w:hAnsi="仿宋" w:eastAsia="仿宋" w:cs="仿宋"/>
          <w:kern w:val="0"/>
          <w:sz w:val="32"/>
          <w:szCs w:val="32"/>
          <w:lang w:val="en-US" w:eastAsia="zh-CN"/>
        </w:rPr>
        <w:t xml:space="preserve"> </w:t>
      </w:r>
      <w:r>
        <w:rPr>
          <w:rFonts w:hint="eastAsia" w:ascii="仿宋" w:hAnsi="仿宋" w:eastAsia="仿宋" w:cs="仿宋"/>
          <w:sz w:val="32"/>
          <w:szCs w:val="32"/>
          <w:lang w:val="en-US" w:eastAsia="zh-CN"/>
        </w:rPr>
        <w:t>76.59</w:t>
      </w:r>
      <w:r>
        <w:rPr>
          <w:rStyle w:val="22"/>
          <w:rFonts w:hint="eastAsia" w:ascii="仿宋" w:hAnsi="仿宋" w:eastAsia="仿宋" w:cs="仿宋"/>
          <w:kern w:val="0"/>
          <w:sz w:val="32"/>
          <w:szCs w:val="32"/>
        </w:rPr>
        <w:t>万亩，总产</w:t>
      </w:r>
      <w:r>
        <w:rPr>
          <w:rFonts w:hint="eastAsia" w:ascii="仿宋" w:hAnsi="仿宋" w:eastAsia="仿宋" w:cs="仿宋"/>
          <w:sz w:val="32"/>
          <w:szCs w:val="32"/>
          <w:lang w:val="en-US" w:eastAsia="zh-CN"/>
        </w:rPr>
        <w:t>36.46</w:t>
      </w:r>
      <w:r>
        <w:rPr>
          <w:rStyle w:val="22"/>
          <w:rFonts w:hint="eastAsia" w:ascii="仿宋" w:hAnsi="仿宋" w:eastAsia="仿宋" w:cs="仿宋"/>
          <w:kern w:val="0"/>
          <w:sz w:val="32"/>
          <w:szCs w:val="32"/>
        </w:rPr>
        <w:t>万吨。全省垦区粮食生产连续</w:t>
      </w:r>
      <w:r>
        <w:rPr>
          <w:rStyle w:val="22"/>
          <w:rFonts w:hint="eastAsia" w:ascii="仿宋" w:hAnsi="仿宋" w:eastAsia="仿宋" w:cs="仿宋"/>
          <w:kern w:val="0"/>
          <w:sz w:val="32"/>
          <w:szCs w:val="32"/>
          <w:lang w:val="en-US" w:eastAsia="zh-CN"/>
        </w:rPr>
        <w:t>4</w:t>
      </w:r>
      <w:r>
        <w:rPr>
          <w:rStyle w:val="22"/>
          <w:rFonts w:hint="eastAsia" w:ascii="仿宋" w:hAnsi="仿宋" w:eastAsia="仿宋" w:cs="仿宋"/>
          <w:kern w:val="0"/>
          <w:sz w:val="32"/>
          <w:szCs w:val="32"/>
        </w:rPr>
        <w:t>年保持面积、总产“两个增长”。</w:t>
      </w:r>
      <w:r>
        <w:rPr>
          <w:rFonts w:hint="eastAsia" w:ascii="仿宋" w:hAnsi="仿宋" w:eastAsia="仿宋" w:cs="仿宋"/>
          <w:color w:val="000000"/>
          <w:kern w:val="0"/>
          <w:sz w:val="32"/>
          <w:szCs w:val="32"/>
          <w:lang w:val="en-US" w:eastAsia="zh-CN" w:bidi="ar"/>
        </w:rPr>
        <w:t>继续组织实施农垦带头扩种大豆油料行动,稳定大豆种植面积,推广大豆油菜高产技术模式,推动大面积单产提升。2024年全省垦区</w:t>
      </w:r>
      <w:r>
        <w:rPr>
          <w:rFonts w:hint="eastAsia" w:ascii="仿宋" w:hAnsi="仿宋" w:eastAsia="仿宋" w:cs="仿宋"/>
          <w:kern w:val="2"/>
          <w:sz w:val="32"/>
          <w:szCs w:val="32"/>
          <w:lang w:val="en-US" w:eastAsia="zh-CN" w:bidi="ar-SA"/>
        </w:rPr>
        <w:t>种植大豆3.54万亩，比上年增长10.97%；亩产135.59公斤，较上年增加0.59%。油菜种植面积47.2</w:t>
      </w:r>
      <w:r>
        <w:rPr>
          <w:rStyle w:val="22"/>
          <w:rFonts w:hint="eastAsia" w:ascii="仿宋" w:hAnsi="仿宋" w:eastAsia="仿宋" w:cs="仿宋"/>
          <w:kern w:val="0"/>
          <w:sz w:val="32"/>
          <w:szCs w:val="32"/>
          <w:lang w:val="en-US" w:eastAsia="zh-CN"/>
        </w:rPr>
        <w:t>6万亩，较上年增长0.35%；亩产119公斤，较上年增加0.85%。在</w:t>
      </w:r>
      <w:r>
        <w:rPr>
          <w:rStyle w:val="22"/>
          <w:rFonts w:hint="eastAsia" w:ascii="仿宋" w:hAnsi="仿宋" w:eastAsia="仿宋" w:cs="仿宋"/>
          <w:kern w:val="0"/>
          <w:sz w:val="32"/>
          <w:szCs w:val="32"/>
        </w:rPr>
        <w:t>2024年全国农垦单产提升劳动竞赛</w:t>
      </w:r>
      <w:r>
        <w:rPr>
          <w:rStyle w:val="22"/>
          <w:rFonts w:hint="eastAsia" w:ascii="仿宋" w:hAnsi="仿宋" w:eastAsia="仿宋" w:cs="仿宋"/>
          <w:kern w:val="0"/>
          <w:sz w:val="32"/>
          <w:szCs w:val="32"/>
          <w:lang w:val="en-US" w:eastAsia="zh-CN"/>
        </w:rPr>
        <w:t>中我省</w:t>
      </w:r>
      <w:r>
        <w:rPr>
          <w:rStyle w:val="22"/>
          <w:rFonts w:hint="eastAsia" w:ascii="仿宋" w:hAnsi="仿宋" w:eastAsia="仿宋" w:cs="仿宋"/>
          <w:kern w:val="0"/>
          <w:sz w:val="32"/>
          <w:szCs w:val="32"/>
        </w:rPr>
        <w:t>西洞庭管理</w:t>
      </w:r>
      <w:r>
        <w:rPr>
          <w:rStyle w:val="22"/>
          <w:rFonts w:hint="eastAsia" w:ascii="仿宋" w:hAnsi="仿宋" w:eastAsia="仿宋" w:cs="仿宋"/>
          <w:kern w:val="0"/>
          <w:sz w:val="32"/>
          <w:szCs w:val="32"/>
          <w:lang w:val="en-US" w:eastAsia="zh-CN"/>
        </w:rPr>
        <w:t>区、大通湖管理区、沅江市茶盘洲镇3个垦区均表现出</w:t>
      </w:r>
      <w:r>
        <w:rPr>
          <w:rFonts w:hint="eastAsia" w:ascii="仿宋" w:hAnsi="仿宋" w:eastAsia="仿宋" w:cs="仿宋"/>
          <w:kern w:val="2"/>
          <w:sz w:val="32"/>
          <w:szCs w:val="32"/>
          <w:lang w:val="en-US" w:eastAsia="zh-CN" w:bidi="ar-SA"/>
        </w:rPr>
        <w:t>色。其中单产提升农场方面，西洞庭分别入选早稻和冬油菜佳绩组，大通湖入选早稻优胜组，沅江市茶盘洲镇入选冬油菜佳绩组；高产样板田方面，西洞庭祝丰镇涂家湖村入选早稻佳绩组，西洞庭祝丰镇唐林村2组入选冬油菜佳绩组。三是深入实施“ 农垦社会化服务+地方” 行动，</w:t>
      </w:r>
      <w:r>
        <w:rPr>
          <w:rFonts w:hint="eastAsia" w:ascii="仿宋" w:hAnsi="仿宋" w:eastAsia="仿宋" w:cs="仿宋"/>
          <w:sz w:val="32"/>
          <w:szCs w:val="32"/>
        </w:rPr>
        <w:t>立足湖南垦情</w:t>
      </w:r>
      <w:r>
        <w:rPr>
          <w:rFonts w:hint="eastAsia" w:ascii="仿宋" w:hAnsi="仿宋" w:eastAsia="仿宋" w:cs="仿宋"/>
          <w:sz w:val="32"/>
          <w:szCs w:val="32"/>
          <w:lang w:eastAsia="zh-CN"/>
        </w:rPr>
        <w:t>，</w:t>
      </w:r>
      <w:r>
        <w:rPr>
          <w:rFonts w:hint="eastAsia" w:ascii="仿宋" w:hAnsi="仿宋" w:eastAsia="仿宋" w:cs="仿宋"/>
          <w:sz w:val="32"/>
          <w:szCs w:val="32"/>
        </w:rPr>
        <w:t>大力培育服务主体、突出服务重点，提升服务水平，发挥农垦辐射带动作用，促进农户与现代农业有机衔接，为全面推进乡村振兴提供有力支撑。据初步统计，全省</w:t>
      </w:r>
      <w:r>
        <w:rPr>
          <w:rFonts w:hint="eastAsia" w:ascii="仿宋" w:hAnsi="仿宋" w:eastAsia="仿宋" w:cs="仿宋"/>
          <w:sz w:val="32"/>
          <w:szCs w:val="32"/>
          <w:lang w:val="en-US" w:eastAsia="zh-CN"/>
        </w:rPr>
        <w:t>垦区</w:t>
      </w:r>
      <w:r>
        <w:rPr>
          <w:rFonts w:hint="eastAsia" w:ascii="仿宋" w:hAnsi="仿宋" w:eastAsia="仿宋" w:cs="仿宋"/>
          <w:sz w:val="32"/>
          <w:szCs w:val="32"/>
        </w:rPr>
        <w:t>农业社会化服务主体达</w:t>
      </w:r>
      <w:r>
        <w:rPr>
          <w:rFonts w:hint="eastAsia" w:ascii="仿宋" w:hAnsi="仿宋" w:eastAsia="仿宋" w:cs="仿宋"/>
          <w:sz w:val="32"/>
          <w:szCs w:val="32"/>
          <w:lang w:val="en-US" w:eastAsia="zh-CN"/>
        </w:rPr>
        <w:t>1217</w:t>
      </w:r>
      <w:r>
        <w:rPr>
          <w:rFonts w:hint="eastAsia" w:ascii="仿宋" w:hAnsi="仿宋" w:eastAsia="仿宋" w:cs="仿宋"/>
          <w:sz w:val="32"/>
          <w:szCs w:val="32"/>
        </w:rPr>
        <w:t>个，其中农业企业</w:t>
      </w:r>
      <w:r>
        <w:rPr>
          <w:rFonts w:hint="eastAsia" w:ascii="仿宋" w:hAnsi="仿宋" w:eastAsia="仿宋" w:cs="仿宋"/>
          <w:sz w:val="32"/>
          <w:szCs w:val="32"/>
          <w:lang w:val="en-US" w:eastAsia="zh-CN"/>
        </w:rPr>
        <w:t>72</w:t>
      </w:r>
      <w:r>
        <w:rPr>
          <w:rFonts w:hint="eastAsia" w:ascii="仿宋" w:hAnsi="仿宋" w:eastAsia="仿宋" w:cs="仿宋"/>
          <w:sz w:val="32"/>
          <w:szCs w:val="32"/>
        </w:rPr>
        <w:t>个，农民合作社</w:t>
      </w:r>
      <w:r>
        <w:rPr>
          <w:rFonts w:hint="eastAsia" w:ascii="仿宋" w:hAnsi="仿宋" w:eastAsia="仿宋" w:cs="仿宋"/>
          <w:sz w:val="32"/>
          <w:szCs w:val="32"/>
          <w:lang w:val="en-US" w:eastAsia="zh-CN"/>
        </w:rPr>
        <w:t>462</w:t>
      </w:r>
      <w:r>
        <w:rPr>
          <w:rFonts w:hint="eastAsia" w:ascii="仿宋" w:hAnsi="仿宋" w:eastAsia="仿宋" w:cs="仿宋"/>
          <w:sz w:val="32"/>
          <w:szCs w:val="32"/>
        </w:rPr>
        <w:t>个，集体经济组织</w:t>
      </w:r>
      <w:r>
        <w:rPr>
          <w:rFonts w:hint="eastAsia" w:ascii="仿宋" w:hAnsi="仿宋" w:eastAsia="仿宋" w:cs="仿宋"/>
          <w:sz w:val="32"/>
          <w:szCs w:val="32"/>
          <w:lang w:val="en-US" w:eastAsia="zh-CN"/>
        </w:rPr>
        <w:t>95</w:t>
      </w:r>
      <w:r>
        <w:rPr>
          <w:rFonts w:hint="eastAsia" w:ascii="仿宋" w:hAnsi="仿宋" w:eastAsia="仿宋" w:cs="仿宋"/>
          <w:sz w:val="32"/>
          <w:szCs w:val="32"/>
        </w:rPr>
        <w:t>个，各类专业户</w:t>
      </w:r>
      <w:r>
        <w:rPr>
          <w:rFonts w:hint="eastAsia" w:ascii="仿宋" w:hAnsi="仿宋" w:eastAsia="仿宋" w:cs="仿宋"/>
          <w:sz w:val="32"/>
          <w:szCs w:val="32"/>
          <w:lang w:val="en-US" w:eastAsia="zh-CN"/>
        </w:rPr>
        <w:t>303</w:t>
      </w:r>
      <w:r>
        <w:rPr>
          <w:rFonts w:hint="eastAsia" w:ascii="仿宋" w:hAnsi="仿宋" w:eastAsia="仿宋" w:cs="仿宋"/>
          <w:sz w:val="32"/>
          <w:szCs w:val="32"/>
        </w:rPr>
        <w:t>个，供销合作社</w:t>
      </w:r>
      <w:r>
        <w:rPr>
          <w:rFonts w:hint="eastAsia" w:ascii="仿宋" w:hAnsi="仿宋" w:eastAsia="仿宋" w:cs="仿宋"/>
          <w:sz w:val="32"/>
          <w:szCs w:val="32"/>
          <w:lang w:val="en-US" w:eastAsia="zh-CN"/>
        </w:rPr>
        <w:t>16</w:t>
      </w:r>
      <w:r>
        <w:rPr>
          <w:rFonts w:hint="eastAsia" w:ascii="仿宋" w:hAnsi="仿宋" w:eastAsia="仿宋" w:cs="仿宋"/>
          <w:sz w:val="32"/>
          <w:szCs w:val="32"/>
        </w:rPr>
        <w:t>个，服务协会</w:t>
      </w:r>
      <w:r>
        <w:rPr>
          <w:rFonts w:hint="eastAsia" w:ascii="仿宋" w:hAnsi="仿宋" w:eastAsia="仿宋" w:cs="仿宋"/>
          <w:sz w:val="32"/>
          <w:szCs w:val="32"/>
          <w:lang w:val="en-US" w:eastAsia="zh-CN"/>
        </w:rPr>
        <w:t>15</w:t>
      </w:r>
      <w:r>
        <w:rPr>
          <w:rFonts w:hint="eastAsia" w:ascii="仿宋" w:hAnsi="仿宋" w:eastAsia="仿宋" w:cs="仿宋"/>
          <w:sz w:val="32"/>
          <w:szCs w:val="32"/>
        </w:rPr>
        <w:t>个，家庭农场</w:t>
      </w:r>
      <w:r>
        <w:rPr>
          <w:rFonts w:hint="eastAsia" w:ascii="仿宋" w:hAnsi="仿宋" w:eastAsia="仿宋" w:cs="仿宋"/>
          <w:sz w:val="32"/>
          <w:szCs w:val="32"/>
          <w:lang w:val="en-US" w:eastAsia="zh-CN"/>
        </w:rPr>
        <w:t>242</w:t>
      </w:r>
      <w:r>
        <w:rPr>
          <w:rFonts w:hint="eastAsia" w:ascii="仿宋" w:hAnsi="仿宋" w:eastAsia="仿宋" w:cs="仿宋"/>
          <w:sz w:val="32"/>
          <w:szCs w:val="32"/>
        </w:rPr>
        <w:t>个，其他服务组织</w:t>
      </w:r>
      <w:r>
        <w:rPr>
          <w:rFonts w:hint="eastAsia" w:ascii="仿宋" w:hAnsi="仿宋" w:eastAsia="仿宋" w:cs="仿宋"/>
          <w:sz w:val="32"/>
          <w:szCs w:val="32"/>
          <w:lang w:val="en-US" w:eastAsia="zh-CN"/>
        </w:rPr>
        <w:t>13</w:t>
      </w:r>
      <w:r>
        <w:rPr>
          <w:rFonts w:hint="eastAsia" w:ascii="仿宋" w:hAnsi="仿宋" w:eastAsia="仿宋" w:cs="仿宋"/>
          <w:sz w:val="32"/>
          <w:szCs w:val="32"/>
        </w:rPr>
        <w:t>个。2022年农业社会化服务覆盖面积达</w:t>
      </w:r>
      <w:r>
        <w:rPr>
          <w:rFonts w:hint="eastAsia" w:ascii="仿宋" w:hAnsi="仿宋" w:eastAsia="仿宋" w:cs="仿宋"/>
          <w:sz w:val="32"/>
          <w:szCs w:val="32"/>
          <w:lang w:val="en-US" w:eastAsia="zh-CN"/>
        </w:rPr>
        <w:t>108</w:t>
      </w:r>
      <w:r>
        <w:rPr>
          <w:rFonts w:hint="eastAsia" w:ascii="仿宋" w:hAnsi="仿宋" w:eastAsia="仿宋" w:cs="仿宋"/>
          <w:sz w:val="32"/>
          <w:szCs w:val="32"/>
        </w:rPr>
        <w:t>万亩，亩均节本增收约18</w:t>
      </w:r>
      <w:r>
        <w:rPr>
          <w:rFonts w:hint="eastAsia" w:ascii="仿宋" w:hAnsi="仿宋" w:eastAsia="仿宋" w:cs="仿宋"/>
          <w:sz w:val="32"/>
          <w:szCs w:val="32"/>
          <w:lang w:val="en-US" w:eastAsia="zh-CN"/>
        </w:rPr>
        <w:t>1</w:t>
      </w:r>
      <w:r>
        <w:rPr>
          <w:rFonts w:hint="eastAsia" w:ascii="仿宋" w:hAnsi="仿宋" w:eastAsia="仿宋" w:cs="仿宋"/>
          <w:sz w:val="32"/>
          <w:szCs w:val="32"/>
        </w:rPr>
        <w:t>元；服务营业收入达</w:t>
      </w:r>
      <w:r>
        <w:rPr>
          <w:rFonts w:hint="eastAsia" w:ascii="仿宋" w:hAnsi="仿宋" w:eastAsia="仿宋" w:cs="仿宋"/>
          <w:sz w:val="32"/>
          <w:szCs w:val="32"/>
          <w:lang w:val="en-US" w:eastAsia="zh-CN"/>
        </w:rPr>
        <w:t>3.6</w:t>
      </w:r>
      <w:r>
        <w:rPr>
          <w:rFonts w:hint="eastAsia" w:ascii="仿宋" w:hAnsi="仿宋" w:eastAsia="仿宋" w:cs="仿宋"/>
          <w:sz w:val="32"/>
          <w:szCs w:val="32"/>
        </w:rPr>
        <w:t>亿元；服务小农户</w:t>
      </w:r>
      <w:r>
        <w:rPr>
          <w:rFonts w:hint="eastAsia" w:ascii="仿宋" w:hAnsi="仿宋" w:eastAsia="仿宋" w:cs="仿宋"/>
          <w:sz w:val="32"/>
          <w:szCs w:val="32"/>
          <w:lang w:val="en-US" w:eastAsia="zh-CN"/>
        </w:rPr>
        <w:t>7.58</w:t>
      </w:r>
      <w:r>
        <w:rPr>
          <w:rFonts w:hint="eastAsia" w:ascii="仿宋" w:hAnsi="仿宋" w:eastAsia="仿宋" w:cs="仿宋"/>
          <w:sz w:val="32"/>
          <w:szCs w:val="32"/>
        </w:rPr>
        <w:t>万户</w:t>
      </w:r>
      <w:r>
        <w:rPr>
          <w:rFonts w:hint="eastAsia" w:ascii="仿宋" w:hAnsi="仿宋" w:eastAsia="仿宋" w:cs="仿宋"/>
          <w:sz w:val="32"/>
          <w:szCs w:val="32"/>
          <w:lang w:val="en-US" w:eastAsia="zh-CN"/>
        </w:rPr>
        <w:t>；四是</w:t>
      </w:r>
      <w:r>
        <w:rPr>
          <w:rFonts w:hint="eastAsia" w:ascii="仿宋" w:hAnsi="仿宋" w:eastAsia="仿宋" w:cs="仿宋"/>
          <w:b w:val="0"/>
          <w:bCs w:val="0"/>
          <w:kern w:val="2"/>
          <w:sz w:val="32"/>
          <w:szCs w:val="32"/>
          <w:highlight w:val="none"/>
          <w:lang w:val="en-US" w:eastAsia="zh-CN" w:bidi="ar-SA"/>
        </w:rPr>
        <w:t>积极推进世行项目，全面完成</w:t>
      </w:r>
      <w:r>
        <w:rPr>
          <w:rFonts w:hint="eastAsia" w:ascii="仿宋" w:hAnsi="仿宋" w:eastAsia="仿宋" w:cs="仿宋"/>
          <w:b w:val="0"/>
          <w:bCs w:val="0"/>
          <w:color w:val="auto"/>
          <w:kern w:val="2"/>
          <w:sz w:val="32"/>
          <w:szCs w:val="32"/>
          <w:highlight w:val="none"/>
          <w:lang w:val="en-US" w:eastAsia="zh-CN" w:bidi="ar-SA"/>
        </w:rPr>
        <w:t>相关</w:t>
      </w:r>
      <w:r>
        <w:rPr>
          <w:rFonts w:hint="eastAsia" w:ascii="仿宋" w:hAnsi="仿宋" w:eastAsia="仿宋" w:cs="仿宋"/>
          <w:b w:val="0"/>
          <w:bCs w:val="0"/>
          <w:kern w:val="2"/>
          <w:sz w:val="32"/>
          <w:szCs w:val="32"/>
          <w:highlight w:val="none"/>
          <w:lang w:val="en-US" w:eastAsia="zh-CN" w:bidi="ar-SA"/>
        </w:rPr>
        <w:t>工作。</w:t>
      </w:r>
      <w:r>
        <w:rPr>
          <w:rFonts w:hint="eastAsia" w:ascii="仿宋" w:hAnsi="仿宋" w:eastAsia="仿宋" w:cs="仿宋"/>
          <w:sz w:val="32"/>
          <w:szCs w:val="32"/>
          <w:lang w:val="en-US" w:eastAsia="zh-CN"/>
        </w:rPr>
        <w:t>在世界银行贷款稻田节水与绿色低碳发展项目工作推进过程中，一方面，主动与省发改委和省财政厅紧密对接，于 5 月完成资金申请报告上报，并持续上报世行贷款项目月报和季报工作进度信息。另一方面，全力做好项目新增项目县沅江市评估工作，包括组织、收集和上报评估资料，并参加 6 月世行评估团工作会议。同时，依据上级会议精神，积极与项目县联系调减贷款额度文件报送工作。召开项目县与世行项目工作小组协调会议，将商议结果与世行对接，形成最终报告上报省财政厅，稳步推进项目各环节工作，为项目的实施奠定了坚实基础。五是，深入开展专项整治，解决民生关切问题。全省垦区危房改造项目自2011年至2018年共改造240,837套，覆盖13个市州、52个县市区、77个农场。通过专项整治行动，共排查出问题项目171个，其中已完成整改项目157个，整改率达到91.8%。共发现问题286个，完成了问题的整改271个，整改率达到94.75%。在排查出的问题中，涉及问题资金22467.8万元，其中套取1702.41万元，挪用 9405万元，结余5299.13万元，项目未实施3001.98万元，通过专项整治，已收缴资金19791.2万元。全省垦区共进行党纪政纪处理处分180人，起到了警示和震慑作用。通过专项整治，相关农场补发职工群众危房改造补贴到户资金111.7万元，有力地维护了垦区居民的切身利益，进一步密切了党群干群关系。</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72"/>
          <w:szCs w:val="72"/>
          <w:highlight w:val="none"/>
        </w:rPr>
      </w:pPr>
      <w:r>
        <w:rPr>
          <w:rFonts w:ascii="Times New Roman" w:hAnsi="Times New Roman" w:eastAsia="楷体_GB2312" w:cs="Times New Roman"/>
          <w:b/>
          <w:bCs/>
          <w:color w:val="auto"/>
          <w:kern w:val="2"/>
          <w:sz w:val="32"/>
          <w:szCs w:val="32"/>
        </w:rPr>
        <w:t>（三）评价结果应用情况。</w:t>
      </w:r>
      <w:r>
        <w:rPr>
          <w:rFonts w:hint="eastAsia" w:ascii="Times New Roman" w:hAnsi="Times New Roman" w:eastAsia="仿宋_GB2312" w:cs="Times New Roman"/>
          <w:color w:val="auto"/>
          <w:sz w:val="32"/>
          <w:szCs w:val="32"/>
          <w:highlight w:val="none"/>
        </w:rPr>
        <w:t>本</w:t>
      </w:r>
      <w:r>
        <w:rPr>
          <w:rFonts w:hint="eastAsia" w:ascii="Times New Roman" w:hAnsi="Times New Roman" w:eastAsia="仿宋_GB2312" w:cs="Times New Roman"/>
          <w:color w:val="auto"/>
          <w:sz w:val="32"/>
          <w:szCs w:val="32"/>
          <w:highlight w:val="none"/>
          <w:lang w:val="en-US" w:eastAsia="zh-CN"/>
        </w:rPr>
        <w:t>单位</w:t>
      </w:r>
      <w:r>
        <w:rPr>
          <w:rFonts w:hint="eastAsia" w:ascii="Times New Roman" w:hAnsi="Times New Roman" w:eastAsia="仿宋_GB2312" w:cs="Times New Roman"/>
          <w:color w:val="auto"/>
          <w:sz w:val="32"/>
          <w:szCs w:val="32"/>
          <w:highlight w:val="none"/>
        </w:rPr>
        <w:t>将充分运用绩效评价结果，持续优化资源配置，提升管理效能，确保2025年预算绩效管理水平再上新台阶。</w:t>
      </w:r>
    </w:p>
    <w:p>
      <w:pPr>
        <w:pStyle w:val="15"/>
        <w:overflowPunct w:val="0"/>
        <w:autoSpaceDE/>
        <w:autoSpaceDN/>
        <w:spacing w:line="600" w:lineRule="exact"/>
        <w:ind w:firstLine="1440" w:firstLineChars="200"/>
        <w:jc w:val="both"/>
        <w:rPr>
          <w:rFonts w:ascii="Times New Roman" w:hAnsi="Times New Roman" w:eastAsia="仿宋_GB2312" w:cs="Times New Roman"/>
          <w:color w:val="auto"/>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5"/>
        <w:ind w:firstLine="600" w:firstLineChars="20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一、</w:t>
      </w:r>
      <w:r>
        <w:rPr>
          <w:rFonts w:hint="eastAsia" w:ascii="Times New Roman" w:hAnsi="仿宋" w:eastAsia="仿宋" w:cs="Times New Roman"/>
          <w:color w:val="000000" w:themeColor="text1"/>
          <w:sz w:val="30"/>
          <w:szCs w:val="30"/>
          <w14:textFill>
            <w14:solidFill>
              <w14:schemeClr w14:val="tx1"/>
            </w14:solidFill>
          </w14:textFill>
        </w:rPr>
        <w:t>基</w:t>
      </w:r>
      <w:r>
        <w:rPr>
          <w:rFonts w:ascii="Times New Roman" w:hAnsi="仿宋" w:eastAsia="仿宋" w:cs="Times New Roman"/>
          <w:color w:val="000000" w:themeColor="text1"/>
          <w:sz w:val="30"/>
          <w:szCs w:val="30"/>
          <w14:textFill>
            <w14:solidFill>
              <w14:schemeClr w14:val="tx1"/>
            </w14:solidFill>
          </w14:textFill>
        </w:rPr>
        <w:t>本支出：指为保障机构正常运转、完成日常工作任务而 发生的各项支出，包括人员支出和公用支出。</w:t>
      </w:r>
    </w:p>
    <w:p>
      <w:pPr>
        <w:pStyle w:val="15"/>
        <w:ind w:firstLine="450" w:firstLineChars="15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二、</w:t>
      </w:r>
      <w:r>
        <w:rPr>
          <w:rFonts w:ascii="Times New Roman" w:hAnsi="仿宋" w:eastAsia="仿宋" w:cs="Times New Roman"/>
          <w:color w:val="000000" w:themeColor="text1"/>
          <w:sz w:val="30"/>
          <w:szCs w:val="30"/>
          <w14:textFill>
            <w14:solidFill>
              <w14:schemeClr w14:val="tx1"/>
            </w14:solidFill>
          </w14:textFill>
        </w:rPr>
        <w:t xml:space="preserve"> 项目支出：指在基本支出以外为完成相关行政任务和事业 发展目标所发生的各项支出。 </w:t>
      </w:r>
    </w:p>
    <w:p>
      <w:pPr>
        <w:pStyle w:val="15"/>
        <w:ind w:firstLine="600" w:firstLineChars="200"/>
        <w:rPr>
          <w:rFonts w:ascii="仿宋" w:hAnsi="仿宋" w:eastAsia="仿宋"/>
          <w:bCs/>
          <w:sz w:val="32"/>
          <w:szCs w:val="32"/>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三、</w:t>
      </w:r>
      <w:r>
        <w:rPr>
          <w:rFonts w:ascii="Times New Roman" w:hAnsi="仿宋" w:eastAsia="仿宋" w:cs="Times New Roman"/>
          <w:color w:val="000000" w:themeColor="text1"/>
          <w:sz w:val="30"/>
          <w:szCs w:val="30"/>
          <w14:textFill>
            <w14:solidFill>
              <w14:schemeClr w14:val="tx1"/>
            </w14:solidFill>
          </w14:textFill>
        </w:rPr>
        <w:t>“</w:t>
      </w:r>
      <w:r>
        <w:rPr>
          <w:rFonts w:hint="eastAsia" w:ascii="仿宋" w:hAnsi="仿宋" w:eastAsia="仿宋" w:cs="黑体"/>
          <w:bCs/>
          <w:color w:val="000000"/>
          <w:kern w:val="0"/>
          <w:sz w:val="32"/>
          <w:szCs w:val="32"/>
          <w:lang w:val="en-US" w:eastAsia="zh-CN" w:bidi="ar-SA"/>
        </w:rPr>
        <w:t>“三公”经费:纳入省财政预算管理的“三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四、</w:t>
      </w:r>
      <w:r>
        <w:rPr>
          <w:rFonts w:ascii="Times New Roman" w:hAnsi="仿宋" w:eastAsia="仿宋" w:cs="Times New Roman"/>
          <w:color w:val="000000" w:themeColor="text1"/>
          <w:sz w:val="30"/>
          <w:szCs w:val="30"/>
          <w14:textFill>
            <w14:solidFill>
              <w14:schemeClr w14:val="tx1"/>
            </w14:solidFill>
          </w14:textFill>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5"/>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2024年度单位</w:t>
      </w:r>
      <w:bookmarkStart w:id="4" w:name="_GoBack"/>
      <w:bookmarkEnd w:id="4"/>
      <w:r>
        <w:rPr>
          <w:rFonts w:ascii="Times New Roman" w:hAnsi="Times New Roman" w:eastAsia="仿宋_GB2312" w:cs="Times New Roman"/>
          <w:sz w:val="32"/>
          <w:szCs w:val="32"/>
        </w:rPr>
        <w:t>整体支出绩效自评报告。</w:t>
      </w:r>
    </w:p>
    <w:p>
      <w:pPr>
        <w:pStyle w:val="15"/>
        <w:spacing w:line="600" w:lineRule="exact"/>
        <w:ind w:firstLine="640" w:firstLineChars="200"/>
        <w:rPr>
          <w:rFonts w:ascii="Times New Roman" w:hAnsi="Times New Roman" w:eastAsia="仿宋_GB2312" w:cs="Times New Roman"/>
          <w:sz w:val="32"/>
          <w:szCs w:val="3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ind w:firstLine="640"/>
      </w:pPr>
      <w:r>
        <w:t xml:space="preserve"> </w:t>
      </w:r>
    </w:p>
    <w:p>
      <w:pPr>
        <w:ind w:firstLine="0" w:firstLineChars="0"/>
        <w:jc w:val="center"/>
        <w:rPr>
          <w:rFonts w:eastAsia="方正小标宋_GBK"/>
          <w:sz w:val="48"/>
          <w:szCs w:val="48"/>
        </w:rPr>
      </w:pPr>
      <w:r>
        <w:rPr>
          <w:rFonts w:hint="eastAsia" w:eastAsia="方正小标宋_GBK"/>
          <w:sz w:val="48"/>
          <w:szCs w:val="48"/>
          <w:lang w:val="en-US" w:eastAsia="zh-CN"/>
        </w:rPr>
        <w:t>湖南省农垦管理服务站</w:t>
      </w:r>
      <w:r>
        <w:rPr>
          <w:rFonts w:eastAsia="方正小标宋_GBK"/>
          <w:sz w:val="48"/>
          <w:szCs w:val="48"/>
        </w:rPr>
        <w:t>整体支出</w:t>
      </w:r>
    </w:p>
    <w:p>
      <w:pPr>
        <w:ind w:firstLine="0" w:firstLineChars="0"/>
        <w:jc w:val="center"/>
        <w:rPr>
          <w:rFonts w:eastAsia="方正小标宋_GBK"/>
          <w:sz w:val="48"/>
          <w:szCs w:val="48"/>
        </w:rPr>
      </w:pPr>
      <w:r>
        <w:rPr>
          <w:rFonts w:eastAsia="方正小标宋_GBK"/>
          <w:sz w:val="48"/>
          <w:szCs w:val="48"/>
        </w:rPr>
        <w:t>绩效自评报告</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 w:val="44"/>
          <w:szCs w:val="44"/>
        </w:rPr>
      </w:pPr>
      <w:r>
        <w:rPr>
          <w:rFonts w:eastAsia="黑体"/>
          <w:sz w:val="44"/>
          <w:szCs w:val="44"/>
        </w:rPr>
        <w:t xml:space="preserve"> </w:t>
      </w:r>
    </w:p>
    <w:p>
      <w:pPr>
        <w:ind w:firstLine="0" w:firstLineChars="0"/>
        <w:jc w:val="center"/>
        <w:rPr>
          <w:rFonts w:eastAsia="黑体"/>
          <w:sz w:val="44"/>
          <w:szCs w:val="44"/>
        </w:rPr>
      </w:pPr>
      <w:r>
        <w:rPr>
          <w:rFonts w:eastAsia="黑体"/>
          <w:sz w:val="44"/>
          <w:szCs w:val="44"/>
        </w:rPr>
        <w:t xml:space="preserve"> </w:t>
      </w:r>
    </w:p>
    <w:p>
      <w:pPr>
        <w:ind w:firstLine="0" w:firstLineChars="0"/>
        <w:jc w:val="center"/>
        <w:rPr>
          <w:rFonts w:eastAsia="黑体"/>
          <w:sz w:val="44"/>
          <w:szCs w:val="44"/>
        </w:rPr>
      </w:pPr>
      <w:r>
        <w:rPr>
          <w:rFonts w:eastAsia="黑体"/>
          <w:sz w:val="44"/>
          <w:szCs w:val="44"/>
        </w:rPr>
        <w:t xml:space="preserve"> </w:t>
      </w:r>
    </w:p>
    <w:p>
      <w:pPr>
        <w:ind w:firstLine="0" w:firstLineChars="0"/>
        <w:jc w:val="center"/>
        <w:rPr>
          <w:rFonts w:eastAsia="黑体"/>
          <w:sz w:val="36"/>
          <w:szCs w:val="36"/>
        </w:rPr>
      </w:pPr>
      <w:r>
        <w:rPr>
          <w:rFonts w:eastAsia="黑体"/>
          <w:sz w:val="36"/>
          <w:szCs w:val="36"/>
        </w:rPr>
        <w:t>单位名称（盖章）：</w:t>
      </w:r>
      <w:r>
        <w:rPr>
          <w:rFonts w:hint="eastAsia" w:eastAsia="黑体"/>
          <w:sz w:val="36"/>
          <w:szCs w:val="36"/>
          <w:lang w:val="en-US" w:eastAsia="zh-CN"/>
        </w:rPr>
        <w:t>湖南省农垦管理服务站</w:t>
      </w:r>
    </w:p>
    <w:p>
      <w:pPr>
        <w:ind w:firstLine="0" w:firstLineChars="0"/>
        <w:jc w:val="center"/>
        <w:rPr>
          <w:rFonts w:eastAsia="黑体"/>
          <w:sz w:val="36"/>
          <w:szCs w:val="36"/>
        </w:rPr>
      </w:pPr>
      <w:r>
        <w:rPr>
          <w:rFonts w:eastAsia="黑体"/>
          <w:sz w:val="36"/>
          <w:szCs w:val="36"/>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pStyle w:val="3"/>
        <w:keepNext w:val="0"/>
        <w:keepLines w:val="0"/>
        <w:pageBreakBefore w:val="0"/>
        <w:kinsoku/>
        <w:wordWrap/>
        <w:overflowPunct/>
        <w:topLinePunct w:val="0"/>
        <w:bidi w:val="0"/>
        <w:spacing w:line="520" w:lineRule="exact"/>
        <w:ind w:firstLine="420" w:firstLineChars="200"/>
        <w:textAlignment w:val="auto"/>
        <w:rPr>
          <w:rFonts w:hint="eastAsia" w:ascii="仿宋" w:hAnsi="仿宋" w:eastAsia="仿宋" w:cs="仿宋"/>
          <w:b/>
          <w:bCs w:val="0"/>
          <w:sz w:val="32"/>
          <w:szCs w:val="32"/>
        </w:rPr>
      </w:pPr>
      <w:r>
        <w:rPr>
          <w:rFonts w:eastAsia="仿宋_GB2312"/>
        </w:rPr>
        <w:br w:type="page"/>
      </w:r>
      <w:r>
        <w:rPr>
          <w:rFonts w:hint="eastAsia" w:ascii="仿宋" w:hAnsi="仿宋" w:eastAsia="仿宋" w:cs="仿宋"/>
          <w:b/>
          <w:bCs w:val="0"/>
          <w:sz w:val="32"/>
          <w:szCs w:val="32"/>
        </w:rPr>
        <w:t>一、基本情况</w:t>
      </w: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b/>
          <w:sz w:val="32"/>
          <w:szCs w:val="32"/>
        </w:rPr>
      </w:pPr>
      <w:r>
        <w:rPr>
          <w:rFonts w:hint="eastAsia" w:ascii="仿宋" w:hAnsi="仿宋" w:eastAsia="仿宋" w:cs="仿宋"/>
          <w:b/>
          <w:sz w:val="32"/>
          <w:szCs w:val="32"/>
        </w:rPr>
        <w:t>（一）单位基本情况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湖南省农垦管理服务站为湖南省农业农村厅管理的公益一类事业单位，宗旨和业务范围是</w:t>
      </w:r>
      <w:r>
        <w:rPr>
          <w:rFonts w:hint="eastAsia" w:ascii="仿宋" w:hAnsi="仿宋" w:eastAsia="仿宋" w:cs="仿宋"/>
          <w:color w:val="000000"/>
          <w:sz w:val="32"/>
          <w:szCs w:val="32"/>
        </w:rPr>
        <w:t>研究农场经济社会发展的政策、规划建议</w:t>
      </w:r>
      <w:r>
        <w:rPr>
          <w:rFonts w:hint="eastAsia" w:ascii="仿宋" w:hAnsi="仿宋" w:eastAsia="仿宋" w:cs="仿宋"/>
          <w:sz w:val="32"/>
          <w:szCs w:val="32"/>
        </w:rPr>
        <w:t>并组织监督实施</w:t>
      </w:r>
      <w:r>
        <w:rPr>
          <w:rFonts w:hint="eastAsia" w:ascii="仿宋" w:hAnsi="仿宋" w:eastAsia="仿宋" w:cs="仿宋"/>
          <w:sz w:val="32"/>
          <w:szCs w:val="32"/>
          <w:lang w:eastAsia="zh-CN"/>
        </w:rPr>
        <w:t>、</w:t>
      </w:r>
      <w:r>
        <w:rPr>
          <w:rFonts w:hint="eastAsia" w:ascii="仿宋" w:hAnsi="仿宋" w:eastAsia="仿宋" w:cs="仿宋"/>
          <w:color w:val="000000"/>
          <w:sz w:val="32"/>
          <w:szCs w:val="32"/>
        </w:rPr>
        <w:t>承担农场改革有关工作</w:t>
      </w:r>
      <w:r>
        <w:rPr>
          <w:rFonts w:hint="eastAsia" w:ascii="仿宋" w:hAnsi="仿宋" w:eastAsia="仿宋" w:cs="仿宋"/>
          <w:sz w:val="32"/>
          <w:szCs w:val="32"/>
          <w:lang w:val="en-US" w:eastAsia="zh-CN"/>
        </w:rPr>
        <w:t>以及对</w:t>
      </w:r>
      <w:r>
        <w:rPr>
          <w:rFonts w:hint="eastAsia" w:ascii="仿宋" w:hAnsi="仿宋" w:eastAsia="仿宋" w:cs="仿宋"/>
          <w:sz w:val="32"/>
          <w:szCs w:val="32"/>
        </w:rPr>
        <w:t>农场</w:t>
      </w:r>
      <w:r>
        <w:rPr>
          <w:rFonts w:hint="eastAsia" w:ascii="仿宋" w:hAnsi="仿宋" w:eastAsia="仿宋" w:cs="仿宋"/>
          <w:sz w:val="32"/>
          <w:szCs w:val="32"/>
          <w:lang w:eastAsia="zh-CN"/>
        </w:rPr>
        <w:t>的</w:t>
      </w:r>
      <w:r>
        <w:rPr>
          <w:rFonts w:hint="eastAsia" w:ascii="仿宋" w:hAnsi="仿宋" w:eastAsia="仿宋" w:cs="仿宋"/>
          <w:sz w:val="32"/>
          <w:szCs w:val="32"/>
        </w:rPr>
        <w:t>国有资产管理、财务和统计工作</w:t>
      </w:r>
      <w:r>
        <w:rPr>
          <w:rFonts w:hint="eastAsia" w:ascii="仿宋" w:hAnsi="仿宋" w:eastAsia="仿宋" w:cs="仿宋"/>
          <w:sz w:val="32"/>
          <w:szCs w:val="32"/>
          <w:lang w:val="en-US" w:eastAsia="zh-CN"/>
        </w:rPr>
        <w:t>进行指导，</w:t>
      </w:r>
      <w:r>
        <w:rPr>
          <w:rFonts w:hint="eastAsia" w:ascii="仿宋" w:hAnsi="仿宋" w:eastAsia="仿宋" w:cs="仿宋"/>
          <w:sz w:val="32"/>
          <w:szCs w:val="32"/>
        </w:rPr>
        <w:t>为</w:t>
      </w:r>
      <w:r>
        <w:rPr>
          <w:rFonts w:hint="eastAsia" w:ascii="仿宋" w:hAnsi="仿宋" w:eastAsia="仿宋" w:cs="仿宋"/>
          <w:sz w:val="32"/>
          <w:szCs w:val="32"/>
          <w:lang w:val="en-US" w:eastAsia="zh-CN"/>
        </w:rPr>
        <w:t>垦区</w:t>
      </w:r>
      <w:r>
        <w:rPr>
          <w:rFonts w:hint="eastAsia" w:ascii="仿宋" w:hAnsi="仿宋" w:eastAsia="仿宋" w:cs="仿宋"/>
          <w:sz w:val="32"/>
          <w:szCs w:val="32"/>
        </w:rPr>
        <w:t>工农业生产及第三产业的发展做好基础性、服务性工作。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sz w:val="32"/>
          <w:szCs w:val="32"/>
        </w:rPr>
      </w:pPr>
      <w:r>
        <w:rPr>
          <w:rFonts w:hint="eastAsia" w:ascii="仿宋" w:hAnsi="仿宋" w:eastAsia="仿宋" w:cs="仿宋"/>
          <w:sz w:val="32"/>
          <w:szCs w:val="32"/>
        </w:rPr>
        <w:t>站内设办公室、计划财务办公室、农垦经济办公室、垦区社会事务办公室四个副处级办室，配备有专职副处级纪检员1名</w:t>
      </w:r>
      <w:r>
        <w:rPr>
          <w:rFonts w:hint="eastAsia" w:ascii="仿宋" w:hAnsi="仿宋" w:eastAsia="仿宋" w:cs="仿宋"/>
          <w:sz w:val="32"/>
          <w:szCs w:val="32"/>
          <w:lang w:eastAsia="zh-CN"/>
        </w:rPr>
        <w:t>。</w:t>
      </w:r>
    </w:p>
    <w:p>
      <w:pPr>
        <w:keepNext w:val="0"/>
        <w:keepLines w:val="0"/>
        <w:pageBreakBefore w:val="0"/>
        <w:numPr>
          <w:ilvl w:val="0"/>
          <w:numId w:val="1"/>
        </w:numPr>
        <w:kinsoku/>
        <w:wordWrap/>
        <w:overflowPunct/>
        <w:topLinePunct w:val="0"/>
        <w:bidi w:val="0"/>
        <w:spacing w:line="520" w:lineRule="exact"/>
        <w:ind w:left="0" w:leftChars="0" w:firstLine="640" w:firstLineChars="200"/>
        <w:textAlignment w:val="auto"/>
        <w:rPr>
          <w:rFonts w:hint="eastAsia" w:ascii="仿宋" w:hAnsi="仿宋" w:eastAsia="仿宋" w:cs="仿宋"/>
          <w:b/>
          <w:sz w:val="32"/>
          <w:szCs w:val="32"/>
        </w:rPr>
      </w:pPr>
      <w:r>
        <w:rPr>
          <w:rFonts w:hint="eastAsia" w:ascii="仿宋" w:hAnsi="仿宋" w:eastAsia="仿宋" w:cs="仿宋"/>
          <w:b/>
          <w:sz w:val="32"/>
          <w:szCs w:val="32"/>
        </w:rPr>
        <w:t>单位年度整体支出绩效目标，省级专项资金绩效目标、其他项目支出（除省级专项资金以外）绩效目标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我站</w:t>
      </w:r>
      <w:r>
        <w:rPr>
          <w:rFonts w:hint="eastAsia" w:ascii="仿宋" w:hAnsi="仿宋" w:eastAsia="仿宋" w:cs="仿宋"/>
          <w:sz w:val="32"/>
          <w:szCs w:val="32"/>
        </w:rPr>
        <w:t>年度整体支出绩效目标</w:t>
      </w:r>
      <w:r>
        <w:rPr>
          <w:rFonts w:hint="eastAsia" w:ascii="仿宋" w:hAnsi="仿宋" w:eastAsia="仿宋" w:cs="仿宋"/>
          <w:sz w:val="32"/>
          <w:szCs w:val="32"/>
          <w:lang w:eastAsia="zh-CN"/>
        </w:rPr>
        <w:t>是本单位的各项工作按质按量完成，配合厅农田建设与农垦处推进乡村振兴，对农垦企业各项工作进行政策宣传、业务指导、业务检查和监督。</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其他项目支出绩效目标是进行农垦相关知识的培训，开展农业产业化发展的宣传，提高垦区职工农业发展的专业知识技能。</w:t>
      </w:r>
    </w:p>
    <w:p>
      <w:pPr>
        <w:pStyle w:val="21"/>
        <w:keepNext w:val="0"/>
        <w:keepLines w:val="0"/>
        <w:pageBreakBefore w:val="0"/>
        <w:kinsoku/>
        <w:wordWrap/>
        <w:overflowPunct/>
        <w:topLinePunct w:val="0"/>
        <w:bidi w:val="0"/>
        <w:snapToGrid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二、一般公共预算支出情况</w:t>
      </w:r>
    </w:p>
    <w:p>
      <w:pPr>
        <w:pStyle w:val="21"/>
        <w:keepNext w:val="0"/>
        <w:keepLines w:val="0"/>
        <w:pageBreakBefore w:val="0"/>
        <w:kinsoku/>
        <w:wordWrap/>
        <w:overflowPunct/>
        <w:topLinePunct w:val="0"/>
        <w:bidi w:val="0"/>
        <w:snapToGrid w:val="0"/>
        <w:spacing w:line="520" w:lineRule="exact"/>
        <w:ind w:firstLine="640" w:firstLineChars="200"/>
        <w:textAlignment w:val="auto"/>
        <w:rPr>
          <w:rFonts w:hint="eastAsia" w:ascii="仿宋" w:hAnsi="仿宋" w:eastAsia="仿宋" w:cs="仿宋"/>
          <w:b/>
          <w:sz w:val="32"/>
          <w:szCs w:val="32"/>
        </w:rPr>
      </w:pPr>
      <w:r>
        <w:rPr>
          <w:rFonts w:hint="eastAsia" w:ascii="仿宋" w:hAnsi="仿宋" w:eastAsia="仿宋" w:cs="仿宋"/>
          <w:b/>
          <w:sz w:val="32"/>
          <w:szCs w:val="32"/>
        </w:rPr>
        <w:t>（一）基本支出情况</w:t>
      </w:r>
    </w:p>
    <w:p>
      <w:pPr>
        <w:pStyle w:val="21"/>
        <w:keepNext w:val="0"/>
        <w:keepLines w:val="0"/>
        <w:pageBreakBefore w:val="0"/>
        <w:kinsoku/>
        <w:wordWrap/>
        <w:overflowPunct/>
        <w:topLinePunct w:val="0"/>
        <w:bidi w:val="0"/>
        <w:snapToGrid w:val="0"/>
        <w:spacing w:line="520" w:lineRule="exact"/>
        <w:ind w:firstLine="640" w:firstLineChars="20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2024年我站基本支出共计556.47万元，</w:t>
      </w:r>
      <w:r>
        <w:rPr>
          <w:rFonts w:hint="eastAsia" w:ascii="仿宋" w:hAnsi="仿宋" w:eastAsia="仿宋" w:cs="仿宋"/>
          <w:sz w:val="32"/>
          <w:szCs w:val="32"/>
        </w:rPr>
        <w:t>主要是保障单位机构正常运转、完成日常工作任务而发生的各项支出，</w:t>
      </w:r>
      <w:r>
        <w:rPr>
          <w:rFonts w:hint="eastAsia" w:ascii="仿宋" w:hAnsi="仿宋" w:eastAsia="仿宋" w:cs="仿宋"/>
          <w:sz w:val="32"/>
          <w:szCs w:val="32"/>
          <w:lang w:val="en-US" w:eastAsia="zh-CN"/>
        </w:rPr>
        <w:t>其中</w:t>
      </w:r>
      <w:r>
        <w:rPr>
          <w:rFonts w:hint="eastAsia" w:ascii="仿宋" w:hAnsi="仿宋" w:eastAsia="仿宋" w:cs="仿宋"/>
          <w:sz w:val="32"/>
          <w:szCs w:val="32"/>
        </w:rPr>
        <w:t>人员经费</w:t>
      </w:r>
      <w:r>
        <w:rPr>
          <w:rFonts w:hint="eastAsia" w:ascii="仿宋" w:hAnsi="仿宋" w:eastAsia="仿宋" w:cs="仿宋"/>
          <w:sz w:val="32"/>
          <w:szCs w:val="32"/>
          <w:lang w:val="en-US" w:eastAsia="zh-CN"/>
        </w:rPr>
        <w:t>支出480.60万元，</w:t>
      </w:r>
      <w:r>
        <w:rPr>
          <w:rFonts w:hint="eastAsia" w:ascii="仿宋" w:hAnsi="仿宋" w:eastAsia="仿宋" w:cs="仿宋"/>
          <w:sz w:val="32"/>
          <w:szCs w:val="32"/>
        </w:rPr>
        <w:t>公用经费</w:t>
      </w:r>
      <w:r>
        <w:rPr>
          <w:rFonts w:hint="eastAsia" w:ascii="仿宋" w:hAnsi="仿宋" w:eastAsia="仿宋" w:cs="仿宋"/>
          <w:sz w:val="32"/>
          <w:szCs w:val="32"/>
          <w:lang w:val="en-US" w:eastAsia="zh-CN"/>
        </w:rPr>
        <w:t>支出75.87万元。</w:t>
      </w:r>
    </w:p>
    <w:p>
      <w:pPr>
        <w:pStyle w:val="21"/>
        <w:keepNext w:val="0"/>
        <w:keepLines w:val="0"/>
        <w:pageBreakBefore w:val="0"/>
        <w:kinsoku/>
        <w:wordWrap/>
        <w:overflowPunct/>
        <w:topLinePunct w:val="0"/>
        <w:bidi w:val="0"/>
        <w:snapToGrid w:val="0"/>
        <w:spacing w:line="520" w:lineRule="exact"/>
        <w:ind w:firstLine="640" w:firstLineChars="200"/>
        <w:textAlignment w:val="auto"/>
        <w:rPr>
          <w:rFonts w:hint="eastAsia" w:ascii="仿宋" w:hAnsi="仿宋" w:eastAsia="仿宋" w:cs="仿宋"/>
          <w:b/>
          <w:sz w:val="32"/>
          <w:szCs w:val="32"/>
        </w:rPr>
      </w:pPr>
      <w:r>
        <w:rPr>
          <w:rFonts w:hint="eastAsia" w:ascii="仿宋" w:hAnsi="仿宋" w:eastAsia="仿宋" w:cs="仿宋"/>
          <w:b/>
          <w:sz w:val="32"/>
          <w:szCs w:val="32"/>
        </w:rPr>
        <w:t>（二）项目支出情况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我站</w:t>
      </w:r>
      <w:r>
        <w:rPr>
          <w:rFonts w:hint="eastAsia" w:ascii="仿宋" w:hAnsi="仿宋" w:eastAsia="仿宋" w:cs="仿宋"/>
          <w:sz w:val="32"/>
          <w:szCs w:val="32"/>
        </w:rPr>
        <w:t>项目支出</w:t>
      </w:r>
      <w:r>
        <w:rPr>
          <w:rFonts w:hint="eastAsia" w:ascii="仿宋" w:hAnsi="仿宋" w:eastAsia="仿宋" w:cs="仿宋"/>
          <w:sz w:val="32"/>
          <w:szCs w:val="32"/>
          <w:lang w:val="en-US" w:eastAsia="zh-CN"/>
        </w:rPr>
        <w:t>共计87.47</w:t>
      </w:r>
      <w:r>
        <w:rPr>
          <w:rFonts w:hint="eastAsia" w:ascii="仿宋" w:hAnsi="仿宋" w:eastAsia="仿宋" w:cs="仿宋"/>
          <w:sz w:val="32"/>
          <w:szCs w:val="32"/>
        </w:rPr>
        <w:t>万元，主要是完成特定行政工作任务或事业发展目标而发生的支出，包括</w:t>
      </w:r>
      <w:r>
        <w:rPr>
          <w:rFonts w:hint="eastAsia" w:ascii="仿宋" w:hAnsi="仿宋" w:eastAsia="仿宋" w:cs="仿宋"/>
          <w:sz w:val="32"/>
          <w:szCs w:val="32"/>
          <w:lang w:val="en-US" w:eastAsia="zh-CN"/>
        </w:rPr>
        <w:t>业务工作经费、现代农业农村发展专项以及其他</w:t>
      </w:r>
      <w:r>
        <w:rPr>
          <w:rFonts w:hint="eastAsia" w:ascii="仿宋" w:hAnsi="仿宋" w:eastAsia="仿宋" w:cs="仿宋"/>
          <w:sz w:val="32"/>
          <w:szCs w:val="32"/>
        </w:rPr>
        <w:t>事业发展资金等，其中：</w:t>
      </w:r>
      <w:r>
        <w:rPr>
          <w:rFonts w:hint="eastAsia" w:ascii="仿宋" w:hAnsi="仿宋" w:eastAsia="仿宋" w:cs="仿宋"/>
          <w:sz w:val="32"/>
          <w:szCs w:val="32"/>
          <w:lang w:val="en-US" w:eastAsia="zh-CN"/>
        </w:rPr>
        <w:t>业务工作经费</w:t>
      </w:r>
      <w:r>
        <w:rPr>
          <w:rFonts w:hint="eastAsia" w:ascii="仿宋" w:hAnsi="仿宋" w:eastAsia="仿宋" w:cs="仿宋"/>
          <w:sz w:val="32"/>
          <w:szCs w:val="32"/>
        </w:rPr>
        <w:t>支出</w:t>
      </w:r>
      <w:r>
        <w:rPr>
          <w:rFonts w:hint="eastAsia" w:ascii="仿宋" w:hAnsi="仿宋" w:eastAsia="仿宋" w:cs="仿宋"/>
          <w:sz w:val="32"/>
          <w:szCs w:val="32"/>
          <w:lang w:val="en-US" w:eastAsia="zh-CN"/>
        </w:rPr>
        <w:t>8.27</w:t>
      </w:r>
      <w:r>
        <w:rPr>
          <w:rFonts w:hint="eastAsia" w:ascii="仿宋" w:hAnsi="仿宋" w:eastAsia="仿宋" w:cs="仿宋"/>
          <w:sz w:val="32"/>
          <w:szCs w:val="32"/>
        </w:rPr>
        <w:t>万元，</w:t>
      </w:r>
      <w:r>
        <w:rPr>
          <w:rFonts w:hint="eastAsia" w:ascii="仿宋" w:hAnsi="仿宋" w:eastAsia="仿宋" w:cs="仿宋"/>
          <w:sz w:val="32"/>
          <w:szCs w:val="32"/>
          <w:lang w:val="en-US" w:eastAsia="zh-CN"/>
        </w:rPr>
        <w:t>主要为</w:t>
      </w:r>
      <w:r>
        <w:rPr>
          <w:rFonts w:hint="eastAsia" w:ascii="仿宋" w:hAnsi="仿宋" w:eastAsia="仿宋" w:cs="仿宋"/>
          <w:sz w:val="32"/>
          <w:szCs w:val="32"/>
        </w:rPr>
        <w:t>推动垦区现代农业发展</w:t>
      </w:r>
      <w:r>
        <w:rPr>
          <w:rFonts w:hint="eastAsia" w:ascii="仿宋" w:hAnsi="仿宋" w:eastAsia="仿宋" w:cs="仿宋"/>
          <w:sz w:val="32"/>
          <w:szCs w:val="32"/>
          <w:lang w:val="en-US" w:eastAsia="zh-CN"/>
        </w:rPr>
        <w:t>以及</w:t>
      </w:r>
      <w:r>
        <w:rPr>
          <w:rFonts w:hint="eastAsia" w:ascii="仿宋" w:hAnsi="仿宋" w:eastAsia="仿宋" w:cs="仿宋"/>
          <w:sz w:val="32"/>
          <w:szCs w:val="32"/>
        </w:rPr>
        <w:t>对垦区国有资产管理、财务和统计工作进行全面指导</w:t>
      </w:r>
      <w:r>
        <w:rPr>
          <w:rFonts w:hint="eastAsia" w:ascii="仿宋" w:hAnsi="仿宋" w:eastAsia="仿宋" w:cs="仿宋"/>
          <w:sz w:val="32"/>
          <w:szCs w:val="32"/>
          <w:lang w:val="en-US" w:eastAsia="zh-CN"/>
        </w:rPr>
        <w:t>所发生的差旅费、培训费、办公费以及设备采购费；现代农业农村发展专项支出46.17万元，</w:t>
      </w:r>
      <w:r>
        <w:rPr>
          <w:rFonts w:hint="eastAsia" w:ascii="仿宋" w:hAnsi="仿宋" w:eastAsia="仿宋" w:cs="仿宋"/>
          <w:sz w:val="32"/>
          <w:szCs w:val="32"/>
        </w:rPr>
        <w:t>主要用于</w:t>
      </w:r>
      <w:r>
        <w:rPr>
          <w:rFonts w:hint="eastAsia" w:ascii="仿宋" w:hAnsi="仿宋" w:eastAsia="仿宋" w:cs="仿宋"/>
          <w:sz w:val="32"/>
          <w:szCs w:val="32"/>
          <w:lang w:val="en-US" w:eastAsia="zh-CN"/>
        </w:rPr>
        <w:t>世界银行贷款湖南稻田节水灌溉及绿色低碳发展项目的会议费、劳务费、差旅费及其他经费；其他</w:t>
      </w:r>
      <w:r>
        <w:rPr>
          <w:rFonts w:hint="eastAsia" w:ascii="仿宋" w:hAnsi="仿宋" w:eastAsia="仿宋" w:cs="仿宋"/>
          <w:sz w:val="32"/>
          <w:szCs w:val="32"/>
        </w:rPr>
        <w:t>事业发展资金</w:t>
      </w:r>
      <w:r>
        <w:rPr>
          <w:rFonts w:hint="eastAsia" w:ascii="仿宋" w:hAnsi="仿宋" w:eastAsia="仿宋" w:cs="仿宋"/>
          <w:sz w:val="32"/>
          <w:szCs w:val="32"/>
          <w:lang w:val="en-US" w:eastAsia="zh-CN"/>
        </w:rPr>
        <w:t>支出33.03万元，</w:t>
      </w:r>
      <w:r>
        <w:rPr>
          <w:rFonts w:hint="eastAsia" w:ascii="仿宋" w:hAnsi="仿宋" w:eastAsia="仿宋" w:cs="仿宋"/>
          <w:sz w:val="32"/>
          <w:szCs w:val="32"/>
        </w:rPr>
        <w:t>主要用于</w:t>
      </w:r>
      <w:r>
        <w:rPr>
          <w:rFonts w:hint="eastAsia" w:ascii="仿宋" w:hAnsi="仿宋" w:eastAsia="仿宋" w:cs="仿宋"/>
          <w:sz w:val="32"/>
          <w:szCs w:val="32"/>
          <w:lang w:val="en-US" w:eastAsia="zh-CN"/>
        </w:rPr>
        <w:t>欠发达国有农场巩固提升项目的培训、检查监督、绩效考核以及</w:t>
      </w:r>
      <w:r>
        <w:rPr>
          <w:rFonts w:hint="eastAsia" w:ascii="仿宋" w:hAnsi="仿宋" w:eastAsia="仿宋" w:cs="仿宋"/>
          <w:sz w:val="32"/>
          <w:szCs w:val="32"/>
        </w:rPr>
        <w:t>国外贷款项目人员的薪资、差旅费</w:t>
      </w:r>
      <w:r>
        <w:rPr>
          <w:rFonts w:hint="eastAsia" w:ascii="仿宋" w:hAnsi="仿宋" w:eastAsia="仿宋" w:cs="仿宋"/>
          <w:sz w:val="32"/>
          <w:szCs w:val="32"/>
          <w:lang w:val="en-US" w:eastAsia="zh-CN"/>
        </w:rPr>
        <w:t>等相关支出。</w:t>
      </w:r>
    </w:p>
    <w:p>
      <w:pPr>
        <w:pStyle w:val="21"/>
        <w:keepNext w:val="0"/>
        <w:keepLines w:val="0"/>
        <w:pageBreakBefore w:val="0"/>
        <w:numPr>
          <w:ilvl w:val="0"/>
          <w:numId w:val="2"/>
        </w:numPr>
        <w:kinsoku/>
        <w:wordWrap/>
        <w:overflowPunct/>
        <w:topLinePunct w:val="0"/>
        <w:bidi w:val="0"/>
        <w:snapToGrid w:val="0"/>
        <w:spacing w:line="52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政府性基金预算支出情况</w:t>
      </w:r>
    </w:p>
    <w:p>
      <w:pPr>
        <w:pStyle w:val="21"/>
        <w:keepNext w:val="0"/>
        <w:keepLines w:val="0"/>
        <w:pageBreakBefore w:val="0"/>
        <w:numPr>
          <w:ilvl w:val="0"/>
          <w:numId w:val="0"/>
        </w:numPr>
        <w:kinsoku/>
        <w:wordWrap/>
        <w:overflowPunct/>
        <w:topLinePunct w:val="0"/>
        <w:bidi w:val="0"/>
        <w:snapToGrid w:val="0"/>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1"/>
        <w:keepNext w:val="0"/>
        <w:keepLines w:val="0"/>
        <w:pageBreakBefore w:val="0"/>
        <w:kinsoku/>
        <w:wordWrap/>
        <w:overflowPunct/>
        <w:topLinePunct w:val="0"/>
        <w:bidi w:val="0"/>
        <w:snapToGrid w:val="0"/>
        <w:spacing w:line="52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四、国有资本经营预算支出情况</w:t>
      </w:r>
    </w:p>
    <w:p>
      <w:pPr>
        <w:pStyle w:val="21"/>
        <w:keepNext w:val="0"/>
        <w:keepLines w:val="0"/>
        <w:pageBreakBefore w:val="0"/>
        <w:kinsoku/>
        <w:wordWrap/>
        <w:overflowPunct/>
        <w:topLinePunct w:val="0"/>
        <w:bidi w:val="0"/>
        <w:snapToGrid w:val="0"/>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1"/>
        <w:keepNext w:val="0"/>
        <w:keepLines w:val="0"/>
        <w:pageBreakBefore w:val="0"/>
        <w:kinsoku/>
        <w:wordWrap/>
        <w:overflowPunct/>
        <w:topLinePunct w:val="0"/>
        <w:bidi w:val="0"/>
        <w:snapToGrid w:val="0"/>
        <w:spacing w:line="52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五、社会保险基金预算支出情况</w:t>
      </w: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六、部门整体支出绩效情况</w:t>
      </w: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一</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绩效目标完成情况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站预算资金为一般公共预算，无政府性基金预算、国有资本经营预算、社会保险基金预算等其他预算资金。全年预算数773.61万元，决算数643.93万元，预算执行率83.24%，其中基本支出预算数559.71万元，决算数556.46万元，预算执行率99.42%；项目支出预算数213.9万元，决算数87.47万元，预算执行率40.9%。</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2024年我站根据年初绩效目标，在厅党组的正确领导和分管厅长的精心指导下，认真履责，主动作为，扎实推动垦区现代农业发展，全省垦区2024年种植大豆3.54万亩，全省农垦完成早、中、晚稻种植面积142.53万亩，总产63.91万吨；严格项目管理，欠发达农场巩固提升项目年度绩效考核达到优等；亚行项目的财务核算、提款报账、检查验收等相关工作及时完成，保证了项目的顺利实施；完成了稻田节水灌溉与绿色低碳发展项目的部分前期准备工作，助推项目落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（二）工作开展情况及成效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1.扎实开展“两大行动”，提升粮油保障能力</w:t>
      </w:r>
    </w:p>
    <w:p>
      <w:pPr>
        <w:keepNext w:val="0"/>
        <w:keepLines w:val="0"/>
        <w:pageBreakBefore w:val="0"/>
        <w:numPr>
          <w:ilvl w:val="0"/>
          <w:numId w:val="0"/>
        </w:numPr>
        <w:kinsoku/>
        <w:wordWrap/>
        <w:overflowPunct/>
        <w:topLinePunct w:val="0"/>
        <w:bidi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一是深入实施农垦粮油等主要作物大面积单产提升行动，加大农垦粮食等主要作物高产高效技术及模式集成推广应用。</w:t>
      </w:r>
      <w:r>
        <w:rPr>
          <w:rStyle w:val="22"/>
          <w:rFonts w:hint="eastAsia" w:ascii="仿宋" w:hAnsi="仿宋" w:eastAsia="仿宋" w:cs="仿宋"/>
          <w:kern w:val="0"/>
          <w:sz w:val="32"/>
          <w:szCs w:val="32"/>
        </w:rPr>
        <w:t>据统计，全省农垦完成早稻种植面积</w:t>
      </w:r>
      <w:r>
        <w:rPr>
          <w:rFonts w:hint="eastAsia" w:ascii="仿宋" w:hAnsi="仿宋" w:eastAsia="仿宋" w:cs="仿宋"/>
          <w:i w:val="0"/>
          <w:iCs w:val="0"/>
          <w:color w:val="000000"/>
          <w:kern w:val="0"/>
          <w:sz w:val="32"/>
          <w:szCs w:val="32"/>
          <w:u w:val="none"/>
          <w:lang w:val="en-US" w:eastAsia="zh-CN" w:bidi="ar"/>
        </w:rPr>
        <w:t>65.94</w:t>
      </w:r>
      <w:r>
        <w:rPr>
          <w:rStyle w:val="22"/>
          <w:rFonts w:hint="eastAsia" w:ascii="仿宋" w:hAnsi="仿宋" w:eastAsia="仿宋" w:cs="仿宋"/>
          <w:kern w:val="0"/>
          <w:sz w:val="32"/>
          <w:szCs w:val="32"/>
        </w:rPr>
        <w:t>万亩，总产27.</w:t>
      </w:r>
      <w:r>
        <w:rPr>
          <w:rStyle w:val="22"/>
          <w:rFonts w:hint="eastAsia" w:ascii="仿宋" w:hAnsi="仿宋" w:eastAsia="仿宋" w:cs="仿宋"/>
          <w:kern w:val="0"/>
          <w:sz w:val="32"/>
          <w:szCs w:val="32"/>
          <w:lang w:val="en-US" w:eastAsia="zh-CN"/>
        </w:rPr>
        <w:t>45</w:t>
      </w:r>
      <w:r>
        <w:rPr>
          <w:rStyle w:val="22"/>
          <w:rFonts w:hint="eastAsia" w:ascii="仿宋" w:hAnsi="仿宋" w:eastAsia="仿宋" w:cs="仿宋"/>
          <w:kern w:val="0"/>
          <w:sz w:val="32"/>
          <w:szCs w:val="32"/>
        </w:rPr>
        <w:t>万吨；全省农垦中晚稻种植面积</w:t>
      </w:r>
      <w:r>
        <w:rPr>
          <w:rStyle w:val="22"/>
          <w:rFonts w:hint="eastAsia" w:ascii="仿宋" w:hAnsi="仿宋" w:eastAsia="仿宋" w:cs="仿宋"/>
          <w:kern w:val="0"/>
          <w:sz w:val="32"/>
          <w:szCs w:val="32"/>
          <w:lang w:val="en-US" w:eastAsia="zh-CN"/>
        </w:rPr>
        <w:t xml:space="preserve"> </w:t>
      </w:r>
      <w:r>
        <w:rPr>
          <w:rFonts w:hint="eastAsia" w:ascii="仿宋" w:hAnsi="仿宋" w:eastAsia="仿宋" w:cs="仿宋"/>
          <w:sz w:val="32"/>
          <w:szCs w:val="32"/>
          <w:lang w:val="en-US" w:eastAsia="zh-CN"/>
        </w:rPr>
        <w:t>76.59</w:t>
      </w:r>
      <w:r>
        <w:rPr>
          <w:rStyle w:val="22"/>
          <w:rFonts w:hint="eastAsia" w:ascii="仿宋" w:hAnsi="仿宋" w:eastAsia="仿宋" w:cs="仿宋"/>
          <w:kern w:val="0"/>
          <w:sz w:val="32"/>
          <w:szCs w:val="32"/>
        </w:rPr>
        <w:t>万亩，总产</w:t>
      </w:r>
      <w:r>
        <w:rPr>
          <w:rFonts w:hint="eastAsia" w:ascii="仿宋" w:hAnsi="仿宋" w:eastAsia="仿宋" w:cs="仿宋"/>
          <w:sz w:val="32"/>
          <w:szCs w:val="32"/>
          <w:lang w:val="en-US" w:eastAsia="zh-CN"/>
        </w:rPr>
        <w:t>36.46</w:t>
      </w:r>
      <w:r>
        <w:rPr>
          <w:rStyle w:val="22"/>
          <w:rFonts w:hint="eastAsia" w:ascii="仿宋" w:hAnsi="仿宋" w:eastAsia="仿宋" w:cs="仿宋"/>
          <w:kern w:val="0"/>
          <w:sz w:val="32"/>
          <w:szCs w:val="32"/>
        </w:rPr>
        <w:t>万吨。全省垦区粮食生产连续</w:t>
      </w:r>
      <w:r>
        <w:rPr>
          <w:rStyle w:val="22"/>
          <w:rFonts w:hint="eastAsia" w:ascii="仿宋" w:hAnsi="仿宋" w:eastAsia="仿宋" w:cs="仿宋"/>
          <w:kern w:val="0"/>
          <w:sz w:val="32"/>
          <w:szCs w:val="32"/>
          <w:lang w:val="en-US" w:eastAsia="zh-CN"/>
        </w:rPr>
        <w:t>4</w:t>
      </w:r>
      <w:r>
        <w:rPr>
          <w:rStyle w:val="22"/>
          <w:rFonts w:hint="eastAsia" w:ascii="仿宋" w:hAnsi="仿宋" w:eastAsia="仿宋" w:cs="仿宋"/>
          <w:kern w:val="0"/>
          <w:sz w:val="32"/>
          <w:szCs w:val="32"/>
        </w:rPr>
        <w:t>年保持面积、总产“两个增长”。</w:t>
      </w:r>
      <w:r>
        <w:rPr>
          <w:rFonts w:hint="eastAsia" w:ascii="仿宋" w:hAnsi="仿宋" w:eastAsia="仿宋" w:cs="仿宋"/>
          <w:color w:val="000000"/>
          <w:kern w:val="0"/>
          <w:sz w:val="32"/>
          <w:szCs w:val="32"/>
          <w:lang w:val="en-US" w:eastAsia="zh-CN" w:bidi="ar"/>
        </w:rPr>
        <w:t>继续组织实施农垦带头扩种大豆油料行动,稳定大豆种植面积,推广大豆油菜高产技术模式,推动大面积单产提升。2024年全省垦区</w:t>
      </w:r>
      <w:r>
        <w:rPr>
          <w:rFonts w:hint="eastAsia" w:ascii="仿宋" w:hAnsi="仿宋" w:eastAsia="仿宋" w:cs="仿宋"/>
          <w:kern w:val="2"/>
          <w:sz w:val="32"/>
          <w:szCs w:val="32"/>
          <w:lang w:val="en-US" w:eastAsia="zh-CN" w:bidi="ar-SA"/>
        </w:rPr>
        <w:t>种植大豆3.54万亩，比上年增长10.97%；亩产135.59公斤，较上年增加0.59%。油菜种植面积47.2</w:t>
      </w:r>
      <w:r>
        <w:rPr>
          <w:rStyle w:val="22"/>
          <w:rFonts w:hint="eastAsia" w:ascii="仿宋" w:hAnsi="仿宋" w:eastAsia="仿宋" w:cs="仿宋"/>
          <w:kern w:val="0"/>
          <w:sz w:val="32"/>
          <w:szCs w:val="32"/>
          <w:lang w:val="en-US" w:eastAsia="zh-CN"/>
        </w:rPr>
        <w:t>6万亩，较上年增长0.35%；亩产119公斤，较上年增加0.85%。在</w:t>
      </w:r>
      <w:r>
        <w:rPr>
          <w:rStyle w:val="22"/>
          <w:rFonts w:hint="eastAsia" w:ascii="仿宋" w:hAnsi="仿宋" w:eastAsia="仿宋" w:cs="仿宋"/>
          <w:kern w:val="0"/>
          <w:sz w:val="32"/>
          <w:szCs w:val="32"/>
        </w:rPr>
        <w:t>2024年全国农垦单产提升劳动竞赛</w:t>
      </w:r>
      <w:r>
        <w:rPr>
          <w:rStyle w:val="22"/>
          <w:rFonts w:hint="eastAsia" w:ascii="仿宋" w:hAnsi="仿宋" w:eastAsia="仿宋" w:cs="仿宋"/>
          <w:kern w:val="0"/>
          <w:sz w:val="32"/>
          <w:szCs w:val="32"/>
          <w:lang w:val="en-US" w:eastAsia="zh-CN"/>
        </w:rPr>
        <w:t>中我省</w:t>
      </w:r>
      <w:r>
        <w:rPr>
          <w:rStyle w:val="22"/>
          <w:rFonts w:hint="eastAsia" w:ascii="仿宋" w:hAnsi="仿宋" w:eastAsia="仿宋" w:cs="仿宋"/>
          <w:kern w:val="0"/>
          <w:sz w:val="32"/>
          <w:szCs w:val="32"/>
        </w:rPr>
        <w:t>西洞庭管理</w:t>
      </w:r>
      <w:r>
        <w:rPr>
          <w:rStyle w:val="22"/>
          <w:rFonts w:hint="eastAsia" w:ascii="仿宋" w:hAnsi="仿宋" w:eastAsia="仿宋" w:cs="仿宋"/>
          <w:kern w:val="0"/>
          <w:sz w:val="32"/>
          <w:szCs w:val="32"/>
          <w:lang w:val="en-US" w:eastAsia="zh-CN"/>
        </w:rPr>
        <w:t>区、大通湖管理区、沅江市茶盘洲镇3个垦区均表现出</w:t>
      </w:r>
      <w:r>
        <w:rPr>
          <w:rFonts w:hint="eastAsia" w:ascii="仿宋" w:hAnsi="仿宋" w:eastAsia="仿宋" w:cs="仿宋"/>
          <w:kern w:val="2"/>
          <w:sz w:val="32"/>
          <w:szCs w:val="32"/>
          <w:lang w:val="en-US" w:eastAsia="zh-CN" w:bidi="ar-SA"/>
        </w:rPr>
        <w:t>色。其中单产提升农场方面，西洞庭分别入选早稻和冬油菜佳绩组，大通湖入选早稻优胜组，沅江市茶盘洲镇入选冬油菜佳绩组；高产样板田方面，西洞庭祝丰镇涂家湖村入选早稻佳绩组，西洞庭祝丰镇唐林村2组入选冬油菜佳绩组。二是深入实施“ 农垦社会化服务+地方” 行动，</w:t>
      </w:r>
      <w:r>
        <w:rPr>
          <w:rFonts w:hint="eastAsia" w:ascii="仿宋" w:hAnsi="仿宋" w:eastAsia="仿宋" w:cs="仿宋"/>
          <w:sz w:val="32"/>
          <w:szCs w:val="32"/>
        </w:rPr>
        <w:t>立足湖南垦情</w:t>
      </w:r>
      <w:r>
        <w:rPr>
          <w:rFonts w:hint="eastAsia" w:ascii="仿宋" w:hAnsi="仿宋" w:eastAsia="仿宋" w:cs="仿宋"/>
          <w:sz w:val="32"/>
          <w:szCs w:val="32"/>
          <w:lang w:eastAsia="zh-CN"/>
        </w:rPr>
        <w:t>，</w:t>
      </w:r>
      <w:r>
        <w:rPr>
          <w:rFonts w:hint="eastAsia" w:ascii="仿宋" w:hAnsi="仿宋" w:eastAsia="仿宋" w:cs="仿宋"/>
          <w:sz w:val="32"/>
          <w:szCs w:val="32"/>
        </w:rPr>
        <w:t>大力培育服务主体、突出服务重点，提升服务水平，发挥农垦辐射带动作用，促进农户与现代农业有机衔接，为全面推进乡村振兴提供有力支撑。据初步统计，全省</w:t>
      </w:r>
      <w:r>
        <w:rPr>
          <w:rFonts w:hint="eastAsia" w:ascii="仿宋" w:hAnsi="仿宋" w:eastAsia="仿宋" w:cs="仿宋"/>
          <w:sz w:val="32"/>
          <w:szCs w:val="32"/>
          <w:lang w:val="en-US" w:eastAsia="zh-CN"/>
        </w:rPr>
        <w:t>垦区</w:t>
      </w:r>
      <w:r>
        <w:rPr>
          <w:rFonts w:hint="eastAsia" w:ascii="仿宋" w:hAnsi="仿宋" w:eastAsia="仿宋" w:cs="仿宋"/>
          <w:sz w:val="32"/>
          <w:szCs w:val="32"/>
        </w:rPr>
        <w:t>农业社会化服务主体达</w:t>
      </w:r>
      <w:r>
        <w:rPr>
          <w:rFonts w:hint="eastAsia" w:ascii="仿宋" w:hAnsi="仿宋" w:eastAsia="仿宋" w:cs="仿宋"/>
          <w:sz w:val="32"/>
          <w:szCs w:val="32"/>
          <w:lang w:val="en-US" w:eastAsia="zh-CN"/>
        </w:rPr>
        <w:t>1217</w:t>
      </w:r>
      <w:r>
        <w:rPr>
          <w:rFonts w:hint="eastAsia" w:ascii="仿宋" w:hAnsi="仿宋" w:eastAsia="仿宋" w:cs="仿宋"/>
          <w:sz w:val="32"/>
          <w:szCs w:val="32"/>
        </w:rPr>
        <w:t>个，其中农业企业</w:t>
      </w:r>
      <w:r>
        <w:rPr>
          <w:rFonts w:hint="eastAsia" w:ascii="仿宋" w:hAnsi="仿宋" w:eastAsia="仿宋" w:cs="仿宋"/>
          <w:sz w:val="32"/>
          <w:szCs w:val="32"/>
          <w:lang w:val="en-US" w:eastAsia="zh-CN"/>
        </w:rPr>
        <w:t>72</w:t>
      </w:r>
      <w:r>
        <w:rPr>
          <w:rFonts w:hint="eastAsia" w:ascii="仿宋" w:hAnsi="仿宋" w:eastAsia="仿宋" w:cs="仿宋"/>
          <w:sz w:val="32"/>
          <w:szCs w:val="32"/>
        </w:rPr>
        <w:t>个，农民合作社</w:t>
      </w:r>
      <w:r>
        <w:rPr>
          <w:rFonts w:hint="eastAsia" w:ascii="仿宋" w:hAnsi="仿宋" w:eastAsia="仿宋" w:cs="仿宋"/>
          <w:sz w:val="32"/>
          <w:szCs w:val="32"/>
          <w:lang w:val="en-US" w:eastAsia="zh-CN"/>
        </w:rPr>
        <w:t>462</w:t>
      </w:r>
      <w:r>
        <w:rPr>
          <w:rFonts w:hint="eastAsia" w:ascii="仿宋" w:hAnsi="仿宋" w:eastAsia="仿宋" w:cs="仿宋"/>
          <w:sz w:val="32"/>
          <w:szCs w:val="32"/>
        </w:rPr>
        <w:t>个，集体经济组织</w:t>
      </w:r>
      <w:r>
        <w:rPr>
          <w:rFonts w:hint="eastAsia" w:ascii="仿宋" w:hAnsi="仿宋" w:eastAsia="仿宋" w:cs="仿宋"/>
          <w:sz w:val="32"/>
          <w:szCs w:val="32"/>
          <w:lang w:val="en-US" w:eastAsia="zh-CN"/>
        </w:rPr>
        <w:t>95</w:t>
      </w:r>
      <w:r>
        <w:rPr>
          <w:rFonts w:hint="eastAsia" w:ascii="仿宋" w:hAnsi="仿宋" w:eastAsia="仿宋" w:cs="仿宋"/>
          <w:sz w:val="32"/>
          <w:szCs w:val="32"/>
        </w:rPr>
        <w:t>个，各类专业户</w:t>
      </w:r>
      <w:r>
        <w:rPr>
          <w:rFonts w:hint="eastAsia" w:ascii="仿宋" w:hAnsi="仿宋" w:eastAsia="仿宋" w:cs="仿宋"/>
          <w:sz w:val="32"/>
          <w:szCs w:val="32"/>
          <w:lang w:val="en-US" w:eastAsia="zh-CN"/>
        </w:rPr>
        <w:t>303</w:t>
      </w:r>
      <w:r>
        <w:rPr>
          <w:rFonts w:hint="eastAsia" w:ascii="仿宋" w:hAnsi="仿宋" w:eastAsia="仿宋" w:cs="仿宋"/>
          <w:sz w:val="32"/>
          <w:szCs w:val="32"/>
        </w:rPr>
        <w:t>个，供销合作社</w:t>
      </w:r>
      <w:r>
        <w:rPr>
          <w:rFonts w:hint="eastAsia" w:ascii="仿宋" w:hAnsi="仿宋" w:eastAsia="仿宋" w:cs="仿宋"/>
          <w:sz w:val="32"/>
          <w:szCs w:val="32"/>
          <w:lang w:val="en-US" w:eastAsia="zh-CN"/>
        </w:rPr>
        <w:t>16</w:t>
      </w:r>
      <w:r>
        <w:rPr>
          <w:rFonts w:hint="eastAsia" w:ascii="仿宋" w:hAnsi="仿宋" w:eastAsia="仿宋" w:cs="仿宋"/>
          <w:sz w:val="32"/>
          <w:szCs w:val="32"/>
        </w:rPr>
        <w:t>个，服务协会</w:t>
      </w:r>
      <w:r>
        <w:rPr>
          <w:rFonts w:hint="eastAsia" w:ascii="仿宋" w:hAnsi="仿宋" w:eastAsia="仿宋" w:cs="仿宋"/>
          <w:sz w:val="32"/>
          <w:szCs w:val="32"/>
          <w:lang w:val="en-US" w:eastAsia="zh-CN"/>
        </w:rPr>
        <w:t>15</w:t>
      </w:r>
      <w:r>
        <w:rPr>
          <w:rFonts w:hint="eastAsia" w:ascii="仿宋" w:hAnsi="仿宋" w:eastAsia="仿宋" w:cs="仿宋"/>
          <w:sz w:val="32"/>
          <w:szCs w:val="32"/>
        </w:rPr>
        <w:t>个，家庭农场</w:t>
      </w:r>
      <w:r>
        <w:rPr>
          <w:rFonts w:hint="eastAsia" w:ascii="仿宋" w:hAnsi="仿宋" w:eastAsia="仿宋" w:cs="仿宋"/>
          <w:sz w:val="32"/>
          <w:szCs w:val="32"/>
          <w:lang w:val="en-US" w:eastAsia="zh-CN"/>
        </w:rPr>
        <w:t>242</w:t>
      </w:r>
      <w:r>
        <w:rPr>
          <w:rFonts w:hint="eastAsia" w:ascii="仿宋" w:hAnsi="仿宋" w:eastAsia="仿宋" w:cs="仿宋"/>
          <w:sz w:val="32"/>
          <w:szCs w:val="32"/>
        </w:rPr>
        <w:t>个，其他服务组织</w:t>
      </w:r>
      <w:r>
        <w:rPr>
          <w:rFonts w:hint="eastAsia" w:ascii="仿宋" w:hAnsi="仿宋" w:eastAsia="仿宋" w:cs="仿宋"/>
          <w:sz w:val="32"/>
          <w:szCs w:val="32"/>
          <w:lang w:val="en-US" w:eastAsia="zh-CN"/>
        </w:rPr>
        <w:t>13</w:t>
      </w:r>
      <w:r>
        <w:rPr>
          <w:rFonts w:hint="eastAsia" w:ascii="仿宋" w:hAnsi="仿宋" w:eastAsia="仿宋" w:cs="仿宋"/>
          <w:sz w:val="32"/>
          <w:szCs w:val="32"/>
        </w:rPr>
        <w:t>个。2022年农业社会化服务覆盖面积达</w:t>
      </w:r>
      <w:r>
        <w:rPr>
          <w:rFonts w:hint="eastAsia" w:ascii="仿宋" w:hAnsi="仿宋" w:eastAsia="仿宋" w:cs="仿宋"/>
          <w:sz w:val="32"/>
          <w:szCs w:val="32"/>
          <w:lang w:val="en-US" w:eastAsia="zh-CN"/>
        </w:rPr>
        <w:t>108</w:t>
      </w:r>
      <w:r>
        <w:rPr>
          <w:rFonts w:hint="eastAsia" w:ascii="仿宋" w:hAnsi="仿宋" w:eastAsia="仿宋" w:cs="仿宋"/>
          <w:sz w:val="32"/>
          <w:szCs w:val="32"/>
        </w:rPr>
        <w:t>万亩，亩均节本增收约18</w:t>
      </w:r>
      <w:r>
        <w:rPr>
          <w:rFonts w:hint="eastAsia" w:ascii="仿宋" w:hAnsi="仿宋" w:eastAsia="仿宋" w:cs="仿宋"/>
          <w:sz w:val="32"/>
          <w:szCs w:val="32"/>
          <w:lang w:val="en-US" w:eastAsia="zh-CN"/>
        </w:rPr>
        <w:t>1</w:t>
      </w:r>
      <w:r>
        <w:rPr>
          <w:rFonts w:hint="eastAsia" w:ascii="仿宋" w:hAnsi="仿宋" w:eastAsia="仿宋" w:cs="仿宋"/>
          <w:sz w:val="32"/>
          <w:szCs w:val="32"/>
        </w:rPr>
        <w:t>元；服务营业收入达</w:t>
      </w:r>
      <w:r>
        <w:rPr>
          <w:rFonts w:hint="eastAsia" w:ascii="仿宋" w:hAnsi="仿宋" w:eastAsia="仿宋" w:cs="仿宋"/>
          <w:sz w:val="32"/>
          <w:szCs w:val="32"/>
          <w:lang w:val="en-US" w:eastAsia="zh-CN"/>
        </w:rPr>
        <w:t>3.6</w:t>
      </w:r>
      <w:r>
        <w:rPr>
          <w:rFonts w:hint="eastAsia" w:ascii="仿宋" w:hAnsi="仿宋" w:eastAsia="仿宋" w:cs="仿宋"/>
          <w:sz w:val="32"/>
          <w:szCs w:val="32"/>
        </w:rPr>
        <w:t>亿元；服务小农户</w:t>
      </w:r>
      <w:r>
        <w:rPr>
          <w:rFonts w:hint="eastAsia" w:ascii="仿宋" w:hAnsi="仿宋" w:eastAsia="仿宋" w:cs="仿宋"/>
          <w:sz w:val="32"/>
          <w:szCs w:val="32"/>
          <w:lang w:val="en-US" w:eastAsia="zh-CN"/>
        </w:rPr>
        <w:t>7.58</w:t>
      </w:r>
      <w:r>
        <w:rPr>
          <w:rFonts w:hint="eastAsia" w:ascii="仿宋" w:hAnsi="仿宋" w:eastAsia="仿宋" w:cs="仿宋"/>
          <w:sz w:val="32"/>
          <w:szCs w:val="32"/>
        </w:rPr>
        <w:t>万户。</w:t>
      </w:r>
    </w:p>
    <w:p>
      <w:pPr>
        <w:keepNext w:val="0"/>
        <w:keepLines w:val="0"/>
        <w:pageBreakBefore w:val="0"/>
        <w:numPr>
          <w:ilvl w:val="0"/>
          <w:numId w:val="0"/>
        </w:numPr>
        <w:kinsoku/>
        <w:wordWrap/>
        <w:overflowPunct/>
        <w:topLinePunct w:val="0"/>
        <w:bidi w:val="0"/>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2.加快推进项目建设，赋能欠发达农场发展</w:t>
      </w: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b w:val="0"/>
          <w:bCs w:val="0"/>
          <w:kern w:val="2"/>
          <w:sz w:val="32"/>
          <w:szCs w:val="32"/>
          <w:highlight w:val="none"/>
          <w:lang w:val="zh-CN" w:eastAsia="zh-CN" w:bidi="ar-SA"/>
        </w:rPr>
      </w:pPr>
      <w:r>
        <w:rPr>
          <w:rFonts w:hint="eastAsia" w:ascii="仿宋" w:hAnsi="仿宋" w:eastAsia="仿宋" w:cs="仿宋"/>
          <w:sz w:val="32"/>
          <w:szCs w:val="32"/>
          <w:lang w:val="en-US" w:eastAsia="zh-CN"/>
        </w:rPr>
        <w:t>2024年，共下达欠发达国有农场巩固提升资金4020万元，比上年增长5.9%。通过强化项目绩效管理、提升资金使用效率推动我省欠发达国有农场实现产业发展、资源盘活、群众增收。</w:t>
      </w:r>
      <w:r>
        <w:rPr>
          <w:rFonts w:hint="eastAsia" w:ascii="仿宋" w:hAnsi="仿宋" w:eastAsia="仿宋" w:cs="仿宋"/>
          <w:sz w:val="32"/>
          <w:szCs w:val="32"/>
        </w:rPr>
        <w:t>20</w:t>
      </w:r>
      <w:r>
        <w:rPr>
          <w:rFonts w:hint="eastAsia" w:ascii="仿宋" w:hAnsi="仿宋" w:eastAsia="仿宋" w:cs="仿宋"/>
          <w:b w:val="0"/>
          <w:bCs w:val="0"/>
          <w:kern w:val="2"/>
          <w:sz w:val="32"/>
          <w:szCs w:val="32"/>
          <w:highlight w:val="none"/>
          <w:lang w:val="zh-CN" w:eastAsia="zh-CN" w:bidi="ar-SA"/>
        </w:rPr>
        <w:t>2</w:t>
      </w:r>
      <w:r>
        <w:rPr>
          <w:rFonts w:hint="eastAsia" w:ascii="仿宋" w:hAnsi="仿宋" w:eastAsia="仿宋" w:cs="仿宋"/>
          <w:b w:val="0"/>
          <w:bCs w:val="0"/>
          <w:kern w:val="2"/>
          <w:sz w:val="32"/>
          <w:szCs w:val="32"/>
          <w:highlight w:val="none"/>
          <w:lang w:val="en-US" w:eastAsia="zh-CN" w:bidi="ar-SA"/>
        </w:rPr>
        <w:t>4</w:t>
      </w:r>
      <w:r>
        <w:rPr>
          <w:rFonts w:hint="eastAsia" w:ascii="仿宋" w:hAnsi="仿宋" w:eastAsia="仿宋" w:cs="仿宋"/>
          <w:b w:val="0"/>
          <w:bCs w:val="0"/>
          <w:kern w:val="2"/>
          <w:sz w:val="32"/>
          <w:szCs w:val="32"/>
          <w:highlight w:val="none"/>
          <w:lang w:val="zh-CN" w:eastAsia="zh-CN" w:bidi="ar-SA"/>
        </w:rPr>
        <w:t>年度全省欠发达国有农场从业人员人均收入达</w:t>
      </w:r>
      <w:r>
        <w:rPr>
          <w:rFonts w:hint="eastAsia" w:ascii="仿宋" w:hAnsi="仿宋" w:eastAsia="仿宋" w:cs="仿宋"/>
          <w:b w:val="0"/>
          <w:bCs w:val="0"/>
          <w:kern w:val="2"/>
          <w:sz w:val="32"/>
          <w:szCs w:val="32"/>
          <w:highlight w:val="none"/>
          <w:lang w:val="en-US" w:eastAsia="zh-CN" w:bidi="ar-SA"/>
        </w:rPr>
        <w:t>2.59</w:t>
      </w:r>
      <w:r>
        <w:rPr>
          <w:rFonts w:hint="eastAsia" w:ascii="仿宋" w:hAnsi="仿宋" w:eastAsia="仿宋" w:cs="仿宋"/>
          <w:b w:val="0"/>
          <w:bCs w:val="0"/>
          <w:kern w:val="2"/>
          <w:sz w:val="32"/>
          <w:szCs w:val="32"/>
          <w:highlight w:val="none"/>
          <w:lang w:val="zh-CN" w:eastAsia="zh-CN" w:bidi="ar-SA"/>
        </w:rPr>
        <w:t>万元，较上一年增长</w:t>
      </w:r>
      <w:r>
        <w:rPr>
          <w:rFonts w:hint="eastAsia" w:ascii="仿宋" w:hAnsi="仿宋" w:eastAsia="仿宋" w:cs="仿宋"/>
          <w:b w:val="0"/>
          <w:bCs w:val="0"/>
          <w:kern w:val="2"/>
          <w:sz w:val="32"/>
          <w:szCs w:val="32"/>
          <w:highlight w:val="none"/>
          <w:lang w:val="en-US" w:eastAsia="zh-CN" w:bidi="ar-SA"/>
        </w:rPr>
        <w:t>2.97</w:t>
      </w:r>
      <w:r>
        <w:rPr>
          <w:rFonts w:hint="eastAsia" w:ascii="仿宋" w:hAnsi="仿宋" w:eastAsia="仿宋" w:cs="仿宋"/>
          <w:b w:val="0"/>
          <w:bCs w:val="0"/>
          <w:kern w:val="2"/>
          <w:sz w:val="32"/>
          <w:szCs w:val="32"/>
          <w:highlight w:val="none"/>
          <w:lang w:val="zh-CN" w:eastAsia="zh-CN" w:bidi="ar-SA"/>
        </w:rPr>
        <w:t>%，增长率比全省高</w:t>
      </w:r>
      <w:r>
        <w:rPr>
          <w:rFonts w:hint="eastAsia" w:ascii="仿宋" w:hAnsi="仿宋" w:eastAsia="仿宋" w:cs="仿宋"/>
          <w:b w:val="0"/>
          <w:bCs w:val="0"/>
          <w:kern w:val="2"/>
          <w:sz w:val="32"/>
          <w:szCs w:val="32"/>
          <w:highlight w:val="none"/>
          <w:lang w:val="en-US" w:eastAsia="zh-CN" w:bidi="ar-SA"/>
        </w:rPr>
        <w:t>2.58</w:t>
      </w:r>
      <w:r>
        <w:rPr>
          <w:rFonts w:hint="eastAsia" w:ascii="仿宋" w:hAnsi="仿宋" w:eastAsia="仿宋" w:cs="仿宋"/>
          <w:b w:val="0"/>
          <w:bCs w:val="0"/>
          <w:kern w:val="2"/>
          <w:sz w:val="32"/>
          <w:szCs w:val="32"/>
          <w:highlight w:val="none"/>
          <w:lang w:val="zh-CN" w:eastAsia="zh-CN" w:bidi="ar-SA"/>
        </w:rPr>
        <w:t>个百分点。</w:t>
      </w: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b w:val="0"/>
          <w:bCs w:val="0"/>
          <w:kern w:val="2"/>
          <w:sz w:val="32"/>
          <w:szCs w:val="32"/>
          <w:highlight w:val="none"/>
          <w:lang w:val="en-US" w:eastAsia="zh-CN" w:bidi="ar-SA"/>
        </w:rPr>
      </w:pPr>
      <w:r>
        <w:rPr>
          <w:rFonts w:hint="eastAsia" w:ascii="仿宋" w:hAnsi="仿宋" w:eastAsia="仿宋" w:cs="仿宋"/>
          <w:b w:val="0"/>
          <w:bCs w:val="0"/>
          <w:kern w:val="2"/>
          <w:sz w:val="32"/>
          <w:szCs w:val="32"/>
          <w:highlight w:val="none"/>
          <w:lang w:val="en-US" w:eastAsia="zh-CN" w:bidi="ar-SA"/>
        </w:rPr>
        <w:t>3.积极推进世行项目，全面完成</w:t>
      </w:r>
      <w:r>
        <w:rPr>
          <w:rFonts w:hint="eastAsia" w:ascii="仿宋" w:hAnsi="仿宋" w:eastAsia="仿宋" w:cs="仿宋"/>
          <w:b w:val="0"/>
          <w:bCs w:val="0"/>
          <w:color w:val="auto"/>
          <w:kern w:val="2"/>
          <w:sz w:val="32"/>
          <w:szCs w:val="32"/>
          <w:highlight w:val="none"/>
          <w:lang w:val="en-US" w:eastAsia="zh-CN" w:bidi="ar-SA"/>
        </w:rPr>
        <w:t>相关</w:t>
      </w:r>
      <w:r>
        <w:rPr>
          <w:rFonts w:hint="eastAsia" w:ascii="仿宋" w:hAnsi="仿宋" w:eastAsia="仿宋" w:cs="仿宋"/>
          <w:b w:val="0"/>
          <w:bCs w:val="0"/>
          <w:kern w:val="2"/>
          <w:sz w:val="32"/>
          <w:szCs w:val="32"/>
          <w:highlight w:val="none"/>
          <w:lang w:val="en-US" w:eastAsia="zh-CN" w:bidi="ar-SA"/>
        </w:rPr>
        <w:t>工作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在世界银行贷款稻田节水与绿色低碳发展项目工作推进过程中，一方面，主动与省发改委和省财政厅紧密对接，于 5 月完成资金申请报告上报，并持续上报世行贷款项目月报和季报工作进度信息。另一方面，全力做好项目新增项目县沅江市评估工作，包括组织、收集和上报评估资料，并参加 6 月世行评估团工作会议。同时，依据上级会议精神，积极与项目县联系调减贷款额度文件报送工作。召开项目县与世行项目工作小组协调会议，将商议结果与世行对接，形成最终报告上报省财政厅，稳步推进项目各环节工作，为项目的实施奠定了坚实基础。</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4.深入开展专项整治，解决民生关切问题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我站始终以高度的政治责任感和使命感，严格按照省委、省纪委的部署安排，将垦区危房改造突出问题专项整治作为</w:t>
      </w:r>
      <w:r>
        <w:rPr>
          <w:rFonts w:hint="eastAsia" w:ascii="仿宋" w:hAnsi="仿宋" w:eastAsia="仿宋" w:cs="仿宋"/>
          <w:sz w:val="32"/>
          <w:szCs w:val="32"/>
        </w:rPr>
        <w:t>整治群众身边不正之风和腐败问题集中整治重要内容</w:t>
      </w:r>
      <w:r>
        <w:rPr>
          <w:rFonts w:hint="eastAsia" w:ascii="仿宋" w:hAnsi="仿宋" w:eastAsia="仿宋" w:cs="仿宋"/>
          <w:sz w:val="32"/>
          <w:szCs w:val="32"/>
          <w:lang w:val="en-US" w:eastAsia="zh-CN"/>
        </w:rPr>
        <w:t>以及</w:t>
      </w:r>
      <w:r>
        <w:rPr>
          <w:rFonts w:hint="eastAsia" w:ascii="仿宋" w:hAnsi="仿宋" w:eastAsia="仿宋" w:cs="仿宋"/>
          <w:sz w:val="32"/>
          <w:szCs w:val="32"/>
        </w:rPr>
        <w:t>今年要集中整治办成办好的15件具体实事之一</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采取超常规的措施，推动垦区危房改造突出问题按要求得到解决，确保专项整治行动取得较好成效</w:t>
      </w:r>
      <w:r>
        <w:rPr>
          <w:rFonts w:hint="eastAsia" w:ascii="仿宋" w:hAnsi="仿宋" w:eastAsia="仿宋" w:cs="仿宋"/>
          <w:sz w:val="32"/>
          <w:szCs w:val="32"/>
        </w:rPr>
        <w:t>。</w:t>
      </w:r>
      <w:r>
        <w:rPr>
          <w:rFonts w:hint="eastAsia" w:ascii="仿宋" w:hAnsi="仿宋" w:eastAsia="仿宋" w:cs="仿宋"/>
          <w:sz w:val="32"/>
          <w:szCs w:val="32"/>
          <w:lang w:val="en-US" w:eastAsia="zh-CN"/>
        </w:rPr>
        <w:t>全省垦区危房改造项目自2011年至2018年共改造240,837套，覆盖13个市州、52个县市区、77个农场。通过专项整治行动，共排查出问题项目171个，其中已完成整改项目157个，整改率达到91.8%。共发现问题286个，完成了问题的整改271个，整改率达到94.75%。在排查出的问题中，涉及问题资金22467.8万元，其中套取1702.41万元，挪用 9405万元，结余5299.13万元，项目未实施3001.98万元，通过专项整治，已收缴资金19791.2万元。全省垦区共进行党纪政纪处理处分180人，起到了警示和震慑作用。通过专项整治，相关农场补发职工群众危房改造补贴到户资金111.7万元，有力地维护了垦区居民的切身利益，进一步密切了党群干群关系。</w:t>
      </w:r>
    </w:p>
    <w:p>
      <w:pPr>
        <w:pStyle w:val="21"/>
        <w:keepNext w:val="0"/>
        <w:keepLines w:val="0"/>
        <w:pageBreakBefore w:val="0"/>
        <w:kinsoku/>
        <w:wordWrap/>
        <w:overflowPunct/>
        <w:topLinePunct w:val="0"/>
        <w:bidi w:val="0"/>
        <w:snapToGrid w:val="0"/>
        <w:spacing w:line="52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七、存在的问题及原因分析</w:t>
      </w: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（一）项目支出预算执行率低。一是</w:t>
      </w:r>
      <w:r>
        <w:rPr>
          <w:rFonts w:hint="eastAsia" w:ascii="仿宋" w:hAnsi="仿宋" w:eastAsia="仿宋" w:cs="仿宋"/>
          <w:b w:val="0"/>
          <w:bCs/>
          <w:color w:val="000000"/>
          <w:sz w:val="32"/>
          <w:szCs w:val="32"/>
        </w:rPr>
        <w:t>预算编制时支出结构欠优化</w:t>
      </w:r>
      <w:r>
        <w:rPr>
          <w:rFonts w:hint="eastAsia" w:ascii="仿宋" w:hAnsi="仿宋" w:eastAsia="仿宋" w:cs="仿宋"/>
          <w:b w:val="0"/>
          <w:bCs/>
          <w:color w:val="000000"/>
          <w:sz w:val="32"/>
          <w:szCs w:val="32"/>
          <w:lang w:eastAsia="zh-CN"/>
        </w:rPr>
        <w:t>；</w:t>
      </w:r>
      <w:r>
        <w:rPr>
          <w:rFonts w:hint="eastAsia" w:ascii="仿宋" w:hAnsi="仿宋" w:eastAsia="仿宋" w:cs="仿宋"/>
          <w:b w:val="0"/>
          <w:bCs/>
          <w:color w:val="000000"/>
          <w:sz w:val="32"/>
          <w:szCs w:val="32"/>
          <w:lang w:val="en-US" w:eastAsia="zh-CN"/>
        </w:rPr>
        <w:t>二是下基层调研、指导、督察等工作开展不够；三是</w:t>
      </w:r>
      <w:r>
        <w:rPr>
          <w:rFonts w:hint="eastAsia" w:ascii="仿宋" w:hAnsi="仿宋" w:eastAsia="仿宋" w:cs="仿宋"/>
          <w:sz w:val="32"/>
          <w:szCs w:val="32"/>
          <w:lang w:val="en-US" w:eastAsia="zh-CN"/>
        </w:rPr>
        <w:t>世界银行贷款稻田节水与绿色低碳发展项目工作推动不畅。</w:t>
      </w: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（二）未能推动世界银行贷款稻田节水与绿色低碳发展项目正常实施，导致该项目经济效益指标、社会效益指标、生态效益指标无法实现。该项目未能顺利实施主要是受相关政策层面因素影响。</w:t>
      </w: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八、下一步改进措施</w:t>
      </w: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加强预算编制的精细程度，确保预算资金的科学性、细致性、准确性。从20</w:t>
      </w:r>
      <w:r>
        <w:rPr>
          <w:rFonts w:hint="eastAsia" w:ascii="仿宋" w:hAnsi="仿宋" w:eastAsia="仿宋" w:cs="仿宋"/>
          <w:sz w:val="32"/>
          <w:szCs w:val="32"/>
          <w:lang w:val="en-US" w:eastAsia="zh-CN"/>
        </w:rPr>
        <w:t>25</w:t>
      </w:r>
      <w:r>
        <w:rPr>
          <w:rFonts w:hint="eastAsia" w:ascii="仿宋" w:hAnsi="仿宋" w:eastAsia="仿宋" w:cs="仿宋"/>
          <w:sz w:val="32"/>
          <w:szCs w:val="32"/>
        </w:rPr>
        <w:t>年起，为了加快项目资金支出进度，实行每月调度，并</w:t>
      </w:r>
      <w:r>
        <w:rPr>
          <w:rFonts w:hint="eastAsia" w:ascii="仿宋" w:hAnsi="仿宋" w:eastAsia="仿宋" w:cs="仿宋"/>
          <w:sz w:val="32"/>
          <w:szCs w:val="32"/>
          <w:lang w:val="en-US" w:eastAsia="zh-CN"/>
        </w:rPr>
        <w:t>及时</w:t>
      </w:r>
      <w:r>
        <w:rPr>
          <w:rFonts w:hint="eastAsia" w:ascii="仿宋" w:hAnsi="仿宋" w:eastAsia="仿宋" w:cs="仿宋"/>
          <w:sz w:val="32"/>
          <w:szCs w:val="32"/>
        </w:rPr>
        <w:t>梳理项目资金支出情况，通报项目资金的使用进度，着力解决项目资金支出进度缓慢</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预算执行率低</w:t>
      </w:r>
      <w:r>
        <w:rPr>
          <w:rFonts w:hint="eastAsia" w:ascii="仿宋" w:hAnsi="仿宋" w:eastAsia="仿宋" w:cs="仿宋"/>
          <w:sz w:val="32"/>
          <w:szCs w:val="32"/>
        </w:rPr>
        <w:t>问题。</w:t>
      </w:r>
    </w:p>
    <w:p>
      <w:pPr>
        <w:keepNext w:val="0"/>
        <w:keepLines w:val="0"/>
        <w:pageBreakBefore w:val="0"/>
        <w:kinsoku/>
        <w:wordWrap/>
        <w:overflowPunct/>
        <w:topLinePunct w:val="0"/>
        <w:bidi w:val="0"/>
        <w:spacing w:line="520" w:lineRule="exact"/>
        <w:ind w:firstLine="640" w:firstLineChars="200"/>
        <w:textAlignment w:val="auto"/>
        <w:rPr>
          <w:rFonts w:hint="default" w:eastAsia="仿宋"/>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积极开展</w:t>
      </w:r>
      <w:r>
        <w:rPr>
          <w:rFonts w:hint="eastAsia" w:ascii="仿宋" w:hAnsi="仿宋" w:eastAsia="仿宋" w:cs="仿宋"/>
          <w:b w:val="0"/>
          <w:bCs/>
          <w:color w:val="000000"/>
          <w:sz w:val="32"/>
          <w:szCs w:val="32"/>
          <w:lang w:val="en-US" w:eastAsia="zh-CN"/>
        </w:rPr>
        <w:t>下基层调研、指导、督察等工作，</w:t>
      </w:r>
      <w:r>
        <w:rPr>
          <w:rFonts w:hint="eastAsia" w:ascii="仿宋" w:hAnsi="仿宋" w:eastAsia="仿宋" w:cs="仿宋"/>
          <w:sz w:val="32"/>
          <w:szCs w:val="32"/>
          <w:lang w:val="en-US" w:eastAsia="zh-CN"/>
        </w:rPr>
        <w:t>推动农垦事业发展。</w:t>
      </w: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sz w:val="32"/>
          <w:szCs w:val="32"/>
          <w:lang w:eastAsia="zh-CN"/>
        </w:rPr>
        <w:t>（三）</w:t>
      </w:r>
      <w:r>
        <w:rPr>
          <w:rFonts w:hint="eastAsia" w:ascii="仿宋" w:hAnsi="仿宋" w:eastAsia="仿宋" w:cs="仿宋"/>
          <w:color w:val="auto"/>
          <w:sz w:val="32"/>
          <w:szCs w:val="32"/>
          <w:lang w:val="en-US" w:eastAsia="zh-CN"/>
        </w:rPr>
        <w:t>加强与省政府、发改、财政等部门的汇报、衔接、沟通，全力做好世行项目签字生效前准备工作，推动项目尽早尽快顺利实施。</w:t>
      </w:r>
    </w:p>
    <w:p>
      <w:pPr>
        <w:keepNext w:val="0"/>
        <w:keepLines w:val="0"/>
        <w:pageBreakBefore w:val="0"/>
        <w:kinsoku/>
        <w:wordWrap/>
        <w:overflowPunct/>
        <w:topLinePunct w:val="0"/>
        <w:bidi w:val="0"/>
        <w:spacing w:line="520" w:lineRule="exact"/>
        <w:ind w:left="0" w:leftChars="0"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九、绩效自评结果拟应用和公开情况</w:t>
      </w:r>
    </w:p>
    <w:p>
      <w:pPr>
        <w:keepNext w:val="0"/>
        <w:keepLines w:val="0"/>
        <w:pageBreakBefore w:val="0"/>
        <w:kinsoku/>
        <w:wordWrap/>
        <w:overflowPunct/>
        <w:topLinePunct w:val="0"/>
        <w:bidi w:val="0"/>
        <w:spacing w:line="52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bCs/>
          <w:sz w:val="32"/>
          <w:szCs w:val="32"/>
        </w:rPr>
        <w:t>（</w:t>
      </w:r>
      <w:r>
        <w:rPr>
          <w:rFonts w:hint="eastAsia" w:ascii="仿宋" w:hAnsi="仿宋" w:eastAsia="仿宋" w:cs="仿宋"/>
          <w:bCs/>
          <w:sz w:val="32"/>
          <w:szCs w:val="32"/>
          <w:lang w:val="en-US" w:eastAsia="zh-CN"/>
        </w:rPr>
        <w:t>一</w:t>
      </w:r>
      <w:r>
        <w:rPr>
          <w:rFonts w:hint="eastAsia" w:ascii="仿宋" w:hAnsi="仿宋" w:eastAsia="仿宋" w:cs="仿宋"/>
          <w:bCs/>
          <w:sz w:val="32"/>
          <w:szCs w:val="32"/>
        </w:rPr>
        <w:t>）加强绩效自评结果的应用，对自评过程中发现的问题落实责任并监督整改到位。</w:t>
      </w:r>
    </w:p>
    <w:p>
      <w:pPr>
        <w:pStyle w:val="15"/>
        <w:keepNext w:val="0"/>
        <w:keepLines w:val="0"/>
        <w:pageBreakBefore w:val="0"/>
        <w:kinsoku/>
        <w:wordWrap/>
        <w:overflowPunct/>
        <w:topLinePunct w:val="0"/>
        <w:bidi w:val="0"/>
        <w:adjustRightInd/>
        <w:snapToGrid/>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w:t>
      </w:r>
      <w:r>
        <w:rPr>
          <w:rFonts w:hint="eastAsia" w:ascii="仿宋" w:hAnsi="仿宋" w:eastAsia="仿宋" w:cs="仿宋"/>
          <w:bCs/>
          <w:sz w:val="32"/>
          <w:szCs w:val="32"/>
          <w:lang w:val="en-US" w:eastAsia="zh-CN"/>
        </w:rPr>
        <w:t>二</w:t>
      </w:r>
      <w:r>
        <w:rPr>
          <w:rFonts w:hint="eastAsia" w:ascii="仿宋" w:hAnsi="仿宋" w:eastAsia="仿宋" w:cs="仿宋"/>
          <w:bCs/>
          <w:sz w:val="32"/>
          <w:szCs w:val="32"/>
        </w:rPr>
        <w:t>）落实绩效评价结果公开公示制度，将绩效评价结果上网公开，接受社会监督。</w:t>
      </w:r>
    </w:p>
    <w:p>
      <w:pPr>
        <w:pStyle w:val="15"/>
        <w:keepNext w:val="0"/>
        <w:keepLines w:val="0"/>
        <w:pageBreakBefore w:val="0"/>
        <w:kinsoku/>
        <w:wordWrap/>
        <w:overflowPunct/>
        <w:topLinePunct w:val="0"/>
        <w:bidi w:val="0"/>
        <w:adjustRightInd/>
        <w:snapToGrid/>
        <w:spacing w:line="520" w:lineRule="exact"/>
        <w:ind w:firstLine="64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其他需要说明的情况</w:t>
      </w:r>
    </w:p>
    <w:p>
      <w:pPr>
        <w:pStyle w:val="15"/>
        <w:keepNext w:val="0"/>
        <w:keepLines w:val="0"/>
        <w:pageBreakBefore w:val="0"/>
        <w:kinsoku/>
        <w:wordWrap/>
        <w:overflowPunct/>
        <w:topLinePunct w:val="0"/>
        <w:bidi w:val="0"/>
        <w:adjustRightInd/>
        <w:snapToGrid/>
        <w:spacing w:line="520" w:lineRule="exact"/>
        <w:ind w:firstLine="64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无</w:t>
      </w:r>
    </w:p>
    <w:p>
      <w:pPr>
        <w:pStyle w:val="15"/>
        <w:keepNext w:val="0"/>
        <w:keepLines w:val="0"/>
        <w:pageBreakBefore w:val="0"/>
        <w:kinsoku/>
        <w:wordWrap/>
        <w:overflowPunct/>
        <w:topLinePunct w:val="0"/>
        <w:bidi w:val="0"/>
        <w:adjustRightInd/>
        <w:snapToGrid/>
        <w:spacing w:line="520" w:lineRule="exact"/>
        <w:ind w:firstLine="640"/>
        <w:textAlignment w:val="auto"/>
        <w:rPr>
          <w:rFonts w:hint="eastAsia" w:ascii="仿宋" w:hAnsi="仿宋" w:eastAsia="仿宋" w:cs="仿宋"/>
          <w:bCs/>
          <w:sz w:val="32"/>
          <w:szCs w:val="32"/>
          <w:lang w:val="en-US" w:eastAsia="zh-CN"/>
        </w:rPr>
      </w:pPr>
    </w:p>
    <w:p>
      <w:pPr>
        <w:jc w:val="left"/>
        <w:rPr>
          <w:rFonts w:ascii="Times New Roman" w:hAnsi="Times New Roman" w:cs="Times New Roman"/>
          <w:color w:val="000000"/>
          <w:kern w:val="0"/>
          <w:sz w:val="32"/>
          <w:szCs w:val="32"/>
        </w:rPr>
      </w:pPr>
    </w:p>
    <w:p>
      <w:pPr>
        <w:keepNext w:val="0"/>
        <w:keepLines w:val="0"/>
        <w:pageBreakBefore w:val="0"/>
        <w:kinsoku/>
        <w:wordWrap/>
        <w:overflowPunct/>
        <w:topLinePunct w:val="0"/>
        <w:bidi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附件：1、部门整体支出绩效评价基础数据表</w:t>
      </w:r>
    </w:p>
    <w:p>
      <w:pPr>
        <w:keepNext w:val="0"/>
        <w:keepLines w:val="0"/>
        <w:pageBreakBefore w:val="0"/>
        <w:kinsoku/>
        <w:wordWrap/>
        <w:overflowPunct/>
        <w:topLinePunct w:val="0"/>
        <w:bidi w:val="0"/>
        <w:spacing w:line="520" w:lineRule="exact"/>
        <w:ind w:firstLine="1600" w:firstLineChars="500"/>
        <w:textAlignment w:val="auto"/>
        <w:rPr>
          <w:rFonts w:hint="eastAsia" w:ascii="仿宋" w:hAnsi="仿宋" w:eastAsia="仿宋" w:cs="仿宋"/>
          <w:sz w:val="32"/>
          <w:szCs w:val="32"/>
        </w:rPr>
      </w:pPr>
      <w:r>
        <w:rPr>
          <w:rFonts w:hint="eastAsia" w:ascii="仿宋" w:hAnsi="仿宋" w:eastAsia="仿宋" w:cs="仿宋"/>
          <w:sz w:val="32"/>
          <w:szCs w:val="32"/>
        </w:rPr>
        <w:t>2、部门整体支出绩效自评表</w:t>
      </w:r>
    </w:p>
    <w:p>
      <w:pPr>
        <w:keepNext w:val="0"/>
        <w:keepLines w:val="0"/>
        <w:pageBreakBefore w:val="0"/>
        <w:kinsoku/>
        <w:wordWrap/>
        <w:overflowPunct/>
        <w:topLinePunct w:val="0"/>
        <w:bidi w:val="0"/>
        <w:spacing w:line="520" w:lineRule="exact"/>
        <w:ind w:firstLine="1600" w:firstLineChars="5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业务工作经费</w:t>
      </w:r>
      <w:r>
        <w:rPr>
          <w:rFonts w:hint="eastAsia" w:ascii="仿宋" w:hAnsi="仿宋" w:eastAsia="仿宋" w:cs="仿宋"/>
          <w:sz w:val="32"/>
          <w:szCs w:val="32"/>
        </w:rPr>
        <w:t>支出绩效自评表</w:t>
      </w:r>
    </w:p>
    <w:p>
      <w:pPr>
        <w:keepNext w:val="0"/>
        <w:keepLines w:val="0"/>
        <w:pageBreakBefore w:val="0"/>
        <w:kinsoku/>
        <w:wordWrap/>
        <w:overflowPunct/>
        <w:topLinePunct w:val="0"/>
        <w:bidi w:val="0"/>
        <w:spacing w:line="520" w:lineRule="exact"/>
        <w:ind w:firstLine="1600" w:firstLineChars="5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4、现代农业农村发展专项</w:t>
      </w:r>
      <w:r>
        <w:rPr>
          <w:rFonts w:hint="eastAsia" w:ascii="仿宋" w:hAnsi="仿宋" w:eastAsia="仿宋" w:cs="仿宋"/>
          <w:sz w:val="32"/>
          <w:szCs w:val="32"/>
        </w:rPr>
        <w:t>支出绩效自评表</w:t>
      </w:r>
    </w:p>
    <w:p>
      <w:pPr>
        <w:keepNext w:val="0"/>
        <w:keepLines w:val="0"/>
        <w:pageBreakBefore w:val="0"/>
        <w:kinsoku/>
        <w:wordWrap/>
        <w:overflowPunct/>
        <w:topLinePunct w:val="0"/>
        <w:bidi w:val="0"/>
        <w:spacing w:line="520" w:lineRule="exact"/>
        <w:ind w:firstLine="1600" w:firstLineChars="500"/>
        <w:textAlignment w:val="auto"/>
        <w:rPr>
          <w:rFonts w:hint="eastAsia" w:eastAsia="仿宋"/>
          <w:lang w:val="en-US" w:eastAsia="zh-CN"/>
        </w:rPr>
      </w:pPr>
      <w:r>
        <w:rPr>
          <w:rFonts w:hint="eastAsia" w:ascii="仿宋" w:hAnsi="仿宋" w:eastAsia="仿宋" w:cs="仿宋"/>
          <w:sz w:val="32"/>
          <w:szCs w:val="32"/>
          <w:lang w:val="en-US" w:eastAsia="zh-CN"/>
        </w:rPr>
        <w:t>5、其他事业发展资金专项</w:t>
      </w:r>
      <w:r>
        <w:rPr>
          <w:rFonts w:hint="eastAsia" w:ascii="仿宋" w:hAnsi="仿宋" w:eastAsia="仿宋" w:cs="仿宋"/>
          <w:sz w:val="32"/>
          <w:szCs w:val="32"/>
        </w:rPr>
        <w:t>支出绩效自评表</w:t>
      </w: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tbl>
      <w:tblPr>
        <w:tblStyle w:val="11"/>
        <w:tblW w:w="95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701"/>
        <w:gridCol w:w="1520"/>
        <w:gridCol w:w="1192"/>
        <w:gridCol w:w="1326"/>
        <w:gridCol w:w="1338"/>
        <w:gridCol w:w="1180"/>
        <w:gridCol w:w="12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1701" w:type="dxa"/>
            <w:tcBorders>
              <w:top w:val="nil"/>
              <w:left w:val="nil"/>
              <w:bottom w:val="nil"/>
              <w:right w:val="nil"/>
            </w:tcBorders>
            <w:shd w:val="clear" w:color="auto" w:fill="auto"/>
            <w:tcMar>
              <w:top w:w="10" w:type="dxa"/>
              <w:left w:w="10" w:type="dxa"/>
              <w:right w:w="10" w:type="dxa"/>
            </w:tcMar>
            <w:vAlign w:val="top"/>
          </w:tcPr>
          <w:p>
            <w:pPr>
              <w:keepNext w:val="0"/>
              <w:keepLines w:val="0"/>
              <w:widowControl/>
              <w:suppressLineNumbers w:val="0"/>
              <w:ind w:firstLineChars="100"/>
              <w:jc w:val="left"/>
              <w:textAlignment w:val="top"/>
              <w:rPr>
                <w:rFonts w:ascii="黑体" w:hAnsi="宋体" w:eastAsia="黑体" w:cs="黑体"/>
                <w:b/>
                <w:i w:val="0"/>
                <w:color w:val="000000"/>
                <w:sz w:val="30"/>
                <w:szCs w:val="30"/>
                <w:u w:val="none"/>
              </w:rPr>
            </w:pPr>
            <w:r>
              <w:rPr>
                <w:rFonts w:ascii="黑体" w:hAnsi="宋体" w:eastAsia="黑体" w:cs="黑体"/>
                <w:b/>
                <w:i w:val="0"/>
                <w:color w:val="000000"/>
                <w:kern w:val="0"/>
                <w:sz w:val="30"/>
                <w:szCs w:val="30"/>
                <w:u w:val="none"/>
                <w:lang w:val="en-US" w:eastAsia="zh-CN" w:bidi="ar"/>
              </w:rPr>
              <w:t>附件1</w:t>
            </w:r>
          </w:p>
        </w:tc>
        <w:tc>
          <w:tcPr>
            <w:tcW w:w="1520" w:type="dxa"/>
            <w:tcBorders>
              <w:top w:val="nil"/>
              <w:left w:val="nil"/>
              <w:bottom w:val="nil"/>
              <w:right w:val="nil"/>
            </w:tcBorders>
            <w:shd w:val="clear" w:color="auto" w:fill="auto"/>
            <w:noWrap/>
            <w:tcMar>
              <w:top w:w="10" w:type="dxa"/>
              <w:left w:w="10" w:type="dxa"/>
              <w:right w:w="10" w:type="dxa"/>
            </w:tcMar>
            <w:vAlign w:val="bottom"/>
          </w:tcPr>
          <w:p>
            <w:pPr>
              <w:rPr>
                <w:rFonts w:hint="eastAsia" w:ascii="Arial" w:hAnsi="Arial" w:cs="Arial"/>
                <w:i w:val="0"/>
                <w:color w:val="000000"/>
                <w:sz w:val="22"/>
                <w:szCs w:val="22"/>
                <w:u w:val="none"/>
              </w:rPr>
            </w:pPr>
          </w:p>
        </w:tc>
        <w:tc>
          <w:tcPr>
            <w:tcW w:w="1192"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1326"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1338"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1180"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1283"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5" w:hRule="atLeast"/>
        </w:trPr>
        <w:tc>
          <w:tcPr>
            <w:tcW w:w="1701"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7839" w:type="dxa"/>
            <w:gridSpan w:val="6"/>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ind w:firstLineChars="100"/>
              <w:jc w:val="left"/>
              <w:textAlignment w:val="center"/>
              <w:rPr>
                <w:rFonts w:ascii="宋体" w:hAnsi="宋体" w:eastAsia="宋体" w:cs="宋体"/>
                <w:b/>
                <w:i w:val="0"/>
                <w:color w:val="000000"/>
                <w:sz w:val="34"/>
                <w:szCs w:val="34"/>
                <w:u w:val="none"/>
              </w:rPr>
            </w:pPr>
            <w:r>
              <w:rPr>
                <w:rFonts w:ascii="宋体" w:hAnsi="宋体" w:eastAsia="宋体" w:cs="宋体"/>
                <w:b/>
                <w:i w:val="0"/>
                <w:color w:val="000000"/>
                <w:kern w:val="0"/>
                <w:sz w:val="34"/>
                <w:szCs w:val="34"/>
                <w:u w:val="none"/>
                <w:lang w:val="en-US" w:eastAsia="zh-CN" w:bidi="ar"/>
              </w:rPr>
              <w:t>部门整体支出绩效评价基础数据表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15" w:hRule="atLeast"/>
        </w:trPr>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财政供养人员情况</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编制数</w:t>
            </w: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2024年实际在职人数</w:t>
            </w: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经费控制情况</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2023年决算数</w:t>
            </w: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2024年预算数</w:t>
            </w: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2024年决算数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三公经费</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0.31</w:t>
            </w: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w:t>
            </w: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0.039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righ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1、公务用车购置和维护经费</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其中：公车购置</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Chars="100"/>
              <w:jc w:val="righ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公车运行维护</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Chars="10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2、出国经费</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Chars="10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3、公务接待</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0.31</w:t>
            </w: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w:t>
            </w: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0.039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项目支出：</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100.64</w:t>
            </w: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174.58</w:t>
            </w: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87.47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Chars="10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 xml:space="preserve">  1、业务工作经费</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23.71</w:t>
            </w: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19.91</w:t>
            </w: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26.29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Chars="10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 xml:space="preserve">  2、运行维护经费</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ind w:firstLineChars="100"/>
              <w:jc w:val="left"/>
              <w:textAlignment w:val="top"/>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3、省级专项资金</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 xml:space="preserve">    (一个专项一行)</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17.34</w:t>
            </w: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120.76</w:t>
            </w: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47.46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4、其他事业类发展资金</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59.59</w:t>
            </w: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33.91</w:t>
            </w: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13.72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ascii="宋体" w:hAnsi="宋体" w:eastAsia="宋体" w:cs="宋体"/>
                <w:i w:val="0"/>
                <w:color w:val="000000"/>
                <w:sz w:val="20"/>
                <w:szCs w:val="20"/>
                <w:u w:val="none"/>
              </w:rPr>
            </w:pPr>
            <w:r>
              <w:rPr>
                <w:rFonts w:hint="default" w:ascii="Arial" w:hAnsi="Arial" w:eastAsia="宋体" w:cs="Arial"/>
                <w:i w:val="0"/>
                <w:color w:val="000000"/>
                <w:kern w:val="0"/>
                <w:sz w:val="12"/>
                <w:szCs w:val="12"/>
                <w:u w:val="none"/>
                <w:lang w:val="en-US" w:eastAsia="zh-CN" w:bidi="ar"/>
              </w:rPr>
              <w:br w:type="textWrapping"/>
            </w:r>
            <w:r>
              <w:rPr>
                <w:rFonts w:ascii="宋体" w:hAnsi="宋体" w:eastAsia="宋体" w:cs="宋体"/>
                <w:i w:val="0"/>
                <w:color w:val="000000"/>
                <w:kern w:val="0"/>
                <w:sz w:val="20"/>
                <w:szCs w:val="20"/>
                <w:u w:val="none"/>
                <w:lang w:val="en-US" w:eastAsia="zh-CN" w:bidi="ar"/>
              </w:rPr>
              <w:t>…</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公用经费</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78.12</w:t>
            </w: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81.37</w:t>
            </w: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75.87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Chars="10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 xml:space="preserve">  其中：办公费</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1.2</w:t>
            </w: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righ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水费、电费、差旅费</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3.25</w:t>
            </w: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8.3</w:t>
            </w: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7.96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Chars="100"/>
              <w:jc w:val="righ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会议费、培训费</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政府采购金额</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4"/>
                <w:szCs w:val="14"/>
                <w:u w:val="none"/>
              </w:rPr>
            </w:pPr>
            <w:r>
              <w:rPr>
                <w:rFonts w:ascii="宋体" w:hAnsi="宋体" w:eastAsia="宋体" w:cs="宋体"/>
                <w:i w:val="0"/>
                <w:color w:val="000000"/>
                <w:kern w:val="0"/>
                <w:sz w:val="14"/>
                <w:szCs w:val="14"/>
                <w:u w:val="none"/>
                <w:lang w:val="en-US" w:eastAsia="zh-CN" w:bidi="ar"/>
              </w:rPr>
              <w:t>—</w:t>
            </w: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3.34</w:t>
            </w: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部门基本支出预算调整</w:t>
            </w:r>
          </w:p>
        </w:tc>
        <w:tc>
          <w:tcPr>
            <w:tcW w:w="271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4"/>
                <w:szCs w:val="14"/>
                <w:u w:val="none"/>
              </w:rPr>
            </w:pPr>
            <w:r>
              <w:rPr>
                <w:rFonts w:ascii="宋体" w:hAnsi="宋体" w:eastAsia="宋体" w:cs="宋体"/>
                <w:i w:val="0"/>
                <w:color w:val="000000"/>
                <w:kern w:val="0"/>
                <w:sz w:val="14"/>
                <w:szCs w:val="14"/>
                <w:u w:val="none"/>
                <w:lang w:val="en-US" w:eastAsia="zh-CN" w:bidi="ar"/>
              </w:rPr>
              <w:t>——</w:t>
            </w:r>
          </w:p>
        </w:tc>
        <w:tc>
          <w:tcPr>
            <w:tcW w:w="266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50" w:hRule="atLeast"/>
        </w:trPr>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楼堂馆所控制情况</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(2024年完工项目)</w:t>
            </w: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批复规模</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 xml:space="preserve">  (m²)</w:t>
            </w: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 xml:space="preserve">  实际</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 xml:space="preserve">  规模</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 xml:space="preserve">  (m²)</w:t>
            </w:r>
          </w:p>
        </w:tc>
        <w:tc>
          <w:tcPr>
            <w:tcW w:w="13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规模</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控制率</w:t>
            </w: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预算投资</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(万元)</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实际</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投资</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(万元)</w:t>
            </w: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投资</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概算</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0" w:hRule="atLeast"/>
        </w:trPr>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6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厉行节约保障措施</w:t>
            </w:r>
          </w:p>
        </w:tc>
        <w:tc>
          <w:tcPr>
            <w:tcW w:w="7839"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加强预算编制的科学性、准确性；严格执行资产配置标准，严禁超实物定额标准配置办公通用设备及办公家具，提倡维修后继续使用。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0" w:hRule="atLeast"/>
        </w:trPr>
        <w:tc>
          <w:tcPr>
            <w:tcW w:w="9540" w:type="dxa"/>
            <w:gridSpan w:val="7"/>
            <w:tcBorders>
              <w:top w:val="nil"/>
              <w:left w:val="nil"/>
              <w:bottom w:val="nil"/>
              <w:right w:val="nil"/>
            </w:tcBorders>
            <w:shd w:val="clear" w:color="auto" w:fill="auto"/>
            <w:tcMar>
              <w:top w:w="10" w:type="dxa"/>
              <w:left w:w="10" w:type="dxa"/>
              <w:right w:w="10" w:type="dxa"/>
            </w:tcMar>
            <w:vAlign w:val="top"/>
          </w:tcPr>
          <w:p>
            <w:pPr>
              <w:keepNext w:val="0"/>
              <w:keepLines w:val="0"/>
              <w:widowControl/>
              <w:suppressLineNumbers w:val="0"/>
              <w:ind w:firstLineChars="100"/>
              <w:jc w:val="left"/>
              <w:textAlignment w:val="top"/>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说明：“项目支出”需要填报基本支出以外的所有项目支出情况，“公用经费”填报基本支出中</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的一般商品和服务支出。</w:t>
            </w:r>
          </w:p>
        </w:tc>
      </w:tr>
    </w:tbl>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tbl>
      <w:tblPr>
        <w:tblStyle w:val="11"/>
        <w:tblW w:w="10930" w:type="dxa"/>
        <w:tblInd w:w="-35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80"/>
        <w:gridCol w:w="1149"/>
        <w:gridCol w:w="1199"/>
        <w:gridCol w:w="1284"/>
        <w:gridCol w:w="1599"/>
        <w:gridCol w:w="1300"/>
        <w:gridCol w:w="1100"/>
        <w:gridCol w:w="1070"/>
        <w:gridCol w:w="1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rPr>
        <w:tc>
          <w:tcPr>
            <w:tcW w:w="10930" w:type="dxa"/>
            <w:gridSpan w:val="9"/>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Arial" w:hAnsi="Arial" w:cs="Arial"/>
                <w:b/>
                <w:i w:val="0"/>
                <w:color w:val="000000"/>
                <w:sz w:val="30"/>
                <w:szCs w:val="30"/>
                <w:u w:val="none"/>
              </w:rPr>
            </w:pPr>
            <w:r>
              <w:rPr>
                <w:rFonts w:ascii="黑体" w:hAnsi="宋体" w:eastAsia="黑体" w:cs="黑体"/>
                <w:b/>
                <w:i w:val="0"/>
                <w:color w:val="000000"/>
                <w:kern w:val="0"/>
                <w:sz w:val="30"/>
                <w:szCs w:val="30"/>
                <w:u w:val="none"/>
                <w:lang w:val="en-US" w:eastAsia="zh-CN" w:bidi="ar"/>
              </w:rPr>
              <w:t>附件2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10930" w:type="dxa"/>
            <w:gridSpan w:val="9"/>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b/>
                <w:i w:val="0"/>
                <w:color w:val="000000"/>
                <w:sz w:val="34"/>
                <w:szCs w:val="34"/>
                <w:u w:val="none"/>
              </w:rPr>
            </w:pPr>
            <w:r>
              <w:rPr>
                <w:rFonts w:ascii="宋体" w:hAnsi="宋体" w:eastAsia="宋体" w:cs="宋体"/>
                <w:b/>
                <w:i w:val="0"/>
                <w:color w:val="000000"/>
                <w:kern w:val="0"/>
                <w:sz w:val="34"/>
                <w:szCs w:val="34"/>
                <w:u w:val="none"/>
                <w:lang w:val="en-US" w:eastAsia="zh-CN" w:bidi="ar"/>
              </w:rPr>
              <w:t>部门整体支出绩效自评表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930" w:type="dxa"/>
            <w:gridSpan w:val="9"/>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(2024</w:t>
            </w:r>
            <w:r>
              <w:rPr>
                <w:rFonts w:hint="eastAsia" w:ascii="宋体" w:hAnsi="宋体" w:eastAsia="宋体" w:cs="宋体"/>
                <w:i w:val="0"/>
                <w:color w:val="000000"/>
                <w:kern w:val="0"/>
                <w:sz w:val="22"/>
                <w:szCs w:val="22"/>
                <w:u w:val="none"/>
                <w:lang w:val="en-US" w:eastAsia="zh-CN" w:bidi="ar"/>
              </w:rPr>
              <w:t>年度</w:t>
            </w:r>
            <w:r>
              <w:rPr>
                <w:rFonts w:hint="default" w:ascii="Arial" w:hAnsi="Arial" w:eastAsia="宋体" w:cs="Arial"/>
                <w:i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省级预算</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部门名称</w:t>
            </w:r>
          </w:p>
        </w:tc>
        <w:tc>
          <w:tcPr>
            <w:tcW w:w="9850"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湖南省农垦管理服务站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年度预</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算申请</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(万元)</w:t>
            </w:r>
          </w:p>
        </w:tc>
        <w:tc>
          <w:tcPr>
            <w:tcW w:w="234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年初</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预算数</w:t>
            </w:r>
          </w:p>
        </w:tc>
        <w:tc>
          <w:tcPr>
            <w:tcW w:w="15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全年预算数</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全年</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执行数</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分值</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执行率</w:t>
            </w: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234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年度资金总额</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713.2</w:t>
            </w:r>
          </w:p>
        </w:tc>
        <w:tc>
          <w:tcPr>
            <w:tcW w:w="15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773.61</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643.93</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 xml:space="preserve">10 </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83.24%</w:t>
            </w: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523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按收入性质分：</w:t>
            </w:r>
          </w:p>
        </w:tc>
        <w:tc>
          <w:tcPr>
            <w:tcW w:w="4619"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523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其中：    一般公共预算：</w:t>
            </w:r>
            <w:r>
              <w:rPr>
                <w:rFonts w:hint="default" w:ascii="Arial" w:hAnsi="Arial" w:eastAsia="宋体" w:cs="Arial"/>
                <w:i w:val="0"/>
                <w:color w:val="000000"/>
                <w:kern w:val="0"/>
                <w:sz w:val="20"/>
                <w:szCs w:val="20"/>
                <w:u w:val="none"/>
                <w:lang w:val="en-US" w:eastAsia="zh-CN" w:bidi="ar"/>
              </w:rPr>
              <w:t>773.61</w:t>
            </w:r>
          </w:p>
        </w:tc>
        <w:tc>
          <w:tcPr>
            <w:tcW w:w="4619"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其中：基本支出：</w:t>
            </w:r>
            <w:r>
              <w:rPr>
                <w:rFonts w:hint="default" w:ascii="Arial" w:hAnsi="Arial" w:eastAsia="宋体" w:cs="Arial"/>
                <w:i w:val="0"/>
                <w:color w:val="000000"/>
                <w:kern w:val="0"/>
                <w:sz w:val="20"/>
                <w:szCs w:val="20"/>
                <w:u w:val="none"/>
                <w:lang w:val="en-US" w:eastAsia="zh-CN" w:bidi="ar"/>
              </w:rPr>
              <w:t>559.71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523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政府性基金拨款：</w:t>
            </w:r>
          </w:p>
        </w:tc>
        <w:tc>
          <w:tcPr>
            <w:tcW w:w="4619"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项目支出：</w:t>
            </w:r>
            <w:r>
              <w:rPr>
                <w:rFonts w:hint="default" w:ascii="Arial" w:hAnsi="Arial" w:eastAsia="宋体" w:cs="Arial"/>
                <w:i w:val="0"/>
                <w:color w:val="000000"/>
                <w:kern w:val="0"/>
                <w:sz w:val="20"/>
                <w:szCs w:val="20"/>
                <w:u w:val="none"/>
                <w:lang w:val="en-US" w:eastAsia="zh-CN" w:bidi="ar"/>
              </w:rPr>
              <w:t>213.9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523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纳入专户管理的非税收入拨款：</w:t>
            </w:r>
          </w:p>
        </w:tc>
        <w:tc>
          <w:tcPr>
            <w:tcW w:w="4619"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523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其他资金：</w:t>
            </w:r>
          </w:p>
        </w:tc>
        <w:tc>
          <w:tcPr>
            <w:tcW w:w="4619"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年度总体</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 xml:space="preserve">  目 标</w:t>
            </w:r>
          </w:p>
        </w:tc>
        <w:tc>
          <w:tcPr>
            <w:tcW w:w="523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预期目标</w:t>
            </w:r>
          </w:p>
        </w:tc>
        <w:tc>
          <w:tcPr>
            <w:tcW w:w="4619"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523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本单位的各项工作按质按量完成，配合厅农田建设与农垦处推进乡村振兴，对农垦企业各项工作进行政策宣传、业务指导、业务检查和监督。</w:t>
            </w:r>
          </w:p>
        </w:tc>
        <w:tc>
          <w:tcPr>
            <w:tcW w:w="4619"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证了机关正常运转，全面完成了各项工作；推动垦区现代农业发展，全省垦区种植大豆3.54万亩，全省农垦完成早、中、晚稻种植面积142.53万亩，总产63.91万吨；推进乡村振兴，欠发达农场巩固提升项目年度绩效考核达到优等；完成亚行项目的财务核算、检查验收等相关工作；完成了稻田节水灌溉与绿色低碳发展项目的部分前期准备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绩效指标</w:t>
            </w: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一级指标</w:t>
            </w: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二级指标</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三级指标</w:t>
            </w:r>
          </w:p>
        </w:tc>
        <w:tc>
          <w:tcPr>
            <w:tcW w:w="15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年度</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指标值</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实际</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完成值</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分值</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得分</w:t>
            </w: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偏差原因</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分析及</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1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产出指标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(50分)</w:t>
            </w: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数量指标</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管理制度</w:t>
            </w:r>
          </w:p>
        </w:tc>
        <w:tc>
          <w:tcPr>
            <w:tcW w:w="15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制定制度2个</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1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质量指标</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重点工作完成率</w:t>
            </w:r>
          </w:p>
        </w:tc>
        <w:tc>
          <w:tcPr>
            <w:tcW w:w="15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100.00%</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1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时效指标</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预算执行情况</w:t>
            </w:r>
          </w:p>
        </w:tc>
        <w:tc>
          <w:tcPr>
            <w:tcW w:w="15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2024</w:t>
            </w:r>
            <w:r>
              <w:rPr>
                <w:rFonts w:hint="eastAsia" w:ascii="宋体" w:hAnsi="宋体" w:eastAsia="宋体" w:cs="宋体"/>
                <w:i w:val="0"/>
                <w:color w:val="000000"/>
                <w:kern w:val="0"/>
                <w:sz w:val="22"/>
                <w:szCs w:val="22"/>
                <w:u w:val="none"/>
                <w:lang w:val="en-US" w:eastAsia="zh-CN" w:bidi="ar"/>
              </w:rPr>
              <w:t>年</w:t>
            </w:r>
            <w:r>
              <w:rPr>
                <w:rFonts w:hint="default" w:ascii="Arial" w:hAnsi="Arial" w:eastAsia="宋体" w:cs="Arial"/>
                <w:i w:val="0"/>
                <w:color w:val="000000"/>
                <w:kern w:val="0"/>
                <w:sz w:val="22"/>
                <w:szCs w:val="22"/>
                <w:u w:val="none"/>
                <w:lang w:val="en-US" w:eastAsia="zh-CN" w:bidi="ar"/>
              </w:rPr>
              <w:t>1</w:t>
            </w:r>
            <w:r>
              <w:rPr>
                <w:rFonts w:hint="eastAsia" w:ascii="宋体" w:hAnsi="宋体" w:eastAsia="宋体" w:cs="宋体"/>
                <w:i w:val="0"/>
                <w:color w:val="000000"/>
                <w:kern w:val="0"/>
                <w:sz w:val="22"/>
                <w:szCs w:val="22"/>
                <w:u w:val="none"/>
                <w:lang w:val="en-US" w:eastAsia="zh-CN" w:bidi="ar"/>
              </w:rPr>
              <w:t>月</w:t>
            </w:r>
            <w:r>
              <w:rPr>
                <w:rFonts w:hint="default" w:ascii="Arial" w:hAnsi="Arial" w:eastAsia="宋体" w:cs="Arial"/>
                <w:i w:val="0"/>
                <w:color w:val="000000"/>
                <w:kern w:val="0"/>
                <w:sz w:val="22"/>
                <w:szCs w:val="22"/>
                <w:u w:val="none"/>
                <w:lang w:val="en-US" w:eastAsia="zh-CN" w:bidi="ar"/>
              </w:rPr>
              <w:t>1</w:t>
            </w:r>
            <w:r>
              <w:rPr>
                <w:rFonts w:hint="eastAsia" w:ascii="宋体" w:hAnsi="宋体" w:eastAsia="宋体" w:cs="宋体"/>
                <w:i w:val="0"/>
                <w:color w:val="000000"/>
                <w:kern w:val="0"/>
                <w:sz w:val="22"/>
                <w:szCs w:val="22"/>
                <w:u w:val="none"/>
                <w:lang w:val="en-US" w:eastAsia="zh-CN" w:bidi="ar"/>
              </w:rPr>
              <w:t>日</w:t>
            </w:r>
            <w:r>
              <w:rPr>
                <w:rFonts w:hint="default" w:ascii="Arial" w:hAnsi="Arial" w:eastAsia="宋体" w:cs="Arial"/>
                <w:i w:val="0"/>
                <w:color w:val="000000"/>
                <w:kern w:val="0"/>
                <w:sz w:val="22"/>
                <w:szCs w:val="22"/>
                <w:u w:val="none"/>
                <w:lang w:val="en-US" w:eastAsia="zh-CN" w:bidi="ar"/>
              </w:rPr>
              <w:t>-12</w:t>
            </w:r>
            <w:r>
              <w:rPr>
                <w:rFonts w:hint="eastAsia" w:ascii="宋体" w:hAnsi="宋体" w:eastAsia="宋体" w:cs="宋体"/>
                <w:i w:val="0"/>
                <w:color w:val="000000"/>
                <w:kern w:val="0"/>
                <w:sz w:val="22"/>
                <w:szCs w:val="22"/>
                <w:u w:val="none"/>
                <w:lang w:val="en-US" w:eastAsia="zh-CN" w:bidi="ar"/>
              </w:rPr>
              <w:t>月</w:t>
            </w:r>
            <w:r>
              <w:rPr>
                <w:rFonts w:hint="default" w:ascii="Arial" w:hAnsi="Arial" w:eastAsia="宋体" w:cs="Arial"/>
                <w:i w:val="0"/>
                <w:color w:val="000000"/>
                <w:kern w:val="0"/>
                <w:sz w:val="22"/>
                <w:szCs w:val="22"/>
                <w:u w:val="none"/>
                <w:lang w:val="en-US" w:eastAsia="zh-CN" w:bidi="ar"/>
              </w:rPr>
              <w:t>31</w:t>
            </w:r>
            <w:r>
              <w:rPr>
                <w:rFonts w:hint="eastAsia" w:ascii="宋体" w:hAnsi="宋体" w:eastAsia="宋体" w:cs="宋体"/>
                <w:i w:val="0"/>
                <w:color w:val="000000"/>
                <w:kern w:val="0"/>
                <w:sz w:val="22"/>
                <w:szCs w:val="22"/>
                <w:u w:val="none"/>
                <w:lang w:val="en-US" w:eastAsia="zh-CN" w:bidi="ar"/>
              </w:rPr>
              <w:t>日</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100%</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1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成本指标</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一般性支出增长率</w:t>
            </w:r>
          </w:p>
        </w:tc>
        <w:tc>
          <w:tcPr>
            <w:tcW w:w="15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小于等于</w:t>
            </w:r>
            <w:r>
              <w:rPr>
                <w:rFonts w:hint="default" w:ascii="Arial" w:hAnsi="Arial" w:eastAsia="宋体" w:cs="Arial"/>
                <w:i w:val="0"/>
                <w:color w:val="000000"/>
                <w:kern w:val="0"/>
                <w:sz w:val="22"/>
                <w:szCs w:val="22"/>
                <w:u w:val="none"/>
                <w:lang w:val="en-US" w:eastAsia="zh-CN" w:bidi="ar"/>
              </w:rPr>
              <w:t>0</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微软雅黑" w:hAnsi="微软雅黑" w:eastAsia="微软雅黑" w:cs="微软雅黑"/>
                <w:i w:val="0"/>
                <w:color w:val="000000"/>
                <w:sz w:val="22"/>
                <w:szCs w:val="22"/>
                <w:u w:val="none"/>
              </w:rPr>
            </w:pPr>
            <w:r>
              <w:rPr>
                <w:rFonts w:hint="eastAsia" w:ascii="微软雅黑" w:hAnsi="微软雅黑" w:eastAsia="微软雅黑" w:cs="微软雅黑"/>
                <w:i w:val="0"/>
                <w:color w:val="000000"/>
                <w:kern w:val="0"/>
                <w:sz w:val="22"/>
                <w:szCs w:val="22"/>
                <w:u w:val="none"/>
                <w:lang w:val="en-US" w:eastAsia="zh-CN" w:bidi="ar"/>
              </w:rPr>
              <w:t>-5%</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1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效益指标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(30分)</w:t>
            </w: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经济效益指标</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农垦企业劳动生产总值</w:t>
            </w:r>
          </w:p>
        </w:tc>
        <w:tc>
          <w:tcPr>
            <w:tcW w:w="15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3.75%</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1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社会效益指标</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农垦品牌化建设</w:t>
            </w:r>
          </w:p>
        </w:tc>
        <w:tc>
          <w:tcPr>
            <w:tcW w:w="15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推动</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推动</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1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生态效益指标</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1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可持续影响指标</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满意度指标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(10分)</w:t>
            </w:r>
          </w:p>
        </w:tc>
        <w:tc>
          <w:tcPr>
            <w:tcW w:w="11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服务对象</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满意度指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标</w:t>
            </w:r>
          </w:p>
        </w:tc>
        <w:tc>
          <w:tcPr>
            <w:tcW w:w="12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农垦企业满意度</w:t>
            </w:r>
          </w:p>
        </w:tc>
        <w:tc>
          <w:tcPr>
            <w:tcW w:w="15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r>
              <w:rPr>
                <w:rFonts w:hint="default" w:ascii="Arial" w:hAnsi="Arial" w:eastAsia="宋体" w:cs="Arial"/>
                <w:i w:val="0"/>
                <w:color w:val="000000"/>
                <w:kern w:val="0"/>
                <w:sz w:val="22"/>
                <w:szCs w:val="22"/>
                <w:u w:val="none"/>
                <w:lang w:val="en-US" w:eastAsia="zh-CN" w:bidi="ar"/>
              </w:rPr>
              <w:t>90%</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90%</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0" w:hRule="atLeast"/>
        </w:trPr>
        <w:tc>
          <w:tcPr>
            <w:tcW w:w="7611"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总分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 xml:space="preserve">100 </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98.3</w:t>
            </w:r>
          </w:p>
        </w:tc>
        <w:tc>
          <w:tcPr>
            <w:tcW w:w="11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bl>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tbl>
      <w:tblPr>
        <w:tblStyle w:val="11"/>
        <w:tblW w:w="10350"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71"/>
        <w:gridCol w:w="723"/>
        <w:gridCol w:w="723"/>
        <w:gridCol w:w="1080"/>
        <w:gridCol w:w="229"/>
        <w:gridCol w:w="635"/>
        <w:gridCol w:w="423"/>
        <w:gridCol w:w="388"/>
        <w:gridCol w:w="388"/>
        <w:gridCol w:w="388"/>
        <w:gridCol w:w="388"/>
        <w:gridCol w:w="388"/>
        <w:gridCol w:w="388"/>
        <w:gridCol w:w="635"/>
        <w:gridCol w:w="635"/>
        <w:gridCol w:w="476"/>
        <w:gridCol w:w="476"/>
        <w:gridCol w:w="229"/>
        <w:gridCol w:w="229"/>
        <w:gridCol w:w="229"/>
        <w:gridCol w:w="2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tcBorders>
              <w:top w:val="nil"/>
              <w:left w:val="nil"/>
              <w:bottom w:val="nil"/>
              <w:right w:val="nil"/>
            </w:tcBorders>
            <w:shd w:val="clear" w:color="auto" w:fill="auto"/>
            <w:tcMar>
              <w:top w:w="10" w:type="dxa"/>
              <w:left w:w="10" w:type="dxa"/>
              <w:right w:w="10" w:type="dxa"/>
            </w:tcMar>
            <w:vAlign w:val="top"/>
          </w:tcPr>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Style w:val="29"/>
                <w:lang w:val="en-US" w:eastAsia="zh-CN" w:bidi="ar"/>
              </w:rPr>
              <w:t>附件</w:t>
            </w:r>
            <w:r>
              <w:rPr>
                <w:rStyle w:val="30"/>
                <w:rFonts w:eastAsia="宋体"/>
                <w:lang w:val="en-US" w:eastAsia="zh-CN" w:bidi="ar"/>
              </w:rPr>
              <w:t>3</w:t>
            </w:r>
          </w:p>
        </w:tc>
        <w:tc>
          <w:tcPr>
            <w:tcW w:w="723"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723"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1080"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229"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635"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423"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635"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635"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476"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476"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229"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229"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229"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c>
          <w:tcPr>
            <w:tcW w:w="229" w:type="dxa"/>
            <w:tcBorders>
              <w:top w:val="nil"/>
              <w:left w:val="nil"/>
              <w:bottom w:val="nil"/>
              <w:right w:val="nil"/>
            </w:tcBorders>
            <w:shd w:val="clear" w:color="auto" w:fill="auto"/>
            <w:noWrap/>
            <w:tcMar>
              <w:top w:w="10" w:type="dxa"/>
              <w:left w:w="10" w:type="dxa"/>
              <w:right w:w="10" w:type="dxa"/>
            </w:tcMar>
            <w:vAlign w:val="bottom"/>
          </w:tcPr>
          <w:p>
            <w:pP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0" w:hRule="atLeast"/>
        </w:trPr>
        <w:tc>
          <w:tcPr>
            <w:tcW w:w="10350" w:type="dxa"/>
            <w:gridSpan w:val="21"/>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b/>
                <w:i w:val="0"/>
                <w:color w:val="000000"/>
                <w:sz w:val="34"/>
                <w:szCs w:val="34"/>
                <w:u w:val="none"/>
              </w:rPr>
            </w:pPr>
            <w:r>
              <w:rPr>
                <w:rFonts w:hint="default" w:ascii="Arial" w:hAnsi="Arial" w:eastAsia="宋体" w:cs="Arial"/>
                <w:b/>
                <w:i w:val="0"/>
                <w:color w:val="000000"/>
                <w:kern w:val="0"/>
                <w:sz w:val="34"/>
                <w:szCs w:val="3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350" w:type="dxa"/>
            <w:gridSpan w:val="21"/>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10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项目支</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出名称</w:t>
            </w:r>
          </w:p>
        </w:tc>
        <w:tc>
          <w:tcPr>
            <w:tcW w:w="9279" w:type="dxa"/>
            <w:gridSpan w:val="2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业务工作经费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主管部门</w:t>
            </w:r>
          </w:p>
        </w:tc>
        <w:tc>
          <w:tcPr>
            <w:tcW w:w="4977"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湖南省农业农村厅</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实施单位</w:t>
            </w:r>
          </w:p>
        </w:tc>
        <w:tc>
          <w:tcPr>
            <w:tcW w:w="3138"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湖南省农垦管理服务站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项目资金</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(万元)</w:t>
            </w:r>
          </w:p>
        </w:tc>
        <w:tc>
          <w:tcPr>
            <w:tcW w:w="275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年初</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预算数</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全年</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预算数</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全年</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执行数</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分值</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执行率</w:t>
            </w: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275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年度资金总额</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19.91</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37.93</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26.29</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 xml:space="preserve">10 </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69.30%</w:t>
            </w: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6.93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275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其中：当年财政拨款</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12.69</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30.71</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22.47</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275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right"/>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上年结转资金</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7.22</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7.22</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3.82</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275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其他资金</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年度总体</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目 标</w:t>
            </w:r>
          </w:p>
        </w:tc>
        <w:tc>
          <w:tcPr>
            <w:tcW w:w="4977"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预期目标</w:t>
            </w:r>
          </w:p>
        </w:tc>
        <w:tc>
          <w:tcPr>
            <w:tcW w:w="4302"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4977"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推动垦区现代农业发展，扎实开展“两大行动”，提升粮油保障能力；对垦区国有资产管理、财务和统计工作进行全面指导</w:t>
            </w:r>
          </w:p>
        </w:tc>
        <w:tc>
          <w:tcPr>
            <w:tcW w:w="4302"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推动垦区现代农业发展，全省垦区种植大豆3.54万亩，全省农垦完成早、中、晚稻种植面积142.53万亩，总产63.91万吨；对垦区国有资产管理、财务和统计工作进行指导，按部局要求完成各类报表审核汇总上报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绩效指标</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一级指标</w:t>
            </w:r>
          </w:p>
        </w:tc>
        <w:tc>
          <w:tcPr>
            <w:tcW w:w="130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二级指标</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三级指标</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年度</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指标值</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实际</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完成值</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分值</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得分</w:t>
            </w: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center"/>
              <w:textAlignment w:val="top"/>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偏差原因</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分析及</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产出指标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(50分)</w:t>
            </w:r>
          </w:p>
        </w:tc>
        <w:tc>
          <w:tcPr>
            <w:tcW w:w="13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数量指标</w:t>
            </w:r>
          </w:p>
        </w:tc>
        <w:tc>
          <w:tcPr>
            <w:tcW w:w="1058" w:type="dxa"/>
            <w:gridSpan w:val="2"/>
            <w:vMerge w:val="restart"/>
            <w:tcBorders>
              <w:top w:val="single" w:color="000000" w:sz="4" w:space="0"/>
              <w:left w:val="nil"/>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大豆种植面积</w:t>
            </w:r>
          </w:p>
        </w:tc>
        <w:tc>
          <w:tcPr>
            <w:tcW w:w="1164" w:type="dxa"/>
            <w:gridSpan w:val="3"/>
            <w:vMerge w:val="restart"/>
            <w:tcBorders>
              <w:top w:val="single" w:color="000000" w:sz="4" w:space="0"/>
              <w:left w:val="single" w:color="000000" w:sz="4" w:space="0"/>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Style w:val="30"/>
                <w:rFonts w:eastAsia="宋体"/>
                <w:lang w:val="en-US" w:eastAsia="zh-CN" w:bidi="ar"/>
              </w:rPr>
              <w:t>3.5</w:t>
            </w:r>
            <w:r>
              <w:rPr>
                <w:rStyle w:val="29"/>
                <w:lang w:val="en-US" w:eastAsia="zh-CN" w:bidi="ar"/>
              </w:rPr>
              <w:t>万亩</w:t>
            </w:r>
          </w:p>
        </w:tc>
        <w:tc>
          <w:tcPr>
            <w:tcW w:w="1164" w:type="dxa"/>
            <w:gridSpan w:val="3"/>
            <w:vMerge w:val="restart"/>
            <w:tcBorders>
              <w:top w:val="single" w:color="000000" w:sz="4" w:space="0"/>
              <w:left w:val="single" w:color="000000" w:sz="4" w:space="0"/>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3.54</w:t>
            </w:r>
          </w:p>
        </w:tc>
        <w:tc>
          <w:tcPr>
            <w:tcW w:w="1270" w:type="dxa"/>
            <w:gridSpan w:val="2"/>
            <w:vMerge w:val="restart"/>
            <w:tcBorders>
              <w:top w:val="single" w:color="000000" w:sz="4" w:space="0"/>
              <w:left w:val="single" w:color="000000" w:sz="4" w:space="0"/>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w:t>
            </w:r>
          </w:p>
        </w:tc>
        <w:tc>
          <w:tcPr>
            <w:tcW w:w="952" w:type="dxa"/>
            <w:gridSpan w:val="2"/>
            <w:vMerge w:val="restart"/>
            <w:tcBorders>
              <w:top w:val="single" w:color="000000" w:sz="4" w:space="0"/>
              <w:left w:val="single" w:color="000000" w:sz="4" w:space="0"/>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w:t>
            </w: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nil"/>
              <w:bottom w:val="nil"/>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164" w:type="dxa"/>
            <w:gridSpan w:val="3"/>
            <w:vMerge w:val="continue"/>
            <w:tcBorders>
              <w:top w:val="single" w:color="000000" w:sz="4" w:space="0"/>
              <w:left w:val="single" w:color="000000" w:sz="4" w:space="0"/>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270" w:type="dxa"/>
            <w:gridSpan w:val="2"/>
            <w:vMerge w:val="continue"/>
            <w:tcBorders>
              <w:top w:val="single" w:color="000000" w:sz="4" w:space="0"/>
              <w:left w:val="single" w:color="000000" w:sz="4" w:space="0"/>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水稻种植面积</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Style w:val="30"/>
                <w:rFonts w:eastAsia="宋体"/>
                <w:lang w:val="en-US" w:eastAsia="zh-CN" w:bidi="ar"/>
              </w:rPr>
              <w:t>140</w:t>
            </w:r>
            <w:r>
              <w:rPr>
                <w:rStyle w:val="29"/>
                <w:lang w:val="en-US" w:eastAsia="zh-CN" w:bidi="ar"/>
              </w:rPr>
              <w:t>万亩</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142.53</w:t>
            </w:r>
          </w:p>
        </w:tc>
        <w:tc>
          <w:tcPr>
            <w:tcW w:w="1270" w:type="dxa"/>
            <w:gridSpan w:val="2"/>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w:t>
            </w:r>
          </w:p>
        </w:tc>
        <w:tc>
          <w:tcPr>
            <w:tcW w:w="952" w:type="dxa"/>
            <w:gridSpan w:val="2"/>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w:t>
            </w: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restart"/>
            <w:tcBorders>
              <w:top w:val="nil"/>
              <w:left w:val="nil"/>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报表上报套数</w:t>
            </w:r>
          </w:p>
        </w:tc>
        <w:tc>
          <w:tcPr>
            <w:tcW w:w="1164" w:type="dxa"/>
            <w:gridSpan w:val="3"/>
            <w:vMerge w:val="restart"/>
            <w:tcBorders>
              <w:top w:val="nil"/>
              <w:left w:val="single" w:color="000000" w:sz="4" w:space="0"/>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w:t>
            </w:r>
          </w:p>
        </w:tc>
        <w:tc>
          <w:tcPr>
            <w:tcW w:w="1164" w:type="dxa"/>
            <w:gridSpan w:val="3"/>
            <w:vMerge w:val="restart"/>
            <w:tcBorders>
              <w:top w:val="nil"/>
              <w:left w:val="single" w:color="000000" w:sz="4" w:space="0"/>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w:t>
            </w:r>
          </w:p>
        </w:tc>
        <w:tc>
          <w:tcPr>
            <w:tcW w:w="1270" w:type="dxa"/>
            <w:gridSpan w:val="2"/>
            <w:vMerge w:val="restart"/>
            <w:tcBorders>
              <w:top w:val="nil"/>
              <w:left w:val="single" w:color="000000" w:sz="4" w:space="0"/>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6</w:t>
            </w:r>
          </w:p>
        </w:tc>
        <w:tc>
          <w:tcPr>
            <w:tcW w:w="952" w:type="dxa"/>
            <w:gridSpan w:val="2"/>
            <w:vMerge w:val="restart"/>
            <w:tcBorders>
              <w:top w:val="nil"/>
              <w:left w:val="single" w:color="000000" w:sz="4" w:space="0"/>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6</w:t>
            </w: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nil"/>
              <w:left w:val="nil"/>
              <w:bottom w:val="nil"/>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nil"/>
              <w:left w:val="single" w:color="000000" w:sz="4" w:space="0"/>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164" w:type="dxa"/>
            <w:gridSpan w:val="3"/>
            <w:vMerge w:val="continue"/>
            <w:tcBorders>
              <w:top w:val="nil"/>
              <w:left w:val="single" w:color="000000" w:sz="4" w:space="0"/>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270" w:type="dxa"/>
            <w:gridSpan w:val="2"/>
            <w:vMerge w:val="continue"/>
            <w:tcBorders>
              <w:top w:val="nil"/>
              <w:left w:val="single" w:color="000000" w:sz="4" w:space="0"/>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nil"/>
              <w:left w:val="single" w:color="000000" w:sz="4" w:space="0"/>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质量指标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资金使用</w:t>
            </w: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规范</w:t>
            </w: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全部完成</w:t>
            </w:r>
          </w:p>
        </w:tc>
        <w:tc>
          <w:tcPr>
            <w:tcW w:w="1270"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6</w:t>
            </w:r>
          </w:p>
        </w:tc>
        <w:tc>
          <w:tcPr>
            <w:tcW w:w="952"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6</w:t>
            </w: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tcBorders>
              <w:top w:val="nil"/>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报表通过部局审核</w:t>
            </w:r>
          </w:p>
        </w:tc>
        <w:tc>
          <w:tcPr>
            <w:tcW w:w="1164" w:type="dxa"/>
            <w:gridSpan w:val="3"/>
            <w:tcBorders>
              <w:top w:val="nil"/>
              <w:left w:val="single" w:color="000000" w:sz="4" w:space="0"/>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通过</w:t>
            </w:r>
          </w:p>
        </w:tc>
        <w:tc>
          <w:tcPr>
            <w:tcW w:w="1164" w:type="dxa"/>
            <w:gridSpan w:val="3"/>
            <w:tcBorders>
              <w:top w:val="nil"/>
              <w:left w:val="single" w:color="000000" w:sz="4" w:space="0"/>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通过</w:t>
            </w:r>
          </w:p>
        </w:tc>
        <w:tc>
          <w:tcPr>
            <w:tcW w:w="1270" w:type="dxa"/>
            <w:gridSpan w:val="2"/>
            <w:tcBorders>
              <w:top w:val="nil"/>
              <w:left w:val="single" w:color="000000" w:sz="4" w:space="0"/>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6</w:t>
            </w:r>
          </w:p>
        </w:tc>
        <w:tc>
          <w:tcPr>
            <w:tcW w:w="952" w:type="dxa"/>
            <w:gridSpan w:val="2"/>
            <w:tcBorders>
              <w:top w:val="nil"/>
              <w:left w:val="single" w:color="000000" w:sz="4" w:space="0"/>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6</w:t>
            </w:r>
          </w:p>
        </w:tc>
        <w:tc>
          <w:tcPr>
            <w:tcW w:w="229"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top"/>
          </w:tcPr>
          <w:p>
            <w:pPr>
              <w:rPr>
                <w:rFonts w:hint="default" w:ascii="Arial" w:hAnsi="Arial" w:cs="Arial"/>
                <w:i w:val="0"/>
                <w:color w:val="000000"/>
                <w:sz w:val="22"/>
                <w:szCs w:val="22"/>
                <w:u w:val="none"/>
              </w:rPr>
            </w:pPr>
          </w:p>
        </w:tc>
        <w:tc>
          <w:tcPr>
            <w:tcW w:w="229" w:type="dxa"/>
            <w:tcBorders>
              <w:top w:val="single" w:color="000000" w:sz="4" w:space="0"/>
              <w:left w:val="nil"/>
              <w:bottom w:val="single" w:color="000000" w:sz="4" w:space="0"/>
              <w:right w:val="nil"/>
            </w:tcBorders>
            <w:shd w:val="clear" w:color="auto" w:fill="auto"/>
            <w:tcMar>
              <w:top w:w="10" w:type="dxa"/>
              <w:left w:w="10" w:type="dxa"/>
              <w:right w:w="10" w:type="dxa"/>
            </w:tcMar>
            <w:vAlign w:val="top"/>
          </w:tcPr>
          <w:p>
            <w:pPr>
              <w:rPr>
                <w:rFonts w:hint="default" w:ascii="Arial" w:hAnsi="Arial" w:cs="Arial"/>
                <w:i w:val="0"/>
                <w:color w:val="000000"/>
                <w:sz w:val="22"/>
                <w:szCs w:val="22"/>
                <w:u w:val="none"/>
              </w:rPr>
            </w:pPr>
          </w:p>
        </w:tc>
        <w:tc>
          <w:tcPr>
            <w:tcW w:w="229" w:type="dxa"/>
            <w:tcBorders>
              <w:top w:val="single" w:color="000000" w:sz="4" w:space="0"/>
              <w:left w:val="nil"/>
              <w:bottom w:val="single" w:color="000000" w:sz="4" w:space="0"/>
              <w:right w:val="nil"/>
            </w:tcBorders>
            <w:shd w:val="clear" w:color="auto" w:fill="auto"/>
            <w:tcMar>
              <w:top w:w="10" w:type="dxa"/>
              <w:left w:w="10" w:type="dxa"/>
              <w:right w:w="10" w:type="dxa"/>
            </w:tcMar>
            <w:vAlign w:val="top"/>
          </w:tcPr>
          <w:p>
            <w:pPr>
              <w:rPr>
                <w:rFonts w:hint="default" w:ascii="Arial" w:hAnsi="Arial" w:cs="Arial"/>
                <w:i w:val="0"/>
                <w:color w:val="000000"/>
                <w:sz w:val="22"/>
                <w:szCs w:val="22"/>
                <w:u w:val="none"/>
              </w:rPr>
            </w:pPr>
          </w:p>
        </w:tc>
        <w:tc>
          <w:tcPr>
            <w:tcW w:w="229"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top"/>
          </w:tcPr>
          <w:p>
            <w:pP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时效指标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完成时间</w:t>
            </w: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年度内</w:t>
            </w: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年度内</w:t>
            </w:r>
          </w:p>
        </w:tc>
        <w:tc>
          <w:tcPr>
            <w:tcW w:w="1270"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w:t>
            </w:r>
          </w:p>
        </w:tc>
        <w:tc>
          <w:tcPr>
            <w:tcW w:w="952"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w:t>
            </w: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成本指标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项目使用资金额</w:t>
            </w: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不超过年初预算</w:t>
            </w: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不超过年初预算</w:t>
            </w:r>
          </w:p>
        </w:tc>
        <w:tc>
          <w:tcPr>
            <w:tcW w:w="1270"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w:t>
            </w:r>
          </w:p>
        </w:tc>
        <w:tc>
          <w:tcPr>
            <w:tcW w:w="952"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w:t>
            </w: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效益指标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(30分)</w:t>
            </w:r>
          </w:p>
        </w:tc>
        <w:tc>
          <w:tcPr>
            <w:tcW w:w="13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经济效</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益指标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垦区生产总值增长率</w:t>
            </w: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w:t>
            </w: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3.75%</w:t>
            </w:r>
          </w:p>
        </w:tc>
        <w:tc>
          <w:tcPr>
            <w:tcW w:w="1270"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52"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社会效</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益指标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农垦事业发展情况</w:t>
            </w: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维持稳定</w:t>
            </w: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维持稳定</w:t>
            </w:r>
          </w:p>
        </w:tc>
        <w:tc>
          <w:tcPr>
            <w:tcW w:w="1270"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52"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生态效</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益指标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270"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可持续影</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响指标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促进垦区发展</w:t>
            </w: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促进</w:t>
            </w: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促进</w:t>
            </w:r>
          </w:p>
        </w:tc>
        <w:tc>
          <w:tcPr>
            <w:tcW w:w="1270"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52"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满意度</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指标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(10分)</w:t>
            </w:r>
          </w:p>
        </w:tc>
        <w:tc>
          <w:tcPr>
            <w:tcW w:w="13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服务对象</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满意度指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农垦企业满意度</w:t>
            </w: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Style w:val="29"/>
                <w:lang w:val="en-US" w:eastAsia="zh-CN" w:bidi="ar"/>
              </w:rPr>
              <w:t>≧</w:t>
            </w:r>
            <w:r>
              <w:rPr>
                <w:rStyle w:val="30"/>
                <w:rFonts w:eastAsia="宋体"/>
                <w:lang w:val="en-US" w:eastAsia="zh-CN" w:bidi="ar"/>
              </w:rPr>
              <w:t>90%</w:t>
            </w:r>
          </w:p>
        </w:tc>
        <w:tc>
          <w:tcPr>
            <w:tcW w:w="1164" w:type="dxa"/>
            <w:gridSpan w:val="3"/>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90%</w:t>
            </w:r>
          </w:p>
        </w:tc>
        <w:tc>
          <w:tcPr>
            <w:tcW w:w="1270"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52"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7212" w:type="dxa"/>
            <w:gridSpan w:val="1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总分</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 xml:space="preserve">100 </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96.93</w:t>
            </w: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pPr>
              <w:jc w:val="left"/>
              <w:rPr>
                <w:rFonts w:hint="default" w:ascii="Arial" w:hAnsi="Arial" w:cs="Arial"/>
                <w:i w:val="0"/>
                <w:color w:val="000000"/>
                <w:sz w:val="22"/>
                <w:szCs w:val="22"/>
                <w:u w:val="none"/>
              </w:rPr>
            </w:pPr>
          </w:p>
        </w:tc>
      </w:tr>
    </w:tbl>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tbl>
      <w:tblPr>
        <w:tblStyle w:val="11"/>
        <w:tblW w:w="101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80"/>
        <w:gridCol w:w="723"/>
        <w:gridCol w:w="723"/>
        <w:gridCol w:w="1080"/>
        <w:gridCol w:w="48"/>
        <w:gridCol w:w="635"/>
        <w:gridCol w:w="423"/>
        <w:gridCol w:w="388"/>
        <w:gridCol w:w="388"/>
        <w:gridCol w:w="310"/>
        <w:gridCol w:w="388"/>
        <w:gridCol w:w="388"/>
        <w:gridCol w:w="388"/>
        <w:gridCol w:w="635"/>
        <w:gridCol w:w="635"/>
        <w:gridCol w:w="476"/>
        <w:gridCol w:w="476"/>
        <w:gridCol w:w="229"/>
        <w:gridCol w:w="229"/>
        <w:gridCol w:w="229"/>
        <w:gridCol w:w="2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附件4</w:t>
            </w:r>
          </w:p>
        </w:tc>
        <w:tc>
          <w:tcPr>
            <w:tcW w:w="723" w:type="dxa"/>
            <w:tcBorders>
              <w:top w:val="nil"/>
              <w:left w:val="nil"/>
              <w:bottom w:val="nil"/>
              <w:right w:val="nil"/>
            </w:tcBorders>
            <w:shd w:val="clear" w:color="auto" w:fill="auto"/>
            <w:tcMar>
              <w:top w:w="10" w:type="dxa"/>
              <w:left w:w="10" w:type="dxa"/>
              <w:right w:w="10" w:type="dxa"/>
            </w:tcMar>
            <w:vAlign w:val="center"/>
          </w:tcPr>
          <w:p>
            <w:pPr>
              <w:jc w:val="center"/>
              <w:rPr>
                <w:rFonts w:hint="eastAsia" w:ascii="Arial" w:hAnsi="Arial" w:cs="Arial"/>
                <w:i w:val="0"/>
                <w:color w:val="000000"/>
                <w:sz w:val="22"/>
                <w:szCs w:val="22"/>
                <w:u w:val="none"/>
              </w:rPr>
            </w:pPr>
          </w:p>
        </w:tc>
        <w:tc>
          <w:tcPr>
            <w:tcW w:w="723"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080"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48"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635"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423"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310"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635"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635"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476"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476"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229"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229"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229"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229"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0" w:hRule="atLeast"/>
        </w:trPr>
        <w:tc>
          <w:tcPr>
            <w:tcW w:w="10100" w:type="dxa"/>
            <w:gridSpan w:val="21"/>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b/>
                <w:i w:val="0"/>
                <w:color w:val="000000"/>
                <w:sz w:val="34"/>
                <w:szCs w:val="34"/>
                <w:u w:val="none"/>
              </w:rPr>
            </w:pPr>
            <w:r>
              <w:rPr>
                <w:rFonts w:ascii="宋体" w:hAnsi="宋体" w:eastAsia="宋体" w:cs="宋体"/>
                <w:b/>
                <w:i w:val="0"/>
                <w:color w:val="000000"/>
                <w:kern w:val="0"/>
                <w:sz w:val="34"/>
                <w:szCs w:val="3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100" w:type="dxa"/>
            <w:gridSpan w:val="21"/>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项目支</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出名称</w:t>
            </w:r>
          </w:p>
        </w:tc>
        <w:tc>
          <w:tcPr>
            <w:tcW w:w="9020" w:type="dxa"/>
            <w:gridSpan w:val="2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现代农业农村发展专项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主管部门</w:t>
            </w:r>
          </w:p>
        </w:tc>
        <w:tc>
          <w:tcPr>
            <w:tcW w:w="4718"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湖南省农业农村厅</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实施单位</w:t>
            </w:r>
          </w:p>
        </w:tc>
        <w:tc>
          <w:tcPr>
            <w:tcW w:w="3138"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湖南省农垦管理服务站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项目资金</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(万元)</w:t>
            </w:r>
          </w:p>
        </w:tc>
        <w:tc>
          <w:tcPr>
            <w:tcW w:w="2574"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年初</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预算数</w:t>
            </w:r>
          </w:p>
        </w:tc>
        <w:tc>
          <w:tcPr>
            <w:tcW w:w="108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全年</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预算数</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全年</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执行数</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分值</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执行率</w:t>
            </w: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2574"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年度资金总额</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120.76</w:t>
            </w:r>
          </w:p>
        </w:tc>
        <w:tc>
          <w:tcPr>
            <w:tcW w:w="108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122.06</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47.46</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 xml:space="preserve">10 </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38.88%</w:t>
            </w: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2574"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其中：当年财政拨款</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115</w:t>
            </w:r>
          </w:p>
        </w:tc>
        <w:tc>
          <w:tcPr>
            <w:tcW w:w="108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115</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41.7</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2574"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上年结转资金</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5.76</w:t>
            </w:r>
          </w:p>
        </w:tc>
        <w:tc>
          <w:tcPr>
            <w:tcW w:w="108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5.76</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5.76</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2574"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其他资金</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08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年度总体</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目 标</w:t>
            </w:r>
          </w:p>
        </w:tc>
        <w:tc>
          <w:tcPr>
            <w:tcW w:w="4718"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预期目标</w:t>
            </w:r>
          </w:p>
        </w:tc>
        <w:tc>
          <w:tcPr>
            <w:tcW w:w="4302"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4718"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构建完善现代农业产业体系、生产体系、农业经营体系。支持建立农业科研体系、农技推广体系、农产品质量安全体系、农作物疫病防控体系、农业执法体系建设，支持农业农村发展短板项目等，提升全省农业系统推进农业现代化的能力</w:t>
            </w:r>
          </w:p>
        </w:tc>
        <w:tc>
          <w:tcPr>
            <w:tcW w:w="4302"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完成了资金申请报告上报、项目新增项目县的评估工作、组织召开了项目协调等会议，稳步推进项目各环节工作，为项目的实施奠定了坚实基础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绩效指标</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一级指标</w:t>
            </w:r>
          </w:p>
        </w:tc>
        <w:tc>
          <w:tcPr>
            <w:tcW w:w="112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二级指标</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三级指标</w:t>
            </w:r>
          </w:p>
        </w:tc>
        <w:tc>
          <w:tcPr>
            <w:tcW w:w="108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年度</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指标值</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实际</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完成值</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分值</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得分</w:t>
            </w: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偏差原因</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分析及</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产出指标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(50分)</w:t>
            </w:r>
          </w:p>
        </w:tc>
        <w:tc>
          <w:tcPr>
            <w:tcW w:w="11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数量指标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支持农业农村发展补短板项目个数、支持健全现代农业发展体系个数</w:t>
            </w: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6</w:t>
            </w: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项目未实施</w:t>
            </w: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0</w:t>
            </w: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受相关政策层面因素影响，只完成了项目相关准备工作，项目暂未实施下一步将加强与省政府、发改、财政等部门的汇报、衔接、沟通，全力做好世行项目签字生效前准备工作，推动项目尽早尽快顺利实施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支持健全现代农业发展体系个数</w:t>
            </w:r>
          </w:p>
        </w:tc>
        <w:tc>
          <w:tcPr>
            <w:tcW w:w="108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6</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项目未实施</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0</w:t>
            </w: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质量指标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农业农村系统体系能力建设水平</w:t>
            </w: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提高</w:t>
            </w: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项目未实施</w:t>
            </w: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0</w:t>
            </w: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时效指标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资金下达时间</w:t>
            </w: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年度内</w:t>
            </w: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项目未实施</w:t>
            </w: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0</w:t>
            </w: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成本指标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温室气体减排量</w:t>
            </w: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减少</w:t>
            </w: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项目未实施</w:t>
            </w: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0</w:t>
            </w: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效益指标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(30分)</w:t>
            </w:r>
          </w:p>
        </w:tc>
        <w:tc>
          <w:tcPr>
            <w:tcW w:w="11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经济效</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益指标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社会效</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益指标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解决现代农业发展短板问题</w:t>
            </w: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解决</w:t>
            </w: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项目未实施</w:t>
            </w: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30</w:t>
            </w: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0</w:t>
            </w: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生态效</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益指标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可持续影</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响指标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满意度</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指标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(10分)</w:t>
            </w:r>
          </w:p>
        </w:tc>
        <w:tc>
          <w:tcPr>
            <w:tcW w:w="11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服务对象</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满意度指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标</w:t>
            </w:r>
          </w:p>
        </w:tc>
        <w:tc>
          <w:tcPr>
            <w:tcW w:w="1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服务对象满意度</w:t>
            </w: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r>
              <w:rPr>
                <w:rFonts w:hint="default" w:ascii="Arial" w:hAnsi="Arial" w:eastAsia="宋体" w:cs="Arial"/>
                <w:i w:val="0"/>
                <w:color w:val="000000"/>
                <w:kern w:val="0"/>
                <w:sz w:val="22"/>
                <w:szCs w:val="22"/>
                <w:u w:val="none"/>
                <w:lang w:val="en-US" w:eastAsia="zh-CN" w:bidi="ar"/>
              </w:rPr>
              <w:t>90%</w:t>
            </w: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项目未实施</w:t>
            </w: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0</w:t>
            </w: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1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6962" w:type="dxa"/>
            <w:gridSpan w:val="1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总分</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 xml:space="preserve">100 </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3.89</w:t>
            </w: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bl>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tbl>
      <w:tblPr>
        <w:tblStyle w:val="11"/>
        <w:tblW w:w="10811" w:type="dxa"/>
        <w:tblInd w:w="-3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80"/>
        <w:gridCol w:w="723"/>
        <w:gridCol w:w="723"/>
        <w:gridCol w:w="1080"/>
        <w:gridCol w:w="461"/>
        <w:gridCol w:w="635"/>
        <w:gridCol w:w="721"/>
        <w:gridCol w:w="388"/>
        <w:gridCol w:w="388"/>
        <w:gridCol w:w="310"/>
        <w:gridCol w:w="388"/>
        <w:gridCol w:w="388"/>
        <w:gridCol w:w="388"/>
        <w:gridCol w:w="635"/>
        <w:gridCol w:w="635"/>
        <w:gridCol w:w="476"/>
        <w:gridCol w:w="476"/>
        <w:gridCol w:w="229"/>
        <w:gridCol w:w="229"/>
        <w:gridCol w:w="229"/>
        <w:gridCol w:w="2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附件5</w:t>
            </w:r>
          </w:p>
        </w:tc>
        <w:tc>
          <w:tcPr>
            <w:tcW w:w="723" w:type="dxa"/>
            <w:tcBorders>
              <w:top w:val="nil"/>
              <w:left w:val="nil"/>
              <w:bottom w:val="nil"/>
              <w:right w:val="nil"/>
            </w:tcBorders>
            <w:shd w:val="clear" w:color="auto" w:fill="auto"/>
            <w:tcMar>
              <w:top w:w="10" w:type="dxa"/>
              <w:left w:w="10" w:type="dxa"/>
              <w:right w:w="10" w:type="dxa"/>
            </w:tcMar>
            <w:vAlign w:val="center"/>
          </w:tcPr>
          <w:p>
            <w:pPr>
              <w:jc w:val="center"/>
              <w:rPr>
                <w:rFonts w:hint="eastAsia" w:ascii="Arial" w:hAnsi="Arial" w:cs="Arial"/>
                <w:i w:val="0"/>
                <w:color w:val="000000"/>
                <w:sz w:val="22"/>
                <w:szCs w:val="22"/>
                <w:u w:val="none"/>
              </w:rPr>
            </w:pPr>
          </w:p>
        </w:tc>
        <w:tc>
          <w:tcPr>
            <w:tcW w:w="723"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080"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461"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635"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721"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310"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388"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635"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635"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476"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476"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229"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229"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229"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229" w:type="dxa"/>
            <w:tcBorders>
              <w:top w:val="nil"/>
              <w:left w:val="nil"/>
              <w:bottom w:val="nil"/>
              <w:right w:val="nil"/>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0" w:hRule="atLeast"/>
        </w:trPr>
        <w:tc>
          <w:tcPr>
            <w:tcW w:w="10811" w:type="dxa"/>
            <w:gridSpan w:val="21"/>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b/>
                <w:i w:val="0"/>
                <w:color w:val="000000"/>
                <w:sz w:val="34"/>
                <w:szCs w:val="34"/>
                <w:u w:val="none"/>
              </w:rPr>
            </w:pPr>
            <w:r>
              <w:rPr>
                <w:rFonts w:ascii="宋体" w:hAnsi="宋体" w:eastAsia="宋体" w:cs="宋体"/>
                <w:b/>
                <w:i w:val="0"/>
                <w:color w:val="000000"/>
                <w:kern w:val="0"/>
                <w:sz w:val="34"/>
                <w:szCs w:val="3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11" w:type="dxa"/>
            <w:gridSpan w:val="21"/>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仿宋" w:hAnsi="仿宋" w:eastAsia="仿宋" w:cs="仿宋"/>
                <w:i w:val="0"/>
                <w:color w:val="000000"/>
                <w:sz w:val="22"/>
                <w:szCs w:val="22"/>
                <w:u w:val="none"/>
              </w:rPr>
            </w:pPr>
            <w:r>
              <w:rPr>
                <w:rFonts w:hint="eastAsia" w:ascii="仿宋" w:hAnsi="仿宋" w:eastAsia="仿宋" w:cs="仿宋"/>
                <w:i w:val="0"/>
                <w:color w:val="000000"/>
                <w:kern w:val="0"/>
                <w:sz w:val="22"/>
                <w:szCs w:val="22"/>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项目支</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出名称</w:t>
            </w:r>
          </w:p>
        </w:tc>
        <w:tc>
          <w:tcPr>
            <w:tcW w:w="9731" w:type="dxa"/>
            <w:gridSpan w:val="2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其他事业发展资金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主管部门</w:t>
            </w:r>
          </w:p>
        </w:tc>
        <w:tc>
          <w:tcPr>
            <w:tcW w:w="5429"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湖南省农业农村厅</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实施单位</w:t>
            </w:r>
          </w:p>
        </w:tc>
        <w:tc>
          <w:tcPr>
            <w:tcW w:w="3138"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湖南省农垦管理服务站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项目资金</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(万元)</w:t>
            </w:r>
          </w:p>
        </w:tc>
        <w:tc>
          <w:tcPr>
            <w:tcW w:w="2987"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35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年初</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预算数</w:t>
            </w:r>
          </w:p>
        </w:tc>
        <w:tc>
          <w:tcPr>
            <w:tcW w:w="108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全年</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预算数</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全年</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执行数</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分值</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执行率</w:t>
            </w: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2987"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年度资金总额</w:t>
            </w:r>
          </w:p>
        </w:tc>
        <w:tc>
          <w:tcPr>
            <w:tcW w:w="135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33.91</w:t>
            </w:r>
          </w:p>
        </w:tc>
        <w:tc>
          <w:tcPr>
            <w:tcW w:w="108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53.91</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13.72</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 xml:space="preserve">10 </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25.45%</w:t>
            </w: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2.54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2987"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其中：当年财政拨款</w:t>
            </w:r>
          </w:p>
        </w:tc>
        <w:tc>
          <w:tcPr>
            <w:tcW w:w="135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33.5</w:t>
            </w:r>
          </w:p>
        </w:tc>
        <w:tc>
          <w:tcPr>
            <w:tcW w:w="108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53.5</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13.31</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2987"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上年结转资金</w:t>
            </w:r>
          </w:p>
        </w:tc>
        <w:tc>
          <w:tcPr>
            <w:tcW w:w="135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0.41</w:t>
            </w:r>
          </w:p>
        </w:tc>
        <w:tc>
          <w:tcPr>
            <w:tcW w:w="108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0.41</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0.41</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2987"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其他资金</w:t>
            </w:r>
          </w:p>
        </w:tc>
        <w:tc>
          <w:tcPr>
            <w:tcW w:w="135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08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年度总体</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目 标</w:t>
            </w:r>
          </w:p>
        </w:tc>
        <w:tc>
          <w:tcPr>
            <w:tcW w:w="5429"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预期目标</w:t>
            </w:r>
          </w:p>
        </w:tc>
        <w:tc>
          <w:tcPr>
            <w:tcW w:w="4302"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5429"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进行农垦相关知识的培训，开展农业产业化发展的宣传，提高垦区职工农业发展的专业知识技能</w:t>
            </w:r>
          </w:p>
        </w:tc>
        <w:tc>
          <w:tcPr>
            <w:tcW w:w="4302"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全站干部参加农垦相关知识培训共8次，参训人员共10人，通过欠发达农场巩固提升项目的实施、亚行项目的财务核算、检查验收提高了垦区职工农业发展的专业知识技能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6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绩效指标</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一级指标</w:t>
            </w:r>
          </w:p>
        </w:tc>
        <w:tc>
          <w:tcPr>
            <w:tcW w:w="154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二级指标</w:t>
            </w:r>
          </w:p>
        </w:tc>
        <w:tc>
          <w:tcPr>
            <w:tcW w:w="135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三级指标</w:t>
            </w:r>
          </w:p>
        </w:tc>
        <w:tc>
          <w:tcPr>
            <w:tcW w:w="108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年度</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指标值</w:t>
            </w:r>
          </w:p>
        </w:tc>
        <w:tc>
          <w:tcPr>
            <w:tcW w:w="116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实际</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完成值</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分值</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得分</w:t>
            </w: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偏差原因</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分析及</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产出指标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(50分)</w:t>
            </w:r>
          </w:p>
        </w:tc>
        <w:tc>
          <w:tcPr>
            <w:tcW w:w="1541" w:type="dxa"/>
            <w:gridSpan w:val="2"/>
            <w:vMerge w:val="restart"/>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数量指标</w:t>
            </w:r>
          </w:p>
        </w:tc>
        <w:tc>
          <w:tcPr>
            <w:tcW w:w="13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营业总收入</w:t>
            </w: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continue"/>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质量指标</w:t>
            </w:r>
          </w:p>
        </w:tc>
        <w:tc>
          <w:tcPr>
            <w:tcW w:w="13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净资产收益率</w:t>
            </w: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时效指标</w:t>
            </w:r>
          </w:p>
        </w:tc>
        <w:tc>
          <w:tcPr>
            <w:tcW w:w="13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资产负债率</w:t>
            </w: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成本指标</w:t>
            </w:r>
          </w:p>
        </w:tc>
        <w:tc>
          <w:tcPr>
            <w:tcW w:w="13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绿色低碳发展</w:t>
            </w: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促进</w:t>
            </w: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促进</w:t>
            </w: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效益指标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(30分)</w:t>
            </w:r>
          </w:p>
        </w:tc>
        <w:tc>
          <w:tcPr>
            <w:tcW w:w="15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经济效益指标</w:t>
            </w:r>
          </w:p>
        </w:tc>
        <w:tc>
          <w:tcPr>
            <w:tcW w:w="13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居民可支配收入</w:t>
            </w: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≧1.88万元</w:t>
            </w: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1.9万元</w:t>
            </w: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社会效益指标</w:t>
            </w:r>
          </w:p>
        </w:tc>
        <w:tc>
          <w:tcPr>
            <w:tcW w:w="13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品牌化建设</w:t>
            </w: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推动</w:t>
            </w: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推动</w:t>
            </w: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15</w:t>
            </w: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生态效益指标</w:t>
            </w:r>
          </w:p>
        </w:tc>
        <w:tc>
          <w:tcPr>
            <w:tcW w:w="13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可持续影响指标</w:t>
            </w:r>
          </w:p>
        </w:tc>
        <w:tc>
          <w:tcPr>
            <w:tcW w:w="13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满意度指标</w:t>
            </w:r>
            <w:r>
              <w:rPr>
                <w:rFonts w:ascii="宋体" w:hAnsi="宋体" w:eastAsia="宋体" w:cs="宋体"/>
                <w:i w:val="0"/>
                <w:color w:val="000000"/>
                <w:kern w:val="0"/>
                <w:sz w:val="20"/>
                <w:szCs w:val="20"/>
                <w:u w:val="none"/>
                <w:lang w:val="en-US" w:eastAsia="zh-CN" w:bidi="ar"/>
              </w:rPr>
              <w:br w:type="textWrapping"/>
            </w:r>
            <w:r>
              <w:rPr>
                <w:rFonts w:ascii="宋体" w:hAnsi="宋体" w:eastAsia="宋体" w:cs="宋体"/>
                <w:i w:val="0"/>
                <w:color w:val="000000"/>
                <w:kern w:val="0"/>
                <w:sz w:val="20"/>
                <w:szCs w:val="20"/>
                <w:u w:val="none"/>
                <w:lang w:val="en-US" w:eastAsia="zh-CN" w:bidi="ar"/>
              </w:rPr>
              <w:t>(10分)</w:t>
            </w:r>
          </w:p>
        </w:tc>
        <w:tc>
          <w:tcPr>
            <w:tcW w:w="15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服务对象满意度指标</w:t>
            </w:r>
          </w:p>
        </w:tc>
        <w:tc>
          <w:tcPr>
            <w:tcW w:w="13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农垦企业满意度</w:t>
            </w:r>
          </w:p>
        </w:tc>
        <w:tc>
          <w:tcPr>
            <w:tcW w:w="10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r>
              <w:rPr>
                <w:rFonts w:hint="default" w:ascii="Arial" w:hAnsi="Arial" w:eastAsia="宋体" w:cs="Arial"/>
                <w:i w:val="0"/>
                <w:color w:val="000000"/>
                <w:kern w:val="0"/>
                <w:sz w:val="22"/>
                <w:szCs w:val="22"/>
                <w:u w:val="none"/>
                <w:lang w:val="en-US" w:eastAsia="zh-CN" w:bidi="ar"/>
              </w:rPr>
              <w:t>90%</w:t>
            </w:r>
          </w:p>
        </w:tc>
        <w:tc>
          <w:tcPr>
            <w:tcW w:w="11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90%</w:t>
            </w: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w:t>
            </w:r>
          </w:p>
        </w:tc>
        <w:tc>
          <w:tcPr>
            <w:tcW w:w="91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textDirection w:val="tbRlV"/>
            <w:vAlign w:val="center"/>
          </w:tcPr>
          <w:p>
            <w:pPr>
              <w:jc w:val="center"/>
              <w:rPr>
                <w:rFonts w:hint="default" w:ascii="Arial" w:hAnsi="Arial" w:cs="Arial"/>
                <w:i w:val="0"/>
                <w:color w:val="000000"/>
                <w:sz w:val="20"/>
                <w:szCs w:val="20"/>
                <w:u w:val="none"/>
              </w:rPr>
            </w:pPr>
          </w:p>
        </w:tc>
        <w:tc>
          <w:tcPr>
            <w:tcW w:w="1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5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0"/>
                <w:szCs w:val="20"/>
                <w:u w:val="none"/>
              </w:rPr>
            </w:pPr>
          </w:p>
        </w:tc>
        <w:tc>
          <w:tcPr>
            <w:tcW w:w="13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c>
          <w:tcPr>
            <w:tcW w:w="91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7673" w:type="dxa"/>
            <w:gridSpan w:val="1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ascii="宋体" w:hAnsi="宋体" w:eastAsia="宋体" w:cs="宋体"/>
                <w:i w:val="0"/>
                <w:color w:val="000000"/>
                <w:kern w:val="0"/>
                <w:sz w:val="20"/>
                <w:szCs w:val="20"/>
                <w:u w:val="none"/>
                <w:lang w:val="en-US" w:eastAsia="zh-CN" w:bidi="ar"/>
              </w:rPr>
              <w:t>总分</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 xml:space="preserve">100 </w:t>
            </w:r>
          </w:p>
        </w:tc>
        <w:tc>
          <w:tcPr>
            <w:tcW w:w="95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91.54</w:t>
            </w:r>
          </w:p>
        </w:tc>
        <w:tc>
          <w:tcPr>
            <w:tcW w:w="916"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Arial" w:hAnsi="Arial" w:cs="Arial"/>
                <w:i w:val="0"/>
                <w:color w:val="000000"/>
                <w:sz w:val="22"/>
                <w:szCs w:val="22"/>
                <w:u w:val="none"/>
              </w:rPr>
            </w:pPr>
          </w:p>
        </w:tc>
      </w:tr>
    </w:tbl>
    <w:p>
      <w:pPr>
        <w:pStyle w:val="2"/>
        <w:rPr>
          <w:rFonts w:ascii="Times New Roman" w:hAnsi="Times New Roman" w:cs="Times New Roman"/>
          <w:color w:val="000000"/>
          <w:kern w:val="0"/>
          <w:sz w:val="32"/>
          <w:szCs w:val="32"/>
        </w:rPr>
      </w:pPr>
    </w:p>
    <w:sectPr>
      <w:pgSz w:w="11906" w:h="16838"/>
      <w:pgMar w:top="1417" w:right="1588" w:bottom="1417" w:left="96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楷体">
    <w:panose1 w:val="02010609060101010101"/>
    <w:charset w:val="86"/>
    <w:family w:val="auto"/>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9D9A38"/>
    <w:multiLevelType w:val="singleLevel"/>
    <w:tmpl w:val="A09D9A38"/>
    <w:lvl w:ilvl="0" w:tentative="0">
      <w:start w:val="2"/>
      <w:numFmt w:val="chineseCounting"/>
      <w:suff w:val="nothing"/>
      <w:lvlText w:val="（%1）"/>
      <w:lvlJc w:val="left"/>
      <w:rPr>
        <w:rFonts w:hint="eastAsia"/>
      </w:rPr>
    </w:lvl>
  </w:abstractNum>
  <w:abstractNum w:abstractNumId="1">
    <w:nsid w:val="5D01627D"/>
    <w:multiLevelType w:val="singleLevel"/>
    <w:tmpl w:val="5D01627D"/>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947905"/>
    <w:rsid w:val="072C74B4"/>
    <w:rsid w:val="07C82852"/>
    <w:rsid w:val="0F9613C1"/>
    <w:rsid w:val="19B718CE"/>
    <w:rsid w:val="1BF568DB"/>
    <w:rsid w:val="1BF91E31"/>
    <w:rsid w:val="1C9CB00F"/>
    <w:rsid w:val="1D5C059F"/>
    <w:rsid w:val="1D97DEFF"/>
    <w:rsid w:val="1DC76378"/>
    <w:rsid w:val="1DFF72E5"/>
    <w:rsid w:val="1EFC6F07"/>
    <w:rsid w:val="1F5E3FEB"/>
    <w:rsid w:val="20FE776B"/>
    <w:rsid w:val="238A714F"/>
    <w:rsid w:val="277231B0"/>
    <w:rsid w:val="27915A0D"/>
    <w:rsid w:val="2FDF85B8"/>
    <w:rsid w:val="2FFFEE04"/>
    <w:rsid w:val="340C4F91"/>
    <w:rsid w:val="34DF85B0"/>
    <w:rsid w:val="3518139C"/>
    <w:rsid w:val="3B602C26"/>
    <w:rsid w:val="3B8F36BC"/>
    <w:rsid w:val="3F1E4438"/>
    <w:rsid w:val="42C37C1F"/>
    <w:rsid w:val="491FF225"/>
    <w:rsid w:val="4FFD214C"/>
    <w:rsid w:val="5777D4F5"/>
    <w:rsid w:val="59DD8326"/>
    <w:rsid w:val="5CCD3038"/>
    <w:rsid w:val="5DBF2FB9"/>
    <w:rsid w:val="5DEF592A"/>
    <w:rsid w:val="5FC6BB1E"/>
    <w:rsid w:val="5FF720F1"/>
    <w:rsid w:val="67FF5C0B"/>
    <w:rsid w:val="6EED6EC2"/>
    <w:rsid w:val="6EFC0924"/>
    <w:rsid w:val="6FB74722"/>
    <w:rsid w:val="6FEF8B7E"/>
    <w:rsid w:val="707B3A6F"/>
    <w:rsid w:val="71A6591B"/>
    <w:rsid w:val="737D59BA"/>
    <w:rsid w:val="73BC42FB"/>
    <w:rsid w:val="74952B7A"/>
    <w:rsid w:val="75BF414F"/>
    <w:rsid w:val="76B782A4"/>
    <w:rsid w:val="77C37683"/>
    <w:rsid w:val="79D19834"/>
    <w:rsid w:val="79FF515B"/>
    <w:rsid w:val="7DE95F71"/>
    <w:rsid w:val="7E9E1962"/>
    <w:rsid w:val="7E9F11B4"/>
    <w:rsid w:val="7F37EC1E"/>
    <w:rsid w:val="7F7DCD9D"/>
    <w:rsid w:val="7F970A6F"/>
    <w:rsid w:val="7FC1FFF3"/>
    <w:rsid w:val="7FC69637"/>
    <w:rsid w:val="7FDF8620"/>
    <w:rsid w:val="7FE8C8F7"/>
    <w:rsid w:val="7FFB242F"/>
    <w:rsid w:val="7FFDB408"/>
    <w:rsid w:val="7FFE4EEB"/>
    <w:rsid w:val="7FFF119A"/>
    <w:rsid w:val="95FB2B98"/>
    <w:rsid w:val="9A639BC2"/>
    <w:rsid w:val="9FF7D786"/>
    <w:rsid w:val="ABBFB23D"/>
    <w:rsid w:val="BFFF382B"/>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outlineLvl w:val="1"/>
    </w:pPr>
    <w:rPr>
      <w:rFonts w:ascii="Times New Roman" w:hAnsi="Times New Roman" w:eastAsia="黑体"/>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unhideWhenUsed/>
    <w:qFormat/>
    <w:uiPriority w:val="99"/>
    <w:pPr>
      <w:spacing w:before="100" w:beforeAutospacing="1" w:after="120" w:line="480" w:lineRule="auto"/>
      <w:ind w:left="200" w:leftChars="200"/>
    </w:pPr>
  </w:style>
  <w:style w:type="paragraph" w:styleId="4">
    <w:name w:val="Normal Indent"/>
    <w:basedOn w:val="1"/>
    <w:qFormat/>
    <w:uiPriority w:val="0"/>
    <w:pPr>
      <w:ind w:firstLine="420" w:firstLineChars="200"/>
    </w:pPr>
  </w:style>
  <w:style w:type="paragraph" w:styleId="5">
    <w:name w:val="Body Text Indent"/>
    <w:basedOn w:val="1"/>
    <w:next w:val="6"/>
    <w:unhideWhenUsed/>
    <w:qFormat/>
    <w:uiPriority w:val="99"/>
    <w:pPr>
      <w:widowControl/>
      <w:spacing w:after="120"/>
      <w:ind w:left="420" w:leftChars="200"/>
      <w:jc w:val="left"/>
    </w:pPr>
    <w:rPr>
      <w:rFonts w:ascii="宋体" w:hAnsi="宋体" w:eastAsia="宋体" w:cs="宋体"/>
      <w:kern w:val="0"/>
      <w:sz w:val="24"/>
    </w:rPr>
  </w:style>
  <w:style w:type="paragraph" w:styleId="6">
    <w:name w:val="Body Text First Indent 2"/>
    <w:basedOn w:val="5"/>
    <w:next w:val="1"/>
    <w:unhideWhenUsed/>
    <w:qFormat/>
    <w:uiPriority w:val="99"/>
    <w:pPr>
      <w:ind w:firstLine="420" w:firstLineChars="200"/>
    </w:pPr>
  </w:style>
  <w:style w:type="paragraph" w:styleId="7">
    <w:name w:val="Balloon Text"/>
    <w:basedOn w:val="1"/>
    <w:link w:val="17"/>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6"/>
    <w:semiHidden/>
    <w:qFormat/>
    <w:uiPriority w:val="0"/>
    <w:pPr>
      <w:snapToGrid w:val="0"/>
      <w:jc w:val="left"/>
    </w:pPr>
    <w:rPr>
      <w:sz w:val="18"/>
      <w:szCs w:val="18"/>
    </w:rPr>
  </w:style>
  <w:style w:type="character" w:customStyle="1" w:styleId="13">
    <w:name w:val="页眉 Char"/>
    <w:basedOn w:val="12"/>
    <w:link w:val="9"/>
    <w:qFormat/>
    <w:uiPriority w:val="99"/>
    <w:rPr>
      <w:sz w:val="18"/>
      <w:szCs w:val="18"/>
    </w:rPr>
  </w:style>
  <w:style w:type="character" w:customStyle="1" w:styleId="14">
    <w:name w:val="页脚 Char"/>
    <w:basedOn w:val="12"/>
    <w:link w:val="8"/>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7"/>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 w:type="paragraph" w:customStyle="1" w:styleId="21">
    <w:name w:val="列出段落1"/>
    <w:basedOn w:val="1"/>
    <w:qFormat/>
    <w:uiPriority w:val="0"/>
    <w:pPr>
      <w:adjustRightInd/>
      <w:snapToGrid/>
      <w:spacing w:line="360" w:lineRule="auto"/>
      <w:ind w:firstLine="420"/>
    </w:pPr>
    <w:rPr>
      <w:rFonts w:ascii="Calibri" w:hAnsi="Calibri" w:eastAsia="宋体"/>
      <w:sz w:val="24"/>
    </w:rPr>
  </w:style>
  <w:style w:type="character" w:customStyle="1" w:styleId="22">
    <w:name w:val="15"/>
    <w:basedOn w:val="12"/>
    <w:qFormat/>
    <w:uiPriority w:val="0"/>
    <w:rPr>
      <w:rFonts w:hint="default" w:ascii="Times New Roman" w:hAnsi="Times New Roman" w:eastAsia="宋体" w:cs="Times New Roman"/>
      <w:sz w:val="20"/>
      <w:szCs w:val="20"/>
    </w:rPr>
  </w:style>
  <w:style w:type="character" w:customStyle="1" w:styleId="23">
    <w:name w:val="font71"/>
    <w:basedOn w:val="12"/>
    <w:qFormat/>
    <w:uiPriority w:val="0"/>
    <w:rPr>
      <w:rFonts w:ascii="黑体" w:hAnsi="宋体" w:eastAsia="黑体" w:cs="黑体"/>
      <w:b/>
      <w:color w:val="000000"/>
      <w:sz w:val="30"/>
      <w:szCs w:val="30"/>
      <w:u w:val="none"/>
    </w:rPr>
  </w:style>
  <w:style w:type="character" w:customStyle="1" w:styleId="24">
    <w:name w:val="font101"/>
    <w:basedOn w:val="12"/>
    <w:qFormat/>
    <w:uiPriority w:val="0"/>
    <w:rPr>
      <w:rFonts w:ascii="宋体" w:hAnsi="宋体" w:eastAsia="宋体" w:cs="宋体"/>
      <w:b/>
      <w:color w:val="000000"/>
      <w:sz w:val="34"/>
      <w:szCs w:val="34"/>
      <w:u w:val="none"/>
    </w:rPr>
  </w:style>
  <w:style w:type="character" w:customStyle="1" w:styleId="25">
    <w:name w:val="font41"/>
    <w:basedOn w:val="12"/>
    <w:qFormat/>
    <w:uiPriority w:val="0"/>
    <w:rPr>
      <w:rFonts w:ascii="宋体" w:hAnsi="宋体" w:eastAsia="宋体" w:cs="宋体"/>
      <w:color w:val="000000"/>
      <w:sz w:val="20"/>
      <w:szCs w:val="20"/>
      <w:u w:val="none"/>
    </w:rPr>
  </w:style>
  <w:style w:type="character" w:customStyle="1" w:styleId="26">
    <w:name w:val="font91"/>
    <w:basedOn w:val="12"/>
    <w:qFormat/>
    <w:uiPriority w:val="0"/>
    <w:rPr>
      <w:rFonts w:hint="default" w:ascii="Arial" w:hAnsi="Arial" w:cs="Arial"/>
      <w:color w:val="000000"/>
      <w:sz w:val="12"/>
      <w:szCs w:val="12"/>
      <w:u w:val="none"/>
    </w:rPr>
  </w:style>
  <w:style w:type="character" w:customStyle="1" w:styleId="27">
    <w:name w:val="font81"/>
    <w:basedOn w:val="12"/>
    <w:qFormat/>
    <w:uiPriority w:val="0"/>
    <w:rPr>
      <w:rFonts w:hint="eastAsia" w:ascii="仿宋" w:hAnsi="仿宋" w:eastAsia="仿宋" w:cs="仿宋"/>
      <w:color w:val="000000"/>
      <w:sz w:val="20"/>
      <w:szCs w:val="20"/>
      <w:u w:val="none"/>
    </w:rPr>
  </w:style>
  <w:style w:type="character" w:customStyle="1" w:styleId="28">
    <w:name w:val="font31"/>
    <w:basedOn w:val="12"/>
    <w:qFormat/>
    <w:uiPriority w:val="0"/>
    <w:rPr>
      <w:rFonts w:hint="default" w:ascii="Arial" w:hAnsi="Arial" w:cs="Arial"/>
      <w:color w:val="000000"/>
      <w:sz w:val="20"/>
      <w:szCs w:val="20"/>
      <w:u w:val="none"/>
    </w:rPr>
  </w:style>
  <w:style w:type="character" w:customStyle="1" w:styleId="29">
    <w:name w:val="font51"/>
    <w:basedOn w:val="12"/>
    <w:qFormat/>
    <w:uiPriority w:val="0"/>
    <w:rPr>
      <w:rFonts w:hint="eastAsia" w:ascii="宋体" w:hAnsi="宋体" w:eastAsia="宋体" w:cs="宋体"/>
      <w:color w:val="000000"/>
      <w:sz w:val="22"/>
      <w:szCs w:val="22"/>
      <w:u w:val="none"/>
    </w:rPr>
  </w:style>
  <w:style w:type="character" w:customStyle="1" w:styleId="30">
    <w:name w:val="font61"/>
    <w:basedOn w:val="12"/>
    <w:qFormat/>
    <w:uiPriority w:val="0"/>
    <w:rPr>
      <w:rFonts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1463</Words>
  <Characters>8342</Characters>
  <Lines>69</Lines>
  <Paragraphs>19</Paragraphs>
  <TotalTime>2</TotalTime>
  <ScaleCrop>false</ScaleCrop>
  <LinksUpToDate>false</LinksUpToDate>
  <CharactersWithSpaces>9786</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2025-08-19T18:17:00Z</dcterms:created>
  <dc:creator>李航 null</dc:creator>
  <cp:lastModifiedBy>greatwall</cp:lastModifiedBy>
  <cp:lastPrinted>2024-08-10T02:20:00Z</cp:lastPrinted>
  <dcterms:modified xsi:type="dcterms:W3CDTF">2025-09-17T11:44:34Z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BB7B6AA21D207914D6FDA268992A22D6</vt:lpwstr>
  </property>
</Properties>
</file>