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hd w:val="clear"/>
        <w:jc w:val="center"/>
        <w:rPr>
          <w:rFonts w:ascii="Times New Roman" w:hAnsi="Times New Roman" w:cs="Times New Roman"/>
          <w:sz w:val="56"/>
          <w:szCs w:val="56"/>
          <w:highlight w:val="none"/>
        </w:rPr>
      </w:pPr>
    </w:p>
    <w:p>
      <w:pPr>
        <w:pStyle w:val="15"/>
        <w:shd w:val="clear"/>
        <w:jc w:val="center"/>
        <w:rPr>
          <w:rFonts w:ascii="Times New Roman" w:hAnsi="Times New Roman" w:cs="Times New Roman"/>
          <w:sz w:val="84"/>
          <w:szCs w:val="84"/>
          <w:highlight w:val="none"/>
        </w:rPr>
      </w:pPr>
    </w:p>
    <w:p>
      <w:pPr>
        <w:pStyle w:val="15"/>
        <w:shd w:val="clear"/>
        <w:jc w:val="center"/>
        <w:rPr>
          <w:rFonts w:ascii="Times New Roman" w:hAnsi="Times New Roman" w:cs="Times New Roman"/>
          <w:sz w:val="84"/>
          <w:szCs w:val="84"/>
          <w:highlight w:val="none"/>
        </w:rPr>
      </w:pPr>
    </w:p>
    <w:p>
      <w:pPr>
        <w:pStyle w:val="15"/>
        <w:shd w:val="clear"/>
        <w:jc w:val="center"/>
        <w:rPr>
          <w:rFonts w:ascii="Times New Roman" w:hAnsi="Times New Roman" w:eastAsia="方正小标宋简体" w:cs="Times New Roman"/>
          <w:sz w:val="72"/>
          <w:szCs w:val="72"/>
          <w:highlight w:val="none"/>
        </w:rPr>
      </w:pPr>
      <w:r>
        <w:rPr>
          <w:rFonts w:ascii="Times New Roman" w:hAnsi="Times New Roman" w:eastAsia="方正小标宋简体" w:cs="Times New Roman"/>
          <w:sz w:val="72"/>
          <w:szCs w:val="72"/>
          <w:highlight w:val="none"/>
        </w:rPr>
        <w:t>2024年度</w:t>
      </w:r>
    </w:p>
    <w:p>
      <w:pPr>
        <w:pStyle w:val="15"/>
        <w:shd w:val="clear"/>
        <w:jc w:val="center"/>
        <w:rPr>
          <w:rFonts w:ascii="Times New Roman" w:hAnsi="Times New Roman" w:eastAsia="方正小标宋简体" w:cs="Times New Roman"/>
          <w:sz w:val="72"/>
          <w:szCs w:val="72"/>
          <w:highlight w:val="none"/>
        </w:rPr>
      </w:pPr>
      <w:r>
        <w:rPr>
          <w:rFonts w:hint="eastAsia" w:ascii="Times New Roman" w:hAnsi="Times New Roman" w:eastAsia="方正小标宋简体" w:cs="Times New Roman"/>
          <w:sz w:val="72"/>
          <w:szCs w:val="72"/>
          <w:highlight w:val="none"/>
          <w:lang w:val="en-US" w:eastAsia="zh-CN"/>
        </w:rPr>
        <w:t>湖南省兽药饲料监察所</w:t>
      </w:r>
      <w:r>
        <w:rPr>
          <w:rFonts w:ascii="Times New Roman" w:hAnsi="Times New Roman" w:eastAsia="方正小标宋简体" w:cs="Times New Roman"/>
          <w:sz w:val="72"/>
          <w:szCs w:val="72"/>
          <w:highlight w:val="none"/>
        </w:rPr>
        <w:t>决算</w:t>
      </w:r>
    </w:p>
    <w:p>
      <w:pPr>
        <w:pStyle w:val="15"/>
        <w:shd w:val="clear"/>
        <w:jc w:val="center"/>
        <w:rPr>
          <w:rFonts w:ascii="Times New Roman" w:hAnsi="Times New Roman" w:eastAsia="方正小标宋_GBK" w:cs="Times New Roman"/>
          <w:sz w:val="56"/>
          <w:szCs w:val="56"/>
          <w:highlight w:val="none"/>
        </w:rPr>
      </w:pPr>
    </w:p>
    <w:p>
      <w:pPr>
        <w:pStyle w:val="15"/>
        <w:shd w:val="clear"/>
        <w:jc w:val="center"/>
        <w:rPr>
          <w:rFonts w:ascii="Times New Roman" w:hAnsi="Times New Roman" w:cs="Times New Roman"/>
          <w:sz w:val="56"/>
          <w:szCs w:val="56"/>
          <w:highlight w:val="none"/>
        </w:rPr>
      </w:pPr>
    </w:p>
    <w:p>
      <w:pPr>
        <w:pStyle w:val="15"/>
        <w:shd w:val="clear"/>
        <w:rPr>
          <w:rFonts w:ascii="Times New Roman" w:hAnsi="Times New Roman" w:cs="Times New Roman"/>
          <w:sz w:val="56"/>
          <w:szCs w:val="56"/>
          <w:highlight w:val="none"/>
        </w:rPr>
      </w:pPr>
    </w:p>
    <w:p>
      <w:pPr>
        <w:pStyle w:val="15"/>
        <w:shd w:val="clear"/>
        <w:jc w:val="center"/>
        <w:rPr>
          <w:rFonts w:ascii="Times New Roman" w:hAnsi="Times New Roman" w:cs="Times New Roman"/>
          <w:sz w:val="32"/>
          <w:szCs w:val="32"/>
          <w:highlight w:val="none"/>
        </w:rPr>
      </w:pPr>
    </w:p>
    <w:p>
      <w:pPr>
        <w:pStyle w:val="15"/>
        <w:shd w:val="clear"/>
        <w:jc w:val="center"/>
        <w:rPr>
          <w:rFonts w:ascii="Times New Roman" w:hAnsi="Times New Roman" w:cs="Times New Roman"/>
          <w:sz w:val="32"/>
          <w:szCs w:val="32"/>
          <w:highlight w:val="none"/>
        </w:rPr>
      </w:pPr>
    </w:p>
    <w:p>
      <w:pPr>
        <w:pStyle w:val="15"/>
        <w:shd w:val="clear"/>
        <w:jc w:val="center"/>
        <w:rPr>
          <w:rFonts w:ascii="Times New Roman" w:hAnsi="Times New Roman" w:cs="Times New Roman"/>
          <w:sz w:val="32"/>
          <w:szCs w:val="32"/>
          <w:highlight w:val="none"/>
        </w:rPr>
      </w:pPr>
    </w:p>
    <w:p>
      <w:pPr>
        <w:pStyle w:val="15"/>
        <w:shd w:val="clear"/>
        <w:jc w:val="center"/>
        <w:rPr>
          <w:rFonts w:ascii="Times New Roman" w:hAnsi="Times New Roman" w:cs="Times New Roman"/>
          <w:sz w:val="32"/>
          <w:szCs w:val="32"/>
          <w:highlight w:val="none"/>
        </w:rPr>
      </w:pPr>
    </w:p>
    <w:p>
      <w:pPr>
        <w:pStyle w:val="15"/>
        <w:shd w:val="clear"/>
        <w:jc w:val="center"/>
        <w:rPr>
          <w:rFonts w:ascii="Times New Roman" w:hAnsi="Times New Roman" w:cs="Times New Roman"/>
          <w:sz w:val="32"/>
          <w:szCs w:val="32"/>
          <w:highlight w:val="none"/>
        </w:rPr>
      </w:pPr>
    </w:p>
    <w:p>
      <w:pPr>
        <w:pStyle w:val="15"/>
        <w:shd w:val="clear"/>
        <w:jc w:val="center"/>
        <w:rPr>
          <w:rFonts w:ascii="Times New Roman" w:hAnsi="Times New Roman" w:cs="Times New Roman"/>
          <w:sz w:val="32"/>
          <w:szCs w:val="32"/>
          <w:highlight w:val="none"/>
        </w:rPr>
      </w:pPr>
    </w:p>
    <w:p>
      <w:pPr>
        <w:pStyle w:val="15"/>
        <w:shd w:val="clear"/>
        <w:spacing w:line="540" w:lineRule="exact"/>
        <w:jc w:val="center"/>
        <w:rPr>
          <w:rFonts w:ascii="Times New Roman" w:hAnsi="Times New Roman" w:cs="Times New Roman"/>
          <w:sz w:val="56"/>
          <w:szCs w:val="56"/>
          <w:highlight w:val="none"/>
        </w:rPr>
      </w:pPr>
    </w:p>
    <w:p>
      <w:pPr>
        <w:shd w:val="clear"/>
        <w:rPr>
          <w:rFonts w:ascii="Times New Roman" w:hAnsi="Times New Roman" w:cs="Times New Roman"/>
          <w:b/>
          <w:sz w:val="36"/>
          <w:szCs w:val="28"/>
          <w:highlight w:val="none"/>
        </w:rPr>
        <w:sectPr>
          <w:pgSz w:w="11906" w:h="16838"/>
          <w:pgMar w:top="1417" w:right="1588" w:bottom="1417" w:left="1588" w:header="851" w:footer="992" w:gutter="0"/>
          <w:cols w:space="425" w:num="1"/>
          <w:docGrid w:type="lines" w:linePitch="312" w:charSpace="0"/>
        </w:sectPr>
      </w:pPr>
    </w:p>
    <w:p>
      <w:pPr>
        <w:pStyle w:val="15"/>
        <w:shd w:val="clear"/>
        <w:spacing w:line="600" w:lineRule="exact"/>
        <w:jc w:val="both"/>
        <w:rPr>
          <w:rFonts w:ascii="Times New Roman" w:hAnsi="Times New Roman" w:cs="Times New Roman"/>
          <w:b/>
          <w:sz w:val="36"/>
          <w:szCs w:val="28"/>
          <w:highlight w:val="none"/>
        </w:rPr>
      </w:pPr>
    </w:p>
    <w:p>
      <w:pPr>
        <w:pStyle w:val="15"/>
        <w:shd w:val="clear"/>
        <w:spacing w:line="600" w:lineRule="exact"/>
        <w:jc w:val="center"/>
        <w:rPr>
          <w:rFonts w:ascii="Times New Roman" w:hAnsi="Times New Roman" w:cs="Times New Roman"/>
          <w:bCs/>
          <w:sz w:val="36"/>
          <w:szCs w:val="28"/>
          <w:highlight w:val="none"/>
        </w:rPr>
      </w:pPr>
      <w:r>
        <w:rPr>
          <w:rFonts w:ascii="Times New Roman" w:hAnsi="Times New Roman" w:cs="Times New Roman"/>
          <w:bCs/>
          <w:sz w:val="36"/>
          <w:szCs w:val="28"/>
          <w:highlight w:val="none"/>
        </w:rPr>
        <w:t>目  录</w:t>
      </w:r>
    </w:p>
    <w:p>
      <w:pPr>
        <w:pStyle w:val="15"/>
        <w:shd w:val="clear"/>
        <w:spacing w:line="600" w:lineRule="exact"/>
        <w:jc w:val="center"/>
        <w:rPr>
          <w:rFonts w:ascii="Times New Roman" w:hAnsi="Times New Roman" w:cs="Times New Roman"/>
          <w:b/>
          <w:sz w:val="36"/>
          <w:szCs w:val="28"/>
          <w:highlight w:val="none"/>
        </w:rPr>
      </w:pPr>
    </w:p>
    <w:p>
      <w:pPr>
        <w:pStyle w:val="15"/>
        <w:shd w:val="clear"/>
        <w:spacing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 xml:space="preserve">第一部分 </w:t>
      </w:r>
      <w:r>
        <w:rPr>
          <w:rFonts w:hint="eastAsia" w:ascii="Times New Roman" w:hAnsi="Times New Roman" w:cs="Times New Roman"/>
          <w:bCs/>
          <w:sz w:val="32"/>
          <w:szCs w:val="32"/>
          <w:highlight w:val="none"/>
          <w:lang w:val="en-US" w:eastAsia="zh-CN"/>
        </w:rPr>
        <w:t>湖南省兽药饲料监察所</w:t>
      </w:r>
      <w:r>
        <w:rPr>
          <w:rFonts w:ascii="Times New Roman" w:hAnsi="Times New Roman" w:cs="Times New Roman"/>
          <w:bCs/>
          <w:sz w:val="32"/>
          <w:szCs w:val="32"/>
          <w:highlight w:val="none"/>
        </w:rPr>
        <w:t>概况</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一、部门职责</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二、机构设置及决算单位构成</w:t>
      </w:r>
    </w:p>
    <w:p>
      <w:pPr>
        <w:pStyle w:val="15"/>
        <w:shd w:val="clear"/>
        <w:spacing w:before="156" w:beforeLines="50"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第二部分 部门决算表</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一、收入支出决算总表</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二、收入决算表</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三、支出决算表</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四、财政拨款收入支出决算总表</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五、一般公共预算财政拨款支出决算表</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六、一般公共预算财政拨款基本支出决算明细表</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七、政府性基金预算财政拨款收入支出决算表</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八、国有资本经营预算财政拨款支出决算表</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九、财政拨款“三公”经费支出决算表</w:t>
      </w:r>
    </w:p>
    <w:p>
      <w:pPr>
        <w:pStyle w:val="15"/>
        <w:shd w:val="clear"/>
        <w:spacing w:before="156" w:beforeLines="50"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第三部分 部门决算情况说明</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一、收入支出决算总体情况说明</w:t>
      </w:r>
    </w:p>
    <w:p>
      <w:pPr>
        <w:shd w:val="clear"/>
        <w:spacing w:line="600" w:lineRule="exact"/>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二、收入决算情况说明</w:t>
      </w:r>
    </w:p>
    <w:p>
      <w:pPr>
        <w:shd w:val="clea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三、支出决算情况说明</w:t>
      </w:r>
    </w:p>
    <w:p>
      <w:pPr>
        <w:shd w:val="clea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四、财政拨款收入支出决算总体情况说明</w:t>
      </w:r>
    </w:p>
    <w:p>
      <w:pPr>
        <w:shd w:val="clea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五、一般公共预算财政拨款支出决算情况说明</w:t>
      </w:r>
    </w:p>
    <w:p>
      <w:pPr>
        <w:shd w:val="clea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sectPr>
          <w:footerReference r:id="rId3" w:type="default"/>
          <w:pgSz w:w="11906" w:h="16838"/>
          <w:pgMar w:top="1417" w:right="1588" w:bottom="1417" w:left="1588" w:header="851" w:footer="992" w:gutter="0"/>
          <w:pgNumType w:start="1"/>
          <w:cols w:space="425" w:num="1"/>
          <w:docGrid w:type="lines" w:linePitch="312" w:charSpace="0"/>
        </w:sectPr>
      </w:pPr>
    </w:p>
    <w:p>
      <w:pPr>
        <w:shd w:val="clea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六、一般公共预算财政拨款基本支出决算情况说明</w:t>
      </w:r>
    </w:p>
    <w:p>
      <w:pPr>
        <w:shd w:val="clea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七、财政拨款“三公”经费支出决算情况说明</w:t>
      </w:r>
    </w:p>
    <w:p>
      <w:pPr>
        <w:shd w:val="clea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八、政府性基金预算收入支出决算情况</w:t>
      </w:r>
    </w:p>
    <w:p>
      <w:pPr>
        <w:shd w:val="clea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九、关于机关运行经费支出说明</w:t>
      </w:r>
    </w:p>
    <w:p>
      <w:pPr>
        <w:shd w:val="clea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十、一般性支出情况说明</w:t>
      </w:r>
    </w:p>
    <w:p>
      <w:pPr>
        <w:shd w:val="clear"/>
        <w:autoSpaceDE w:val="0"/>
        <w:autoSpaceDN w:val="0"/>
        <w:adjustRightInd w:val="0"/>
        <w:spacing w:line="600" w:lineRule="exact"/>
        <w:jc w:val="left"/>
        <w:rPr>
          <w:rFonts w:ascii="Times New Roman" w:hAnsi="Times New Roman" w:eastAsia="仿宋_GB2312" w:cs="Times New Roman"/>
          <w:color w:val="000000"/>
          <w:kern w:val="0"/>
          <w:sz w:val="32"/>
          <w:szCs w:val="32"/>
          <w:highlight w:val="none"/>
        </w:rPr>
      </w:pPr>
      <w:r>
        <w:rPr>
          <w:rFonts w:ascii="Times New Roman" w:hAnsi="Times New Roman" w:eastAsia="仿宋_GB2312" w:cs="Times New Roman"/>
          <w:color w:val="000000"/>
          <w:kern w:val="0"/>
          <w:sz w:val="32"/>
          <w:szCs w:val="32"/>
          <w:highlight w:val="none"/>
        </w:rPr>
        <w:t>十一、关于政府采购支出说明</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十二、关于国有资产占用情况说明</w:t>
      </w:r>
    </w:p>
    <w:p>
      <w:pPr>
        <w:pStyle w:val="15"/>
        <w:shd w:val="clear"/>
        <w:spacing w:line="600" w:lineRule="exac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十三、关于2024年度预算绩效管理情况的说明</w:t>
      </w:r>
    </w:p>
    <w:p>
      <w:pPr>
        <w:pStyle w:val="15"/>
        <w:shd w:val="clear"/>
        <w:spacing w:before="156" w:beforeLines="50"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第四部分 名词解释</w:t>
      </w:r>
    </w:p>
    <w:p>
      <w:pPr>
        <w:pStyle w:val="15"/>
        <w:shd w:val="clear"/>
        <w:spacing w:before="156" w:beforeLines="50" w:after="156" w:afterLines="50" w:line="600" w:lineRule="exact"/>
        <w:rPr>
          <w:rFonts w:ascii="Times New Roman" w:hAnsi="Times New Roman" w:cs="Times New Roman"/>
          <w:bCs/>
          <w:sz w:val="32"/>
          <w:szCs w:val="32"/>
          <w:highlight w:val="none"/>
        </w:rPr>
      </w:pPr>
      <w:r>
        <w:rPr>
          <w:rFonts w:ascii="Times New Roman" w:hAnsi="Times New Roman" w:cs="Times New Roman"/>
          <w:bCs/>
          <w:sz w:val="32"/>
          <w:szCs w:val="32"/>
          <w:highlight w:val="none"/>
        </w:rPr>
        <w:t>第五部分 附件</w:t>
      </w:r>
    </w:p>
    <w:p>
      <w:pPr>
        <w:pStyle w:val="15"/>
        <w:shd w:val="clear"/>
        <w:spacing w:line="600" w:lineRule="exact"/>
        <w:rPr>
          <w:rFonts w:ascii="Times New Roman" w:hAnsi="Times New Roman" w:cs="Times New Roman"/>
          <w:bCs/>
          <w:sz w:val="28"/>
          <w:szCs w:val="28"/>
          <w:highlight w:val="none"/>
        </w:rPr>
      </w:pPr>
    </w:p>
    <w:p>
      <w:pPr>
        <w:shd w:val="clear"/>
        <w:jc w:val="center"/>
        <w:rPr>
          <w:rFonts w:ascii="Times New Roman" w:hAnsi="Times New Roman" w:cs="Times New Roman"/>
          <w:sz w:val="72"/>
          <w:szCs w:val="72"/>
          <w:highlight w:val="none"/>
        </w:rPr>
      </w:pPr>
    </w:p>
    <w:p>
      <w:pPr>
        <w:shd w:val="clear"/>
        <w:jc w:val="center"/>
        <w:rPr>
          <w:rFonts w:ascii="Times New Roman" w:hAnsi="Times New Roman" w:cs="Times New Roman"/>
          <w:sz w:val="72"/>
          <w:szCs w:val="72"/>
          <w:highlight w:val="none"/>
        </w:rPr>
      </w:pPr>
    </w:p>
    <w:p>
      <w:pPr>
        <w:shd w:val="clear"/>
        <w:jc w:val="center"/>
        <w:rPr>
          <w:rFonts w:ascii="Times New Roman" w:hAnsi="Times New Roman" w:cs="Times New Roman"/>
          <w:sz w:val="72"/>
          <w:szCs w:val="72"/>
          <w:highlight w:val="none"/>
        </w:rPr>
      </w:pPr>
    </w:p>
    <w:p>
      <w:pPr>
        <w:pStyle w:val="9"/>
        <w:shd w:val="clear"/>
        <w:rPr>
          <w:rFonts w:ascii="Times New Roman" w:hAnsi="Times New Roman" w:cs="Times New Roman"/>
          <w:highlight w:val="none"/>
        </w:rPr>
        <w:sectPr>
          <w:footerReference r:id="rId4" w:type="default"/>
          <w:pgSz w:w="11906" w:h="16838"/>
          <w:pgMar w:top="1417" w:right="1588" w:bottom="1417" w:left="1588" w:header="851" w:footer="992" w:gutter="0"/>
          <w:pgNumType w:start="1"/>
          <w:cols w:space="425" w:num="1"/>
          <w:docGrid w:type="lines" w:linePitch="312" w:charSpace="0"/>
        </w:sectPr>
      </w:pPr>
    </w:p>
    <w:p>
      <w:pPr>
        <w:shd w:val="clear"/>
        <w:rPr>
          <w:rFonts w:ascii="Times New Roman" w:hAnsi="Times New Roman" w:eastAsia="方正小标宋_GBK" w:cs="Times New Roman"/>
          <w:sz w:val="72"/>
          <w:szCs w:val="72"/>
          <w:highlight w:val="none"/>
        </w:rPr>
      </w:pPr>
    </w:p>
    <w:p>
      <w:pPr>
        <w:pStyle w:val="15"/>
        <w:shd w:val="clear"/>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第一部分</w:t>
      </w:r>
    </w:p>
    <w:p>
      <w:pPr>
        <w:pStyle w:val="15"/>
        <w:shd w:val="clear"/>
        <w:spacing w:line="360" w:lineRule="auto"/>
        <w:jc w:val="center"/>
        <w:rPr>
          <w:rFonts w:ascii="Times New Roman" w:hAnsi="Times New Roman" w:eastAsia="方正小标宋_GBK" w:cs="Times New Roman"/>
          <w:sz w:val="52"/>
          <w:szCs w:val="52"/>
          <w:highlight w:val="none"/>
        </w:rPr>
      </w:pPr>
      <w:r>
        <w:rPr>
          <w:rFonts w:hint="eastAsia" w:ascii="Times New Roman" w:hAnsi="Times New Roman" w:eastAsia="方正小标宋_GBK" w:cs="Times New Roman"/>
          <w:sz w:val="52"/>
          <w:szCs w:val="52"/>
          <w:highlight w:val="none"/>
          <w:lang w:val="en-US" w:eastAsia="zh-CN"/>
        </w:rPr>
        <w:t>湖南省兽药饲料监察所</w:t>
      </w:r>
      <w:r>
        <w:rPr>
          <w:rFonts w:ascii="Times New Roman" w:hAnsi="Times New Roman" w:eastAsia="方正小标宋_GBK" w:cs="Times New Roman"/>
          <w:sz w:val="52"/>
          <w:szCs w:val="52"/>
          <w:highlight w:val="none"/>
        </w:rPr>
        <w:t>概况</w:t>
      </w:r>
    </w:p>
    <w:p>
      <w:pPr>
        <w:pStyle w:val="5"/>
        <w:shd w:val="clear"/>
        <w:ind w:left="0" w:leftChars="0" w:firstLine="0" w:firstLineChars="0"/>
        <w:rPr>
          <w:rFonts w:ascii="Times New Roman" w:hAnsi="Times New Roman" w:cs="Times New Roman"/>
          <w:highlight w:val="none"/>
        </w:rPr>
      </w:pPr>
    </w:p>
    <w:p>
      <w:pPr>
        <w:pStyle w:val="16"/>
        <w:shd w:val="clear"/>
        <w:spacing w:line="600" w:lineRule="exact"/>
        <w:ind w:left="0" w:leftChars="0" w:firstLine="640" w:firstLineChars="200"/>
        <w:jc w:val="left"/>
        <w:rPr>
          <w:rFonts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rPr>
        <w:t>一、</w:t>
      </w:r>
      <w:r>
        <w:rPr>
          <w:rFonts w:ascii="Times New Roman" w:hAnsi="Times New Roman" w:eastAsia="黑体" w:cs="Times New Roman"/>
          <w:sz w:val="32"/>
          <w:szCs w:val="32"/>
          <w:highlight w:val="none"/>
        </w:rPr>
        <w:t>部门职责</w:t>
      </w:r>
    </w:p>
    <w:p>
      <w:pPr>
        <w:widowControl/>
        <w:shd w:val="clear"/>
        <w:spacing w:line="600" w:lineRule="exact"/>
        <w:ind w:left="0" w:leftChars="0" w:firstLine="640" w:firstLineChars="200"/>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湖南省兽药饲料监察所主要承担农业部门和有关部门指定的畜禽等动物性产品及兽药、饲料产品质量的监督抽查检验、残留物质分析检验、优质产品的评选和复查检验；受农业部门或有关部门的委托，对实施生产许可证和质量认证的畜禽等动物性产品及兽药、饲料产品进行检验，以及对重要新产品、新品种投产和科研成果鉴定检验；承担畜禽等动物性产品及兽药、饲料产品质量考核检验、产品质量分等分级检验；承担畜禽等动物性产品及兽药、饲料产品质量仲裁检验和委托检验；对省内同类产品质量检验机构进行技术指导和人员培训；负责研究新的检验技术和方法，承担或参与国家标准、行业标准的制修订和有关标准试验验证工作。</w:t>
      </w:r>
    </w:p>
    <w:p>
      <w:pPr>
        <w:widowControl/>
        <w:shd w:val="clear"/>
        <w:spacing w:line="600" w:lineRule="exact"/>
        <w:ind w:left="0" w:leftChars="0" w:firstLine="640" w:firstLineChars="200"/>
        <w:rPr>
          <w:rFonts w:ascii="Times New Roman" w:hAnsi="Times New Roman" w:eastAsia="黑体" w:cs="Times New Roman"/>
          <w:bCs/>
          <w:kern w:val="0"/>
          <w:sz w:val="32"/>
          <w:szCs w:val="32"/>
          <w:highlight w:val="none"/>
        </w:rPr>
      </w:pPr>
      <w:r>
        <w:rPr>
          <w:rFonts w:ascii="Times New Roman" w:hAnsi="Times New Roman" w:eastAsia="黑体" w:cs="Times New Roman"/>
          <w:bCs/>
          <w:kern w:val="0"/>
          <w:sz w:val="32"/>
          <w:szCs w:val="32"/>
          <w:highlight w:val="none"/>
        </w:rPr>
        <w:t>二、机构设置及决算单位构成</w:t>
      </w:r>
    </w:p>
    <w:p>
      <w:pPr>
        <w:widowControl/>
        <w:shd w:val="clear"/>
        <w:spacing w:line="600" w:lineRule="exact"/>
        <w:ind w:left="0" w:leftChars="0" w:firstLine="640" w:firstLineChars="200"/>
        <w:rPr>
          <w:rFonts w:hint="eastAsia" w:ascii="Times New Roman" w:hAnsi="Times New Roman" w:eastAsia="仿宋_GB2312" w:cs="Times New Roman"/>
          <w:bCs/>
          <w:kern w:val="0"/>
          <w:sz w:val="32"/>
          <w:szCs w:val="32"/>
          <w:highlight w:val="none"/>
        </w:rPr>
      </w:pPr>
      <w:r>
        <w:rPr>
          <w:rFonts w:hint="eastAsia" w:ascii="Times New Roman" w:hAnsi="Times New Roman" w:eastAsia="仿宋_GB2312" w:cs="Times New Roman"/>
          <w:bCs/>
          <w:kern w:val="0"/>
          <w:sz w:val="32"/>
          <w:szCs w:val="32"/>
          <w:highlight w:val="none"/>
        </w:rPr>
        <w:t>（一）内设机构设置。湖南省兽药饲料监察所内设机构包括：检验一室、检验二室、检验三室、业务办公室、综合科（人事科）、财务科。</w:t>
      </w:r>
    </w:p>
    <w:p>
      <w:pPr>
        <w:widowControl/>
        <w:shd w:val="clear"/>
        <w:spacing w:line="600" w:lineRule="exact"/>
        <w:ind w:left="0" w:leftChars="0" w:firstLine="640" w:firstLineChars="200"/>
        <w:rPr>
          <w:rFonts w:ascii="Times New Roman" w:hAnsi="Times New Roman" w:eastAsia="仿宋_GB2312" w:cs="Times New Roman"/>
          <w:bCs/>
          <w:kern w:val="0"/>
          <w:sz w:val="32"/>
          <w:szCs w:val="32"/>
          <w:highlight w:val="none"/>
        </w:rPr>
      </w:pPr>
      <w:r>
        <w:rPr>
          <w:rFonts w:hint="eastAsia" w:ascii="Times New Roman" w:hAnsi="Times New Roman" w:eastAsia="仿宋_GB2312" w:cs="Times New Roman"/>
          <w:bCs/>
          <w:kern w:val="0"/>
          <w:sz w:val="32"/>
          <w:szCs w:val="32"/>
          <w:highlight w:val="none"/>
        </w:rPr>
        <w:t>（二）决算单位构成。湖南省兽药饲料监察所202</w:t>
      </w:r>
      <w:r>
        <w:rPr>
          <w:rFonts w:hint="eastAsia" w:ascii="Times New Roman" w:hAnsi="Times New Roman" w:eastAsia="仿宋_GB2312" w:cs="Times New Roman"/>
          <w:bCs/>
          <w:kern w:val="0"/>
          <w:sz w:val="32"/>
          <w:szCs w:val="32"/>
          <w:highlight w:val="none"/>
          <w:lang w:val="en-US" w:eastAsia="zh-CN"/>
        </w:rPr>
        <w:t>4</w:t>
      </w:r>
      <w:r>
        <w:rPr>
          <w:rFonts w:hint="eastAsia" w:ascii="Times New Roman" w:hAnsi="Times New Roman" w:eastAsia="仿宋_GB2312" w:cs="Times New Roman"/>
          <w:bCs/>
          <w:kern w:val="0"/>
          <w:sz w:val="32"/>
          <w:szCs w:val="32"/>
          <w:highlight w:val="none"/>
        </w:rPr>
        <w:t>年</w:t>
      </w:r>
      <w:r>
        <w:rPr>
          <w:rFonts w:ascii="Times New Roman" w:hAnsi="Times New Roman" w:eastAsia="仿宋_GB2312" w:cs="Times New Roman"/>
          <w:bCs/>
          <w:kern w:val="0"/>
          <w:sz w:val="32"/>
          <w:szCs w:val="32"/>
          <w:highlight w:val="none"/>
        </w:rPr>
        <w:t>决算公开单位构成</w:t>
      </w:r>
      <w:r>
        <w:rPr>
          <w:rFonts w:hint="eastAsia" w:ascii="Times New Roman" w:hAnsi="Times New Roman" w:eastAsia="仿宋_GB2312" w:cs="Times New Roman"/>
          <w:bCs/>
          <w:kern w:val="0"/>
          <w:sz w:val="32"/>
          <w:szCs w:val="32"/>
          <w:highlight w:val="none"/>
          <w:lang w:val="en-US" w:eastAsia="zh-CN"/>
        </w:rPr>
        <w:t>包括</w:t>
      </w:r>
      <w:r>
        <w:rPr>
          <w:rFonts w:hint="eastAsia" w:ascii="Times New Roman" w:hAnsi="Times New Roman" w:eastAsia="仿宋_GB2312" w:cs="Times New Roman"/>
          <w:bCs/>
          <w:kern w:val="0"/>
          <w:sz w:val="32"/>
          <w:szCs w:val="32"/>
          <w:highlight w:val="none"/>
        </w:rPr>
        <w:t>：湖南省兽药饲料监察所本级。</w:t>
      </w:r>
    </w:p>
    <w:p>
      <w:pPr>
        <w:shd w:val="clear"/>
        <w:jc w:val="left"/>
        <w:rPr>
          <w:rFonts w:ascii="Times New Roman" w:hAnsi="Times New Roman" w:eastAsia="仿宋_GB2312" w:cs="Times New Roman"/>
          <w:sz w:val="28"/>
          <w:szCs w:val="32"/>
          <w:highlight w:val="none"/>
        </w:rPr>
      </w:pPr>
    </w:p>
    <w:p>
      <w:pPr>
        <w:shd w:val="clear"/>
        <w:jc w:val="center"/>
        <w:rPr>
          <w:rFonts w:ascii="Times New Roman" w:hAnsi="Times New Roman" w:eastAsia="黑体" w:cs="Times New Roman"/>
          <w:sz w:val="28"/>
          <w:szCs w:val="28"/>
          <w:highlight w:val="none"/>
        </w:rPr>
      </w:pPr>
    </w:p>
    <w:p>
      <w:pPr>
        <w:shd w:val="clear"/>
        <w:jc w:val="center"/>
        <w:rPr>
          <w:rFonts w:ascii="Times New Roman" w:hAnsi="Times New Roman" w:eastAsia="黑体" w:cs="Times New Roman"/>
          <w:sz w:val="28"/>
          <w:szCs w:val="28"/>
          <w:highlight w:val="none"/>
        </w:rPr>
      </w:pPr>
    </w:p>
    <w:p>
      <w:pPr>
        <w:shd w:val="clear"/>
        <w:jc w:val="center"/>
        <w:rPr>
          <w:rFonts w:ascii="Times New Roman" w:hAnsi="Times New Roman" w:eastAsia="黑体" w:cs="Times New Roman"/>
          <w:sz w:val="28"/>
          <w:szCs w:val="28"/>
          <w:highlight w:val="none"/>
        </w:rPr>
      </w:pPr>
    </w:p>
    <w:p>
      <w:pPr>
        <w:shd w:val="clear"/>
        <w:jc w:val="center"/>
        <w:rPr>
          <w:rFonts w:ascii="Times New Roman" w:hAnsi="Times New Roman" w:eastAsia="黑体" w:cs="Times New Roman"/>
          <w:sz w:val="28"/>
          <w:szCs w:val="28"/>
          <w:highlight w:val="none"/>
        </w:rPr>
      </w:pPr>
    </w:p>
    <w:p>
      <w:pPr>
        <w:shd w:val="clear"/>
        <w:jc w:val="center"/>
        <w:rPr>
          <w:rFonts w:ascii="Times New Roman" w:hAnsi="Times New Roman" w:eastAsia="黑体" w:cs="Times New Roman"/>
          <w:sz w:val="28"/>
          <w:szCs w:val="28"/>
          <w:highlight w:val="none"/>
        </w:rPr>
      </w:pPr>
    </w:p>
    <w:p>
      <w:pPr>
        <w:pStyle w:val="9"/>
        <w:shd w:val="clear"/>
        <w:rPr>
          <w:rFonts w:ascii="Times New Roman" w:hAnsi="Times New Roman" w:cs="Times New Roman"/>
          <w:highlight w:val="none"/>
        </w:rPr>
        <w:sectPr>
          <w:footerReference r:id="rId5" w:type="default"/>
          <w:pgSz w:w="11906" w:h="16838"/>
          <w:pgMar w:top="1417" w:right="1588" w:bottom="1417" w:left="1588" w:header="851" w:footer="992" w:gutter="0"/>
          <w:pgNumType w:start="1"/>
          <w:cols w:space="425" w:num="1"/>
          <w:docGrid w:type="lines" w:linePitch="312" w:charSpace="0"/>
        </w:sectPr>
      </w:pPr>
    </w:p>
    <w:p>
      <w:pPr>
        <w:pStyle w:val="15"/>
        <w:keepNext w:val="0"/>
        <w:keepLines w:val="0"/>
        <w:pageBreakBefore w:val="0"/>
        <w:widowControl w:val="0"/>
        <w:shd w:val="clear"/>
        <w:kinsoku/>
        <w:wordWrap/>
        <w:overflowPunct/>
        <w:topLinePunct w:val="0"/>
        <w:autoSpaceDE w:val="0"/>
        <w:autoSpaceDN w:val="0"/>
        <w:bidi w:val="0"/>
        <w:adjustRightInd w:val="0"/>
        <w:snapToGrid/>
        <w:spacing w:line="600" w:lineRule="exact"/>
        <w:jc w:val="center"/>
        <w:textAlignment w:val="auto"/>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第二部分    部门决算表</w:t>
      </w:r>
    </w:p>
    <w:p>
      <w:pPr>
        <w:keepNext w:val="0"/>
        <w:keepLines w:val="0"/>
        <w:pageBreakBefore w:val="0"/>
        <w:widowControl/>
        <w:shd w:val="clear"/>
        <w:kinsoku/>
        <w:wordWrap/>
        <w:overflowPunct/>
        <w:topLinePunct w:val="0"/>
        <w:autoSpaceDE/>
        <w:autoSpaceDN/>
        <w:bidi w:val="0"/>
        <w:adjustRightInd/>
        <w:snapToGrid/>
        <w:spacing w:line="460" w:lineRule="exact"/>
        <w:jc w:val="center"/>
        <w:textAlignment w:val="center"/>
        <w:rPr>
          <w:rFonts w:ascii="Times New Roman" w:hAnsi="Times New Roman" w:eastAsia="黑体" w:cs="Times New Roman"/>
          <w:color w:val="000000"/>
          <w:sz w:val="36"/>
          <w:szCs w:val="36"/>
          <w:highlight w:val="none"/>
        </w:rPr>
      </w:pPr>
      <w:r>
        <w:rPr>
          <w:rFonts w:ascii="Times New Roman" w:hAnsi="Times New Roman" w:eastAsia="黑体" w:cs="Times New Roman"/>
          <w:color w:val="000000"/>
          <w:kern w:val="0"/>
          <w:sz w:val="36"/>
          <w:szCs w:val="36"/>
          <w:highlight w:val="none"/>
          <w:lang w:bidi="ar"/>
        </w:rPr>
        <w:t>收入支出决算总表</w:t>
      </w:r>
    </w:p>
    <w:p>
      <w:pPr>
        <w:keepNext w:val="0"/>
        <w:keepLines w:val="0"/>
        <w:pageBreakBefore w:val="0"/>
        <w:widowControl/>
        <w:shd w:val="clear"/>
        <w:tabs>
          <w:tab w:val="left" w:pos="4442"/>
          <w:tab w:val="left" w:pos="5045"/>
          <w:tab w:val="left" w:pos="6444"/>
          <w:tab w:val="left" w:pos="11477"/>
          <w:tab w:val="left" w:pos="13102"/>
        </w:tabs>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kern w:val="0"/>
          <w:sz w:val="20"/>
          <w:szCs w:val="20"/>
          <w:highlight w:val="none"/>
          <w:lang w:bidi="ar"/>
        </w:rPr>
        <w:t>公开01表</w:t>
      </w:r>
    </w:p>
    <w:p>
      <w:pPr>
        <w:widowControl/>
        <w:shd w:val="clear"/>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部门：</w:t>
      </w:r>
      <w:r>
        <w:rPr>
          <w:rFonts w:hint="eastAsia" w:ascii="Times New Roman" w:hAnsi="Times New Roman" w:eastAsia="仿宋_GB2312" w:cs="Times New Roman"/>
          <w:color w:val="000000"/>
          <w:kern w:val="0"/>
          <w:sz w:val="20"/>
          <w:szCs w:val="20"/>
          <w:highlight w:val="none"/>
          <w:lang w:val="en-US" w:eastAsia="zh-CN" w:bidi="ar"/>
        </w:rPr>
        <w:t>湖南省兽药饲料监察所</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sz w:val="24"/>
          <w:szCs w:val="24"/>
          <w:highlight w:val="none"/>
        </w:rPr>
        <w:tab/>
      </w:r>
      <w:r>
        <w:rPr>
          <w:rFonts w:ascii="Times New Roman" w:hAnsi="Times New Roman" w:eastAsia="仿宋_GB2312" w:cs="Times New Roman"/>
          <w:color w:val="000000"/>
          <w:kern w:val="0"/>
          <w:sz w:val="20"/>
          <w:szCs w:val="20"/>
          <w:highlight w:val="none"/>
          <w:lang w:bidi="ar"/>
        </w:rPr>
        <w:t>单位：万元</w:t>
      </w:r>
    </w:p>
    <w:tbl>
      <w:tblPr>
        <w:tblStyle w:val="10"/>
        <w:tblW w:w="1407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57"/>
        <w:gridCol w:w="876"/>
        <w:gridCol w:w="1302"/>
        <w:gridCol w:w="4765"/>
        <w:gridCol w:w="913"/>
        <w:gridCol w:w="13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035"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收入</w:t>
            </w:r>
          </w:p>
        </w:tc>
        <w:tc>
          <w:tcPr>
            <w:tcW w:w="7035"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行次</w:t>
            </w:r>
          </w:p>
        </w:tc>
        <w:tc>
          <w:tcPr>
            <w:tcW w:w="13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金额</w:t>
            </w: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行次</w:t>
            </w:r>
          </w:p>
        </w:tc>
        <w:tc>
          <w:tcPr>
            <w:tcW w:w="13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栏次</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20"/>
                <w:szCs w:val="20"/>
                <w:highlight w:val="none"/>
                <w:u w:val="none"/>
              </w:rPr>
            </w:pPr>
          </w:p>
        </w:tc>
        <w:tc>
          <w:tcPr>
            <w:tcW w:w="13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栏次</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20"/>
                <w:szCs w:val="20"/>
                <w:highlight w:val="none"/>
                <w:u w:val="none"/>
              </w:rPr>
            </w:pPr>
          </w:p>
        </w:tc>
        <w:tc>
          <w:tcPr>
            <w:tcW w:w="13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一、一般公共预算财政拨款收入</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1,808.30</w:t>
            </w: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一、一般公共服务支出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二、政府性基金预算财政拨款收入</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二、外交支出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三、国有资本经营预算财政拨款收入</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三、国防支出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四、上级补助收入</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四、公共安全支出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五、事业收入</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五、教育支出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六、经营收入</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六、科学技术支出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七、附属单位上缴收入</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七、文化旅游体育与传媒支出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37</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八、其他收入</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0.18</w:t>
            </w: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八、社会保障和就业支出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38</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九、卫生健康支出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十、节能环保支出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十一、城乡社区支出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十二、农林水支出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1,658.48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十三、交通运输支出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43</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十四、资源勘探工业信息等支出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44</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十五、商业服务业等支出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45</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十六、金融支出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十七、援助其他地区支出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47</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十八、自然资源海洋气象等支出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十九、住房保障支出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49</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二十、粮油物资储备支出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二十一、国有资本经营预算支出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51</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二十二、灾害防治及应急管理支出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二十三、其他支出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53</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rPr>
                <w:rFonts w:hint="eastAsia" w:ascii="宋体" w:hAnsi="宋体" w:eastAsia="宋体" w:cs="宋体"/>
                <w:b/>
                <w:bCs/>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二十四、债务还本支出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54</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二十五、债务付息支出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0"/>
                <w:szCs w:val="20"/>
                <w:highlight w:val="none"/>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二十六、抗疫特别国债安排的支出</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56</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本年收入合计</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1,808.48</w:t>
            </w: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本年支出合计</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57</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1,790.09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使用非财政拨款结余（含专用结余）</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50.37</w:t>
            </w: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结余分配</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58</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年初结转和结余</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17.20</w:t>
            </w: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年末结转和结余</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59</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5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总计</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w:t>
            </w:r>
          </w:p>
        </w:tc>
        <w:tc>
          <w:tcPr>
            <w:tcW w:w="130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1,876.05</w:t>
            </w:r>
          </w:p>
        </w:tc>
        <w:tc>
          <w:tcPr>
            <w:tcW w:w="47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总计</w:t>
            </w:r>
          </w:p>
        </w:tc>
        <w:tc>
          <w:tcPr>
            <w:tcW w:w="9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w:t>
            </w:r>
          </w:p>
        </w:tc>
        <w:tc>
          <w:tcPr>
            <w:tcW w:w="135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1,876.05</w:t>
            </w:r>
          </w:p>
        </w:tc>
      </w:tr>
    </w:tbl>
    <w:p>
      <w:pPr>
        <w:widowControl/>
        <w:shd w:val="clear"/>
        <w:jc w:val="left"/>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rPr>
        <w:t>注：1.本表反映部门本年度的总收支和年末结转结余情况。</w:t>
      </w:r>
      <w:r>
        <w:rPr>
          <w:rFonts w:ascii="Times New Roman" w:hAnsi="Times New Roman" w:eastAsia="仿宋_GB2312" w:cs="Times New Roman"/>
          <w:color w:val="000000"/>
          <w:kern w:val="0"/>
          <w:sz w:val="24"/>
          <w:szCs w:val="24"/>
          <w:highlight w:val="none"/>
        </w:rPr>
        <w:br w:type="textWrapping"/>
      </w:r>
      <w:r>
        <w:rPr>
          <w:rFonts w:ascii="Times New Roman" w:hAnsi="Times New Roman" w:eastAsia="仿宋_GB2312" w:cs="Times New Roman"/>
          <w:color w:val="000000"/>
          <w:kern w:val="0"/>
          <w:sz w:val="24"/>
          <w:szCs w:val="24"/>
          <w:highlight w:val="none"/>
        </w:rPr>
        <w:t xml:space="preserve">    2.本套报表金额单位转换时可能存在尾数误差。</w:t>
      </w:r>
    </w:p>
    <w:p>
      <w:pPr>
        <w:widowControl/>
        <w:shd w:val="clear"/>
        <w:spacing w:line="400" w:lineRule="exact"/>
        <w:jc w:val="center"/>
        <w:textAlignment w:val="center"/>
        <w:rPr>
          <w:rFonts w:ascii="Times New Roman" w:hAnsi="Times New Roman" w:eastAsia="黑体" w:cs="Times New Roman"/>
          <w:color w:val="000000"/>
          <w:kern w:val="0"/>
          <w:sz w:val="32"/>
          <w:szCs w:val="32"/>
          <w:highlight w:val="none"/>
          <w:lang w:bidi="ar"/>
        </w:rPr>
      </w:pPr>
    </w:p>
    <w:p>
      <w:pPr>
        <w:widowControl/>
        <w:shd w:val="clear"/>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收入决算表</w:t>
      </w:r>
    </w:p>
    <w:p>
      <w:pPr>
        <w:shd w:val="clea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highlight w:val="none"/>
        </w:rPr>
      </w:pP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color w:val="000000"/>
          <w:sz w:val="20"/>
          <w:szCs w:val="20"/>
          <w:highlight w:val="none"/>
        </w:rPr>
        <w:t>公开02表</w:t>
      </w:r>
    </w:p>
    <w:p>
      <w:pPr>
        <w:shd w:val="clea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sz w:val="20"/>
          <w:szCs w:val="20"/>
          <w:highlight w:val="none"/>
        </w:rPr>
        <w:t>部门：</w:t>
      </w:r>
      <w:r>
        <w:rPr>
          <w:rFonts w:hint="eastAsia" w:ascii="Times New Roman" w:hAnsi="Times New Roman" w:eastAsia="仿宋_GB2312" w:cs="Times New Roman"/>
          <w:color w:val="000000"/>
          <w:sz w:val="20"/>
          <w:szCs w:val="20"/>
          <w:highlight w:val="none"/>
        </w:rPr>
        <w:t>湖南省兽药饲料监察所</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color w:val="000000"/>
          <w:sz w:val="20"/>
          <w:szCs w:val="20"/>
          <w:highlight w:val="none"/>
        </w:rPr>
        <w:t>　</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highlight w:val="none"/>
        </w:rPr>
        <w:t>　</w:t>
      </w:r>
      <w:r>
        <w:rPr>
          <w:rFonts w:ascii="Times New Roman" w:hAnsi="Times New Roman" w:eastAsia="仿宋_GB2312" w:cs="Times New Roman"/>
          <w:sz w:val="24"/>
          <w:szCs w:val="24"/>
          <w:highlight w:val="none"/>
        </w:rPr>
        <w:tab/>
      </w:r>
      <w:r>
        <w:rPr>
          <w:rFonts w:ascii="Times New Roman" w:hAnsi="Times New Roman" w:eastAsia="仿宋_GB2312" w:cs="Times New Roman"/>
          <w:color w:val="000000"/>
          <w:sz w:val="20"/>
          <w:szCs w:val="20"/>
          <w:highlight w:val="none"/>
        </w:rPr>
        <w:t>单位：万元</w:t>
      </w:r>
    </w:p>
    <w:tbl>
      <w:tblPr>
        <w:tblStyle w:val="10"/>
        <w:tblpPr w:leftFromText="180" w:rightFromText="180" w:vertAnchor="text" w:horzAnchor="page" w:tblpX="1446" w:tblpY="296"/>
        <w:tblOverlap w:val="never"/>
        <w:tblW w:w="142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4"/>
        <w:gridCol w:w="3736"/>
        <w:gridCol w:w="1342"/>
        <w:gridCol w:w="1342"/>
        <w:gridCol w:w="1342"/>
        <w:gridCol w:w="1342"/>
        <w:gridCol w:w="1342"/>
        <w:gridCol w:w="1342"/>
        <w:gridCol w:w="13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820"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w:t>
            </w:r>
          </w:p>
        </w:tc>
        <w:tc>
          <w:tcPr>
            <w:tcW w:w="134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本年收入合计</w:t>
            </w:r>
          </w:p>
        </w:tc>
        <w:tc>
          <w:tcPr>
            <w:tcW w:w="134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财政拨款收入</w:t>
            </w:r>
          </w:p>
        </w:tc>
        <w:tc>
          <w:tcPr>
            <w:tcW w:w="134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上级补助收入</w:t>
            </w:r>
          </w:p>
        </w:tc>
        <w:tc>
          <w:tcPr>
            <w:tcW w:w="134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事业收入</w:t>
            </w:r>
          </w:p>
        </w:tc>
        <w:tc>
          <w:tcPr>
            <w:tcW w:w="134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经营收入</w:t>
            </w:r>
          </w:p>
        </w:tc>
        <w:tc>
          <w:tcPr>
            <w:tcW w:w="134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附属单位上缴收入</w:t>
            </w:r>
          </w:p>
        </w:tc>
        <w:tc>
          <w:tcPr>
            <w:tcW w:w="134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08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功能分类科目编码</w:t>
            </w:r>
          </w:p>
        </w:tc>
        <w:tc>
          <w:tcPr>
            <w:tcW w:w="3736"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科目名称</w:t>
            </w: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08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3736"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08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3736"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c>
          <w:tcPr>
            <w:tcW w:w="134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shd w:val="clear"/>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820"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栏次</w:t>
            </w:r>
          </w:p>
        </w:tc>
        <w:tc>
          <w:tcPr>
            <w:tcW w:w="1342"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342"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342"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342"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1342"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342"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134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820"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合计</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1,808.48</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1,808.30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205</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教育支出</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20508</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进修及培训</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2050803</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培训支出</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社会保障和就业支出</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20805</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行政事业单位养老支出</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2080502</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事业单位离退休</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36.16</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36.16</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2080505</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机关事业单位基本养老保险缴费支出</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48.30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48.30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农林水支出</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1,668.02</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1,667.84</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农业农村</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1,056.10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1,055.92</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2130104</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事业运行</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579.10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578.92</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2130122</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农业生产发展</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417.00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417.00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2130135</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农业生态资源保护</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21302</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林业和草原</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611.92</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611.92</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shd w:val="clear"/>
              <w:kinsoku/>
              <w:wordWrap/>
              <w:overflowPunct/>
              <w:topLinePunct w:val="0"/>
              <w:autoSpaceDE/>
              <w:autoSpaceDN/>
              <w:bidi w:val="0"/>
              <w:adjustRightInd/>
              <w:snapToGrid/>
              <w:spacing w:line="260" w:lineRule="exact"/>
              <w:jc w:val="right"/>
              <w:rPr>
                <w:rFonts w:hint="eastAsia" w:ascii="宋体" w:hAnsi="宋体" w:eastAsia="宋体" w:cs="宋体"/>
                <w:i w:val="0"/>
                <w:iCs w:val="0"/>
                <w:color w:val="000000"/>
                <w:sz w:val="20"/>
                <w:szCs w:val="20"/>
                <w:highlight w:val="none"/>
                <w:u w:val="none"/>
              </w:rPr>
            </w:pP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shd w:val="clear"/>
              <w:kinsoku/>
              <w:wordWrap/>
              <w:overflowPunct/>
              <w:topLinePunct w:val="0"/>
              <w:autoSpaceDE/>
              <w:autoSpaceDN/>
              <w:bidi w:val="0"/>
              <w:adjustRightInd/>
              <w:snapToGrid/>
              <w:spacing w:line="260" w:lineRule="exact"/>
              <w:jc w:val="right"/>
              <w:rPr>
                <w:rFonts w:hint="eastAsia" w:ascii="宋体" w:hAnsi="宋体" w:eastAsia="宋体" w:cs="宋体"/>
                <w:i w:val="0"/>
                <w:iCs w:val="0"/>
                <w:color w:val="000000"/>
                <w:sz w:val="20"/>
                <w:szCs w:val="20"/>
                <w:highlight w:val="none"/>
                <w:u w:val="none"/>
              </w:rPr>
            </w:pP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shd w:val="clear"/>
              <w:kinsoku/>
              <w:wordWrap/>
              <w:overflowPunct/>
              <w:topLinePunct w:val="0"/>
              <w:autoSpaceDE/>
              <w:autoSpaceDN/>
              <w:bidi w:val="0"/>
              <w:adjustRightInd/>
              <w:snapToGrid/>
              <w:spacing w:line="260" w:lineRule="exact"/>
              <w:jc w:val="right"/>
              <w:rPr>
                <w:rFonts w:hint="eastAsia" w:ascii="宋体" w:hAnsi="宋体" w:eastAsia="宋体" w:cs="宋体"/>
                <w:i w:val="0"/>
                <w:iCs w:val="0"/>
                <w:color w:val="000000"/>
                <w:sz w:val="20"/>
                <w:szCs w:val="20"/>
                <w:highlight w:val="none"/>
                <w:u w:val="none"/>
              </w:rPr>
            </w:pP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shd w:val="clear"/>
              <w:kinsoku/>
              <w:wordWrap/>
              <w:overflowPunct/>
              <w:topLinePunct w:val="0"/>
              <w:autoSpaceDE/>
              <w:autoSpaceDN/>
              <w:bidi w:val="0"/>
              <w:adjustRightInd/>
              <w:snapToGrid/>
              <w:spacing w:line="260" w:lineRule="exact"/>
              <w:jc w:val="right"/>
              <w:rPr>
                <w:rFonts w:hint="eastAsia" w:ascii="宋体" w:hAnsi="宋体" w:eastAsia="宋体" w:cs="宋体"/>
                <w:i w:val="0"/>
                <w:iCs w:val="0"/>
                <w:color w:val="000000"/>
                <w:sz w:val="20"/>
                <w:szCs w:val="20"/>
                <w:highlight w:val="none"/>
                <w:u w:val="none"/>
              </w:rPr>
            </w:pP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shd w:val="clear"/>
              <w:kinsoku/>
              <w:wordWrap/>
              <w:overflowPunct/>
              <w:topLinePunct w:val="0"/>
              <w:autoSpaceDE/>
              <w:autoSpaceDN/>
              <w:bidi w:val="0"/>
              <w:adjustRightInd/>
              <w:snapToGrid/>
              <w:spacing w:line="26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2130299</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其他林业和草原支出</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611.92</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611.92</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shd w:val="clear"/>
              <w:kinsoku/>
              <w:wordWrap/>
              <w:overflowPunct/>
              <w:topLinePunct w:val="0"/>
              <w:autoSpaceDE/>
              <w:autoSpaceDN/>
              <w:bidi w:val="0"/>
              <w:adjustRightInd/>
              <w:snapToGrid/>
              <w:spacing w:line="260" w:lineRule="exact"/>
              <w:jc w:val="right"/>
              <w:rPr>
                <w:rFonts w:hint="eastAsia" w:ascii="宋体" w:hAnsi="宋体" w:eastAsia="宋体" w:cs="宋体"/>
                <w:i w:val="0"/>
                <w:iCs w:val="0"/>
                <w:color w:val="000000"/>
                <w:sz w:val="20"/>
                <w:szCs w:val="20"/>
                <w:highlight w:val="none"/>
                <w:u w:val="none"/>
              </w:rPr>
            </w:pP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shd w:val="clear"/>
              <w:kinsoku/>
              <w:wordWrap/>
              <w:overflowPunct/>
              <w:topLinePunct w:val="0"/>
              <w:autoSpaceDE/>
              <w:autoSpaceDN/>
              <w:bidi w:val="0"/>
              <w:adjustRightInd/>
              <w:snapToGrid/>
              <w:spacing w:line="260" w:lineRule="exact"/>
              <w:jc w:val="right"/>
              <w:rPr>
                <w:rFonts w:hint="eastAsia" w:ascii="宋体" w:hAnsi="宋体" w:eastAsia="宋体" w:cs="宋体"/>
                <w:i w:val="0"/>
                <w:iCs w:val="0"/>
                <w:color w:val="000000"/>
                <w:sz w:val="20"/>
                <w:szCs w:val="20"/>
                <w:highlight w:val="none"/>
                <w:u w:val="none"/>
              </w:rPr>
            </w:pP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shd w:val="clear"/>
              <w:kinsoku/>
              <w:wordWrap/>
              <w:overflowPunct/>
              <w:topLinePunct w:val="0"/>
              <w:autoSpaceDE/>
              <w:autoSpaceDN/>
              <w:bidi w:val="0"/>
              <w:adjustRightInd/>
              <w:snapToGrid/>
              <w:spacing w:line="260" w:lineRule="exact"/>
              <w:jc w:val="right"/>
              <w:rPr>
                <w:rFonts w:hint="eastAsia" w:ascii="宋体" w:hAnsi="宋体" w:eastAsia="宋体" w:cs="宋体"/>
                <w:i w:val="0"/>
                <w:iCs w:val="0"/>
                <w:color w:val="000000"/>
                <w:sz w:val="20"/>
                <w:szCs w:val="20"/>
                <w:highlight w:val="none"/>
                <w:u w:val="none"/>
              </w:rPr>
            </w:pP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shd w:val="clear"/>
              <w:kinsoku/>
              <w:wordWrap/>
              <w:overflowPunct/>
              <w:topLinePunct w:val="0"/>
              <w:autoSpaceDE/>
              <w:autoSpaceDN/>
              <w:bidi w:val="0"/>
              <w:adjustRightInd/>
              <w:snapToGrid/>
              <w:spacing w:line="260" w:lineRule="exact"/>
              <w:jc w:val="right"/>
              <w:rPr>
                <w:rFonts w:hint="eastAsia" w:ascii="宋体" w:hAnsi="宋体" w:eastAsia="宋体" w:cs="宋体"/>
                <w:i w:val="0"/>
                <w:iCs w:val="0"/>
                <w:color w:val="000000"/>
                <w:sz w:val="20"/>
                <w:szCs w:val="20"/>
                <w:highlight w:val="none"/>
                <w:u w:val="none"/>
              </w:rPr>
            </w:pP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shd w:val="clear"/>
              <w:kinsoku/>
              <w:wordWrap/>
              <w:overflowPunct/>
              <w:topLinePunct w:val="0"/>
              <w:autoSpaceDE/>
              <w:autoSpaceDN/>
              <w:bidi w:val="0"/>
              <w:adjustRightInd/>
              <w:snapToGrid/>
              <w:spacing w:line="26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221</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住房保障支出</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53.00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53.00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22102</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住房改革支出</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53.00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53.00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2210201</w:t>
            </w:r>
          </w:p>
        </w:tc>
        <w:tc>
          <w:tcPr>
            <w:tcW w:w="373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住房公积金</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53.00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53.00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13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bl>
    <w:p>
      <w:pPr>
        <w:shd w:val="clea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highlight w:val="none"/>
        </w:rPr>
      </w:pPr>
    </w:p>
    <w:p>
      <w:pPr>
        <w:shd w:val="clear"/>
        <w:tabs>
          <w:tab w:val="left" w:pos="630"/>
          <w:tab w:val="left" w:pos="2100"/>
          <w:tab w:val="left" w:pos="3895"/>
          <w:tab w:val="left" w:pos="5690"/>
          <w:tab w:val="left" w:pos="7485"/>
          <w:tab w:val="left" w:pos="9280"/>
          <w:tab w:val="left" w:pos="11075"/>
          <w:tab w:val="left" w:pos="12870"/>
        </w:tabs>
        <w:jc w:val="left"/>
        <w:rPr>
          <w:rFonts w:ascii="Times New Roman" w:hAnsi="Times New Roman" w:eastAsia="仿宋_GB2312" w:cs="Times New Roman"/>
          <w:color w:val="000000"/>
          <w:sz w:val="20"/>
          <w:szCs w:val="20"/>
          <w:highlight w:val="none"/>
        </w:rPr>
      </w:pPr>
      <w:r>
        <w:rPr>
          <w:rFonts w:hint="eastAsia" w:ascii="Times New Roman" w:hAnsi="Times New Roman" w:eastAsia="仿宋_GB2312" w:cs="Times New Roman"/>
          <w:color w:val="000000"/>
          <w:sz w:val="20"/>
          <w:szCs w:val="20"/>
          <w:highlight w:val="none"/>
        </w:rPr>
        <w:t>注：本表反映部门本年度取得的各项收入情况。</w:t>
      </w:r>
    </w:p>
    <w:p>
      <w:pPr>
        <w:widowControl/>
        <w:shd w:val="clear"/>
        <w:jc w:val="left"/>
        <w:rPr>
          <w:rFonts w:ascii="Times New Roman" w:hAnsi="Times New Roman" w:eastAsia="黑体" w:cs="Times New Roman"/>
          <w:bCs/>
          <w:kern w:val="0"/>
          <w:sz w:val="32"/>
          <w:szCs w:val="32"/>
          <w:highlight w:val="none"/>
        </w:rPr>
      </w:pPr>
      <w:r>
        <w:rPr>
          <w:rFonts w:ascii="Times New Roman" w:hAnsi="Times New Roman" w:eastAsia="黑体" w:cs="Times New Roman"/>
          <w:bCs/>
          <w:kern w:val="0"/>
          <w:sz w:val="32"/>
          <w:szCs w:val="32"/>
          <w:highlight w:val="none"/>
        </w:rPr>
        <w:br w:type="page"/>
      </w:r>
    </w:p>
    <w:p>
      <w:pPr>
        <w:widowControl/>
        <w:shd w:val="clear"/>
        <w:jc w:val="center"/>
        <w:textAlignment w:val="center"/>
        <w:rPr>
          <w:rFonts w:ascii="Times New Roman" w:hAnsi="Times New Roman" w:eastAsia="黑体" w:cs="Times New Roman"/>
          <w:color w:val="000000"/>
          <w:kern w:val="0"/>
          <w:sz w:val="32"/>
          <w:szCs w:val="32"/>
          <w:highlight w:val="none"/>
          <w:lang w:bidi="ar"/>
        </w:rPr>
      </w:pPr>
    </w:p>
    <w:p>
      <w:pPr>
        <w:widowControl/>
        <w:shd w:val="clear"/>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支出决算表</w:t>
      </w:r>
    </w:p>
    <w:p>
      <w:pPr>
        <w:widowControl/>
        <w:shd w:val="clear"/>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color w:val="000000"/>
          <w:kern w:val="0"/>
          <w:sz w:val="20"/>
          <w:szCs w:val="20"/>
          <w:highlight w:val="none"/>
        </w:rPr>
        <w:t>公开03表</w:t>
      </w:r>
    </w:p>
    <w:p>
      <w:pPr>
        <w:widowControl/>
        <w:shd w:val="clear"/>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color w:val="000000"/>
          <w:kern w:val="0"/>
          <w:sz w:val="20"/>
          <w:szCs w:val="20"/>
          <w:highlight w:val="none"/>
        </w:rPr>
        <w:t>部门：</w:t>
      </w:r>
      <w:r>
        <w:rPr>
          <w:rFonts w:hint="eastAsia" w:ascii="Times New Roman" w:hAnsi="Times New Roman" w:eastAsia="仿宋_GB2312" w:cs="Times New Roman"/>
          <w:color w:val="000000"/>
          <w:kern w:val="0"/>
          <w:sz w:val="20"/>
          <w:szCs w:val="20"/>
          <w:highlight w:val="none"/>
        </w:rPr>
        <w:t>湖南省兽药饲料监察所</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color w:val="000000"/>
          <w:kern w:val="0"/>
          <w:sz w:val="20"/>
          <w:szCs w:val="20"/>
          <w:highlight w:val="none"/>
        </w:rPr>
        <w:t>　</w:t>
      </w:r>
      <w:r>
        <w:rPr>
          <w:rFonts w:ascii="Times New Roman" w:hAnsi="Times New Roman" w:eastAsia="仿宋_GB2312" w:cs="Times New Roman"/>
          <w:color w:val="000000"/>
          <w:kern w:val="0"/>
          <w:sz w:val="20"/>
          <w:szCs w:val="20"/>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color w:val="000000"/>
          <w:kern w:val="0"/>
          <w:sz w:val="20"/>
          <w:szCs w:val="20"/>
          <w:highlight w:val="none"/>
        </w:rPr>
        <w:t>单位：万元</w:t>
      </w:r>
    </w:p>
    <w:tbl>
      <w:tblPr>
        <w:tblStyle w:val="10"/>
        <w:tblW w:w="1395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6"/>
        <w:gridCol w:w="3416"/>
        <w:gridCol w:w="1587"/>
        <w:gridCol w:w="1587"/>
        <w:gridCol w:w="1587"/>
        <w:gridCol w:w="1587"/>
        <w:gridCol w:w="1587"/>
        <w:gridCol w:w="15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43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w:t>
            </w:r>
          </w:p>
        </w:tc>
        <w:tc>
          <w:tcPr>
            <w:tcW w:w="158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本年支出合计</w:t>
            </w:r>
          </w:p>
        </w:tc>
        <w:tc>
          <w:tcPr>
            <w:tcW w:w="158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基本支出</w:t>
            </w:r>
          </w:p>
        </w:tc>
        <w:tc>
          <w:tcPr>
            <w:tcW w:w="158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项目支出</w:t>
            </w:r>
          </w:p>
        </w:tc>
        <w:tc>
          <w:tcPr>
            <w:tcW w:w="158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上缴上级支出</w:t>
            </w:r>
          </w:p>
        </w:tc>
        <w:tc>
          <w:tcPr>
            <w:tcW w:w="158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经营支出</w:t>
            </w:r>
          </w:p>
        </w:tc>
        <w:tc>
          <w:tcPr>
            <w:tcW w:w="15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1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功能分类科目编码</w:t>
            </w:r>
          </w:p>
        </w:tc>
        <w:tc>
          <w:tcPr>
            <w:tcW w:w="3416"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科目名称</w:t>
            </w: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1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3416"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1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3416"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15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43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栏次</w:t>
            </w:r>
          </w:p>
        </w:tc>
        <w:tc>
          <w:tcPr>
            <w:tcW w:w="1587"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587"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587"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587"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1587"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59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43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合计</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1,790.09</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678.80</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1,111.29</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b/>
                <w:bCs/>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b/>
                <w:bCs/>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b/>
                <w:bCs/>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201</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一般公共服务支出</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20138</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市场监督管理事务</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2013899</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其他市场监督管理事务</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205</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教育支出</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20508</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进修及培训</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2050803</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培训支出</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社会保障和就业支出</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20805</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行政事业单位养老支出</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2080502</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事业单位离退休</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36.16</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36.16</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2080505</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机关事业单位基本养老保险缴费支出</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48.30</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48.30</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农林水支出</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1,658.48</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553.47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1,105.00</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农业农村</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1,046.56</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553.47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493.08</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2130104</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事业运行</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573.94</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553.47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20.47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2130109</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农产品质量安全</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0.49</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0.49</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2130122</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农业生产发展</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414.95</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414.95</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2130135</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农业生态资源保护</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57.18</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57.18</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21302</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林业和草原</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611.92</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611.92</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2130299</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其他林业和草原支出</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611.92</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611.92</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221</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住房保障支出</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22102</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住房改革支出</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2210201</w:t>
            </w:r>
          </w:p>
        </w:tc>
        <w:tc>
          <w:tcPr>
            <w:tcW w:w="34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住房公积金</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8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15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bl>
    <w:p>
      <w:pPr>
        <w:shd w:val="clear"/>
        <w:tabs>
          <w:tab w:val="left" w:pos="630"/>
          <w:tab w:val="left" w:pos="2100"/>
          <w:tab w:val="left" w:pos="3895"/>
          <w:tab w:val="left" w:pos="5690"/>
          <w:tab w:val="left" w:pos="7485"/>
          <w:tab w:val="left" w:pos="9280"/>
          <w:tab w:val="left" w:pos="11075"/>
          <w:tab w:val="left" w:pos="12870"/>
        </w:tabs>
        <w:jc w:val="left"/>
        <w:rPr>
          <w:rFonts w:ascii="Times New Roman" w:hAnsi="Times New Roman" w:eastAsia="仿宋_GB2312" w:cs="Times New Roman"/>
          <w:color w:val="000000"/>
          <w:sz w:val="20"/>
          <w:szCs w:val="20"/>
          <w:highlight w:val="none"/>
        </w:rPr>
      </w:pPr>
      <w:r>
        <w:rPr>
          <w:rFonts w:hint="eastAsia" w:ascii="Times New Roman" w:hAnsi="Times New Roman" w:eastAsia="仿宋_GB2312" w:cs="Times New Roman"/>
          <w:color w:val="000000"/>
          <w:sz w:val="20"/>
          <w:szCs w:val="20"/>
          <w:highlight w:val="none"/>
        </w:rPr>
        <w:t>注：本表反映部门本年度各项支出情况。</w:t>
      </w:r>
    </w:p>
    <w:p>
      <w:pPr>
        <w:widowControl/>
        <w:shd w:val="clear"/>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highlight w:val="none"/>
        </w:rPr>
      </w:pPr>
      <w:bookmarkStart w:id="0" w:name="RANGE!A1:I22"/>
      <w:bookmarkEnd w:id="0"/>
      <w:bookmarkStart w:id="1" w:name="RANGE!A1:F16"/>
      <w:r>
        <w:rPr>
          <w:rFonts w:ascii="Times New Roman" w:hAnsi="Times New Roman" w:eastAsia="黑体" w:cs="Times New Roman"/>
          <w:kern w:val="0"/>
          <w:sz w:val="24"/>
          <w:szCs w:val="24"/>
          <w:highlight w:val="none"/>
        </w:rPr>
        <w:tab/>
      </w:r>
      <w:r>
        <w:rPr>
          <w:rFonts w:ascii="Times New Roman" w:hAnsi="Times New Roman" w:eastAsia="宋体" w:cs="Times New Roman"/>
          <w:kern w:val="0"/>
          <w:sz w:val="24"/>
          <w:szCs w:val="24"/>
          <w:highlight w:val="none"/>
        </w:rPr>
        <w:tab/>
      </w:r>
      <w:r>
        <w:rPr>
          <w:rFonts w:ascii="Times New Roman" w:hAnsi="Times New Roman" w:eastAsia="宋体" w:cs="Times New Roman"/>
          <w:kern w:val="0"/>
          <w:sz w:val="24"/>
          <w:szCs w:val="24"/>
          <w:highlight w:val="none"/>
        </w:rPr>
        <w:tab/>
      </w:r>
      <w:r>
        <w:rPr>
          <w:rFonts w:ascii="Times New Roman" w:hAnsi="Times New Roman" w:eastAsia="宋体" w:cs="Times New Roman"/>
          <w:kern w:val="0"/>
          <w:sz w:val="24"/>
          <w:szCs w:val="24"/>
          <w:highlight w:val="none"/>
        </w:rPr>
        <w:tab/>
      </w:r>
      <w:r>
        <w:rPr>
          <w:rFonts w:ascii="Times New Roman" w:hAnsi="Times New Roman" w:eastAsia="宋体" w:cs="Times New Roman"/>
          <w:kern w:val="0"/>
          <w:sz w:val="24"/>
          <w:szCs w:val="24"/>
          <w:highlight w:val="none"/>
        </w:rPr>
        <w:tab/>
      </w:r>
      <w:r>
        <w:rPr>
          <w:rFonts w:ascii="Times New Roman" w:hAnsi="Times New Roman" w:eastAsia="宋体" w:cs="Times New Roman"/>
          <w:kern w:val="0"/>
          <w:sz w:val="24"/>
          <w:szCs w:val="24"/>
          <w:highlight w:val="none"/>
        </w:rPr>
        <w:tab/>
      </w:r>
    </w:p>
    <w:p>
      <w:pPr>
        <w:widowControl/>
        <w:shd w:val="clear"/>
        <w:spacing w:line="400" w:lineRule="exact"/>
        <w:jc w:val="center"/>
        <w:textAlignment w:val="center"/>
        <w:rPr>
          <w:rFonts w:ascii="Times New Roman" w:hAnsi="Times New Roman" w:eastAsia="黑体" w:cs="Times New Roman"/>
          <w:color w:val="000000"/>
          <w:kern w:val="0"/>
          <w:sz w:val="32"/>
          <w:szCs w:val="32"/>
          <w:highlight w:val="none"/>
          <w:lang w:bidi="ar"/>
        </w:rPr>
      </w:pPr>
    </w:p>
    <w:p>
      <w:pPr>
        <w:keepNext w:val="0"/>
        <w:keepLines w:val="0"/>
        <w:pageBreakBefore w:val="0"/>
        <w:widowControl/>
        <w:shd w:val="clear"/>
        <w:kinsoku/>
        <w:wordWrap/>
        <w:overflowPunct/>
        <w:topLinePunct w:val="0"/>
        <w:autoSpaceDE/>
        <w:autoSpaceDN/>
        <w:bidi w:val="0"/>
        <w:adjustRightInd/>
        <w:snapToGrid/>
        <w:spacing w:after="156" w:afterLines="50" w:line="400" w:lineRule="exact"/>
        <w:jc w:val="center"/>
        <w:textAlignment w:val="center"/>
        <w:rPr>
          <w:rFonts w:hint="default" w:ascii="Times New Roman" w:hAnsi="Times New Roman" w:eastAsia="黑体" w:cs="Times New Roman"/>
          <w:color w:val="000000"/>
          <w:kern w:val="0"/>
          <w:sz w:val="36"/>
          <w:szCs w:val="36"/>
          <w:highlight w:val="none"/>
          <w:lang w:val="en-US" w:eastAsia="zh-CN" w:bidi="ar"/>
        </w:rPr>
      </w:pPr>
      <w:r>
        <w:rPr>
          <w:rFonts w:ascii="Times New Roman" w:hAnsi="Times New Roman" w:eastAsia="黑体" w:cs="Times New Roman"/>
          <w:color w:val="000000"/>
          <w:kern w:val="0"/>
          <w:sz w:val="36"/>
          <w:szCs w:val="36"/>
          <w:highlight w:val="none"/>
          <w:lang w:bidi="ar"/>
        </w:rPr>
        <w:t>财政拨款收入支出决算总表</w:t>
      </w:r>
      <w:r>
        <w:rPr>
          <w:rFonts w:hint="eastAsia" w:ascii="Times New Roman" w:hAnsi="Times New Roman" w:eastAsia="黑体" w:cs="Times New Roman"/>
          <w:color w:val="000000"/>
          <w:kern w:val="0"/>
          <w:sz w:val="36"/>
          <w:szCs w:val="36"/>
          <w:highlight w:val="none"/>
          <w:lang w:val="en-US" w:eastAsia="zh-CN" w:bidi="ar"/>
        </w:rPr>
        <w:t xml:space="preserve">  </w:t>
      </w:r>
    </w:p>
    <w:tbl>
      <w:tblPr>
        <w:tblStyle w:val="10"/>
        <w:tblpPr w:leftFromText="180" w:rightFromText="180" w:vertAnchor="text" w:horzAnchor="page" w:tblpXSpec="center" w:tblpY="699"/>
        <w:tblOverlap w:val="never"/>
        <w:tblW w:w="142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16"/>
        <w:gridCol w:w="537"/>
        <w:gridCol w:w="916"/>
        <w:gridCol w:w="3216"/>
        <w:gridCol w:w="537"/>
        <w:gridCol w:w="916"/>
        <w:gridCol w:w="1704"/>
        <w:gridCol w:w="1628"/>
        <w:gridCol w:w="1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469"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收     入</w:t>
            </w:r>
          </w:p>
        </w:tc>
        <w:tc>
          <w:tcPr>
            <w:tcW w:w="9751" w:type="dxa"/>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01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w:t>
            </w:r>
          </w:p>
        </w:tc>
        <w:tc>
          <w:tcPr>
            <w:tcW w:w="53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行次</w:t>
            </w:r>
          </w:p>
        </w:tc>
        <w:tc>
          <w:tcPr>
            <w:tcW w:w="91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金额</w:t>
            </w:r>
          </w:p>
        </w:tc>
        <w:tc>
          <w:tcPr>
            <w:tcW w:w="321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w:t>
            </w:r>
          </w:p>
        </w:tc>
        <w:tc>
          <w:tcPr>
            <w:tcW w:w="53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行次</w:t>
            </w:r>
          </w:p>
        </w:tc>
        <w:tc>
          <w:tcPr>
            <w:tcW w:w="916"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合计</w:t>
            </w:r>
          </w:p>
        </w:tc>
        <w:tc>
          <w:tcPr>
            <w:tcW w:w="170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一般公共预算财政拨款</w:t>
            </w:r>
          </w:p>
        </w:tc>
        <w:tc>
          <w:tcPr>
            <w:tcW w:w="162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政府性基金预算财政拨款</w:t>
            </w:r>
          </w:p>
        </w:tc>
        <w:tc>
          <w:tcPr>
            <w:tcW w:w="175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301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center"/>
              <w:rPr>
                <w:rFonts w:hint="eastAsia" w:ascii="宋体" w:hAnsi="宋体" w:eastAsia="宋体" w:cs="宋体"/>
                <w:i w:val="0"/>
                <w:iCs w:val="0"/>
                <w:color w:val="000000"/>
                <w:sz w:val="20"/>
                <w:szCs w:val="20"/>
                <w:highlight w:val="none"/>
                <w:u w:val="none"/>
              </w:rPr>
            </w:pPr>
          </w:p>
        </w:tc>
        <w:tc>
          <w:tcPr>
            <w:tcW w:w="53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center"/>
              <w:rPr>
                <w:rFonts w:hint="eastAsia" w:ascii="宋体" w:hAnsi="宋体" w:eastAsia="宋体" w:cs="宋体"/>
                <w:i w:val="0"/>
                <w:iCs w:val="0"/>
                <w:color w:val="000000"/>
                <w:sz w:val="20"/>
                <w:szCs w:val="20"/>
                <w:highlight w:val="none"/>
                <w:u w:val="none"/>
              </w:rPr>
            </w:pPr>
          </w:p>
        </w:tc>
        <w:tc>
          <w:tcPr>
            <w:tcW w:w="91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center"/>
              <w:rPr>
                <w:rFonts w:hint="eastAsia" w:ascii="宋体" w:hAnsi="宋体" w:eastAsia="宋体" w:cs="宋体"/>
                <w:i w:val="0"/>
                <w:iCs w:val="0"/>
                <w:color w:val="000000"/>
                <w:sz w:val="20"/>
                <w:szCs w:val="20"/>
                <w:highlight w:val="none"/>
                <w:u w:val="none"/>
              </w:rPr>
            </w:pPr>
          </w:p>
        </w:tc>
        <w:tc>
          <w:tcPr>
            <w:tcW w:w="321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center"/>
              <w:rPr>
                <w:rFonts w:hint="eastAsia" w:ascii="宋体" w:hAnsi="宋体" w:eastAsia="宋体" w:cs="宋体"/>
                <w:i w:val="0"/>
                <w:iCs w:val="0"/>
                <w:color w:val="000000"/>
                <w:sz w:val="20"/>
                <w:szCs w:val="20"/>
                <w:highlight w:val="none"/>
                <w:u w:val="none"/>
              </w:rPr>
            </w:pPr>
          </w:p>
        </w:tc>
        <w:tc>
          <w:tcPr>
            <w:tcW w:w="53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center"/>
              <w:rPr>
                <w:rFonts w:hint="eastAsia" w:ascii="宋体" w:hAnsi="宋体" w:eastAsia="宋体" w:cs="宋体"/>
                <w:i w:val="0"/>
                <w:iCs w:val="0"/>
                <w:color w:val="000000"/>
                <w:sz w:val="20"/>
                <w:szCs w:val="20"/>
                <w:highlight w:val="none"/>
                <w:u w:val="none"/>
              </w:rPr>
            </w:pPr>
          </w:p>
        </w:tc>
        <w:tc>
          <w:tcPr>
            <w:tcW w:w="916"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center"/>
              <w:rPr>
                <w:rFonts w:hint="eastAsia" w:ascii="宋体" w:hAnsi="宋体" w:eastAsia="宋体" w:cs="宋体"/>
                <w:i w:val="0"/>
                <w:iCs w:val="0"/>
                <w:color w:val="000000"/>
                <w:sz w:val="20"/>
                <w:szCs w:val="20"/>
                <w:highlight w:val="none"/>
                <w:u w:val="none"/>
              </w:rPr>
            </w:pPr>
          </w:p>
        </w:tc>
        <w:tc>
          <w:tcPr>
            <w:tcW w:w="170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center"/>
              <w:rPr>
                <w:rFonts w:hint="eastAsia" w:ascii="宋体" w:hAnsi="宋体" w:eastAsia="宋体" w:cs="宋体"/>
                <w:i w:val="0"/>
                <w:iCs w:val="0"/>
                <w:color w:val="000000"/>
                <w:sz w:val="20"/>
                <w:szCs w:val="20"/>
                <w:highlight w:val="none"/>
                <w:u w:val="none"/>
              </w:rPr>
            </w:pPr>
          </w:p>
        </w:tc>
        <w:tc>
          <w:tcPr>
            <w:tcW w:w="162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center"/>
              <w:rPr>
                <w:rFonts w:hint="eastAsia" w:ascii="宋体" w:hAnsi="宋体" w:eastAsia="宋体" w:cs="宋体"/>
                <w:i w:val="0"/>
                <w:iCs w:val="0"/>
                <w:color w:val="000000"/>
                <w:sz w:val="20"/>
                <w:szCs w:val="20"/>
                <w:highlight w:val="none"/>
                <w:u w:val="none"/>
              </w:rPr>
            </w:pPr>
          </w:p>
        </w:tc>
        <w:tc>
          <w:tcPr>
            <w:tcW w:w="175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栏次</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center"/>
              <w:rPr>
                <w:rFonts w:hint="eastAsia" w:ascii="宋体" w:hAnsi="宋体" w:eastAsia="宋体" w:cs="宋体"/>
                <w:i w:val="0"/>
                <w:iCs w:val="0"/>
                <w:color w:val="000000"/>
                <w:sz w:val="20"/>
                <w:szCs w:val="20"/>
                <w:highlight w:val="none"/>
                <w:u w:val="none"/>
              </w:rPr>
            </w:pPr>
          </w:p>
        </w:tc>
        <w:tc>
          <w:tcPr>
            <w:tcW w:w="9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栏次</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center"/>
              <w:rPr>
                <w:rFonts w:hint="eastAsia" w:ascii="宋体" w:hAnsi="宋体" w:eastAsia="宋体" w:cs="宋体"/>
                <w:i w:val="0"/>
                <w:iCs w:val="0"/>
                <w:color w:val="000000"/>
                <w:sz w:val="20"/>
                <w:szCs w:val="20"/>
                <w:highlight w:val="none"/>
                <w:u w:val="none"/>
              </w:rPr>
            </w:pPr>
          </w:p>
        </w:tc>
        <w:tc>
          <w:tcPr>
            <w:tcW w:w="9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70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6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175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一、一般公共预算财政拨款</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1,808.30</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一、一般公共服务支出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二、政府性基金预算财政拨款</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二、外交支出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34</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三、国有资本经营预算财政拨款</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三、国防支出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四、公共安全支出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五、教育支出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37</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六、科学技术支出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38</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七、文化旅游体育与传媒支出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八、社会保障和就业支出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九、卫生健康支出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十、节能环保支出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42</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十一、城乡社区支出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43</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十二、农林水支出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44</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1,607.93</w:t>
            </w: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1,607.93</w:t>
            </w: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十三、交通运输支出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45</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十四、资源勘探工业信息等支出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十五、商业服务业等支出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47</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十六、金融支出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十七、援助其他地区支出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49</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十八、自然资源海洋气象等支出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十九、住房保障支出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51</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二十、粮油物资储备支出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二十一、国有资本经营预算支出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53</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二十二、灾害防治及应急管理支出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54</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二十三、其他支出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center"/>
              <w:rPr>
                <w:rFonts w:hint="eastAsia" w:ascii="宋体" w:hAnsi="宋体" w:eastAsia="宋体" w:cs="宋体"/>
                <w:b/>
                <w:bCs/>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二十四、债务还本支出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56</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25</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二十五、债务付息支出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57</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26</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二十六、抗疫特别国债安排的支出</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58</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本年收入合计</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1,808.30</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本年支出合计</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59</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1,739.54</w:t>
            </w: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1,739.54</w:t>
            </w: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年初财政拨款结转和结余</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28</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17.20</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年末财政拨款结转和结余</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85.96</w:t>
            </w: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85.96</w:t>
            </w: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一般公共预算财政拨款</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17.20</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政府性基金预算财政拨款</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62</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国有资本经营预算财政拨款</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left"/>
              <w:rPr>
                <w:rFonts w:hint="eastAsia" w:ascii="宋体" w:hAnsi="宋体" w:eastAsia="宋体" w:cs="宋体"/>
                <w:i w:val="0"/>
                <w:iCs w:val="0"/>
                <w:color w:val="000000"/>
                <w:sz w:val="20"/>
                <w:szCs w:val="20"/>
                <w:highlight w:val="none"/>
                <w:u w:val="none"/>
              </w:rPr>
            </w:pP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63</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总计</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1,825.50</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总计</w:t>
            </w:r>
          </w:p>
        </w:tc>
        <w:tc>
          <w:tcPr>
            <w:tcW w:w="53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64</w:t>
            </w:r>
          </w:p>
        </w:tc>
        <w:tc>
          <w:tcPr>
            <w:tcW w:w="91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1,825.50</w:t>
            </w:r>
          </w:p>
        </w:tc>
        <w:tc>
          <w:tcPr>
            <w:tcW w:w="170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val="0"/>
              <w:spacing w:line="20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1,825.50</w:t>
            </w:r>
          </w:p>
        </w:tc>
        <w:tc>
          <w:tcPr>
            <w:tcW w:w="162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c>
          <w:tcPr>
            <w:tcW w:w="17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val="0"/>
              <w:spacing w:line="200" w:lineRule="exact"/>
              <w:jc w:val="right"/>
              <w:rPr>
                <w:rFonts w:hint="eastAsia" w:ascii="宋体" w:hAnsi="宋体" w:eastAsia="宋体" w:cs="宋体"/>
                <w:i w:val="0"/>
                <w:iCs w:val="0"/>
                <w:color w:val="000000"/>
                <w:sz w:val="20"/>
                <w:szCs w:val="20"/>
                <w:highlight w:val="none"/>
                <w:u w:val="none"/>
              </w:rPr>
            </w:pPr>
          </w:p>
        </w:tc>
      </w:tr>
    </w:tbl>
    <w:p>
      <w:pPr>
        <w:widowControl/>
        <w:shd w:val="clear"/>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color w:val="000000"/>
          <w:kern w:val="0"/>
          <w:sz w:val="20"/>
          <w:szCs w:val="20"/>
          <w:highlight w:val="none"/>
        </w:rPr>
        <w:t xml:space="preserve">                                                                                                             </w:t>
      </w:r>
      <w:r>
        <w:rPr>
          <w:rFonts w:hint="eastAsia" w:ascii="Times New Roman" w:hAnsi="Times New Roman" w:eastAsia="仿宋_GB2312" w:cs="Times New Roman"/>
          <w:color w:val="000000"/>
          <w:kern w:val="0"/>
          <w:sz w:val="20"/>
          <w:szCs w:val="20"/>
          <w:highlight w:val="none"/>
          <w:lang w:val="en-US" w:eastAsia="zh-CN"/>
        </w:rPr>
        <w:t xml:space="preserve">                </w:t>
      </w:r>
      <w:r>
        <w:rPr>
          <w:rFonts w:ascii="Times New Roman" w:hAnsi="Times New Roman" w:eastAsia="仿宋_GB2312" w:cs="Times New Roman"/>
          <w:color w:val="000000"/>
          <w:kern w:val="0"/>
          <w:sz w:val="20"/>
          <w:szCs w:val="20"/>
          <w:highlight w:val="none"/>
        </w:rPr>
        <w:t xml:space="preserve">     公开04表</w:t>
      </w:r>
    </w:p>
    <w:p>
      <w:pPr>
        <w:keepNext w:val="0"/>
        <w:keepLines w:val="0"/>
        <w:pageBreakBefore w:val="0"/>
        <w:widowControl/>
        <w:shd w:val="clear"/>
        <w:tabs>
          <w:tab w:val="left" w:pos="3595"/>
          <w:tab w:val="left" w:pos="4031"/>
          <w:tab w:val="left" w:pos="5109"/>
          <w:tab w:val="left" w:pos="9152"/>
          <w:tab w:val="left" w:pos="9587"/>
          <w:tab w:val="left" w:pos="11160"/>
          <w:tab w:val="left" w:pos="12554"/>
          <w:tab w:val="left" w:pos="13948"/>
        </w:tabs>
        <w:kinsoku/>
        <w:wordWrap/>
        <w:overflowPunct/>
        <w:topLinePunct w:val="0"/>
        <w:autoSpaceDE/>
        <w:autoSpaceDN/>
        <w:bidi w:val="0"/>
        <w:adjustRightInd/>
        <w:snapToGrid/>
        <w:spacing w:line="240" w:lineRule="exact"/>
        <w:jc w:val="both"/>
        <w:textAlignment w:val="auto"/>
        <w:rPr>
          <w:rFonts w:ascii="Times New Roman" w:hAnsi="Times New Roman" w:eastAsia="仿宋_GB2312" w:cs="Times New Roman"/>
          <w:color w:val="000000"/>
          <w:kern w:val="0"/>
          <w:sz w:val="20"/>
          <w:szCs w:val="20"/>
          <w:highlight w:val="none"/>
        </w:rPr>
      </w:pPr>
      <w:r>
        <w:rPr>
          <w:rFonts w:ascii="Times New Roman" w:hAnsi="Times New Roman" w:eastAsia="仿宋_GB2312" w:cs="Times New Roman"/>
          <w:color w:val="000000"/>
          <w:kern w:val="0"/>
          <w:sz w:val="20"/>
          <w:szCs w:val="20"/>
          <w:highlight w:val="none"/>
        </w:rPr>
        <w:t>部门：</w:t>
      </w:r>
      <w:r>
        <w:rPr>
          <w:rFonts w:hint="eastAsia" w:ascii="Times New Roman" w:hAnsi="Times New Roman" w:eastAsia="仿宋_GB2312" w:cs="Times New Roman"/>
          <w:color w:val="000000"/>
          <w:kern w:val="0"/>
          <w:sz w:val="20"/>
          <w:szCs w:val="20"/>
          <w:highlight w:val="none"/>
        </w:rPr>
        <w:t>湖南省兽药饲料监察所</w:t>
      </w:r>
      <w:r>
        <w:rPr>
          <w:rFonts w:ascii="Times New Roman" w:hAnsi="Times New Roman" w:eastAsia="仿宋_GB2312" w:cs="Times New Roman"/>
          <w:color w:val="000000"/>
          <w:kern w:val="0"/>
          <w:sz w:val="20"/>
          <w:szCs w:val="20"/>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ascii="Times New Roman" w:hAnsi="Times New Roman" w:eastAsia="仿宋_GB2312" w:cs="Times New Roman"/>
          <w:kern w:val="0"/>
          <w:sz w:val="24"/>
          <w:szCs w:val="24"/>
          <w:highlight w:val="none"/>
        </w:rPr>
        <w:t>　</w:t>
      </w:r>
      <w:r>
        <w:rPr>
          <w:rFonts w:ascii="Times New Roman" w:hAnsi="Times New Roman" w:eastAsia="仿宋_GB2312" w:cs="Times New Roman"/>
          <w:kern w:val="0"/>
          <w:sz w:val="24"/>
          <w:szCs w:val="24"/>
          <w:highlight w:val="none"/>
        </w:rPr>
        <w:tab/>
      </w:r>
      <w:r>
        <w:rPr>
          <w:rFonts w:hint="eastAsia" w:ascii="Times New Roman" w:hAnsi="Times New Roman" w:eastAsia="仿宋_GB2312" w:cs="Times New Roman"/>
          <w:kern w:val="0"/>
          <w:sz w:val="24"/>
          <w:szCs w:val="24"/>
          <w:highlight w:val="none"/>
          <w:lang w:val="en-US" w:eastAsia="zh-CN"/>
        </w:rPr>
        <w:t xml:space="preserve">             </w:t>
      </w:r>
      <w:r>
        <w:rPr>
          <w:rFonts w:ascii="Times New Roman" w:hAnsi="Times New Roman" w:eastAsia="仿宋_GB2312" w:cs="Times New Roman"/>
          <w:kern w:val="0"/>
          <w:sz w:val="24"/>
          <w:szCs w:val="24"/>
          <w:highlight w:val="none"/>
        </w:rPr>
        <w:t>　</w:t>
      </w:r>
      <w:r>
        <w:rPr>
          <w:rFonts w:ascii="Times New Roman" w:hAnsi="Times New Roman" w:eastAsia="仿宋_GB2312" w:cs="Times New Roman"/>
          <w:color w:val="000000"/>
          <w:kern w:val="0"/>
          <w:sz w:val="20"/>
          <w:szCs w:val="20"/>
          <w:highlight w:val="none"/>
        </w:rPr>
        <w:t>单位：万元</w:t>
      </w:r>
    </w:p>
    <w:p>
      <w:pPr>
        <w:widowControl/>
        <w:shd w:val="clear"/>
        <w:tabs>
          <w:tab w:val="left" w:pos="3595"/>
          <w:tab w:val="left" w:pos="4031"/>
          <w:tab w:val="left" w:pos="5109"/>
          <w:tab w:val="left" w:pos="9152"/>
          <w:tab w:val="left" w:pos="9587"/>
          <w:tab w:val="left" w:pos="11160"/>
          <w:tab w:val="left" w:pos="12554"/>
          <w:tab w:val="left" w:pos="13948"/>
        </w:tabs>
        <w:jc w:val="left"/>
        <w:rPr>
          <w:rFonts w:ascii="Times New Roman" w:hAnsi="Times New Roman" w:eastAsia="仿宋_GB2312" w:cs="Times New Roman"/>
          <w:color w:val="000000"/>
          <w:kern w:val="0"/>
          <w:sz w:val="20"/>
          <w:szCs w:val="20"/>
          <w:highlight w:val="none"/>
        </w:rPr>
      </w:pPr>
      <w:r>
        <w:rPr>
          <w:rFonts w:hint="eastAsia" w:ascii="Times New Roman" w:hAnsi="Times New Roman" w:eastAsia="仿宋_GB2312" w:cs="Times New Roman"/>
          <w:color w:val="000000"/>
          <w:kern w:val="0"/>
          <w:sz w:val="20"/>
          <w:szCs w:val="20"/>
          <w:highlight w:val="none"/>
        </w:rPr>
        <w:t>注：本表反映部门本年度一般公共预算财政拨款、政府性基金预算财政拨款和国有资本经营预算财政拨款的总收支和年末结转结余情况。</w:t>
      </w:r>
    </w:p>
    <w:p>
      <w:pPr>
        <w:widowControl/>
        <w:shd w:val="clear"/>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一般公共预算财政拨款支出决算表</w:t>
      </w:r>
      <w:bookmarkEnd w:id="1"/>
    </w:p>
    <w:p>
      <w:pPr>
        <w:widowControl/>
        <w:shd w:val="clear"/>
        <w:spacing w:before="156" w:beforeLines="50"/>
        <w:jc w:val="left"/>
        <w:rPr>
          <w:rFonts w:ascii="Times New Roman" w:hAnsi="Times New Roman" w:eastAsia="仿宋_GB2312" w:cs="Times New Roman"/>
          <w:color w:val="000000"/>
          <w:kern w:val="0"/>
          <w:szCs w:val="21"/>
          <w:highlight w:val="none"/>
        </w:rPr>
      </w:pPr>
      <w:r>
        <w:rPr>
          <w:rFonts w:ascii="Times New Roman" w:hAnsi="Times New Roman" w:eastAsia="仿宋_GB2312" w:cs="Times New Roman"/>
          <w:color w:val="000000"/>
          <w:kern w:val="0"/>
          <w:szCs w:val="21"/>
          <w:highlight w:val="none"/>
        </w:rPr>
        <w:t xml:space="preserve">                                                            </w:t>
      </w:r>
      <w:r>
        <w:rPr>
          <w:rFonts w:hint="eastAsia" w:ascii="Times New Roman" w:hAnsi="Times New Roman" w:eastAsia="仿宋_GB2312" w:cs="Times New Roman"/>
          <w:color w:val="000000"/>
          <w:kern w:val="0"/>
          <w:szCs w:val="21"/>
          <w:highlight w:val="none"/>
          <w:lang w:val="en-US" w:eastAsia="zh-CN"/>
        </w:rPr>
        <w:t xml:space="preserve"> </w:t>
      </w:r>
      <w:r>
        <w:rPr>
          <w:rFonts w:ascii="Times New Roman" w:hAnsi="Times New Roman" w:eastAsia="仿宋_GB2312" w:cs="Times New Roman"/>
          <w:color w:val="000000"/>
          <w:kern w:val="0"/>
          <w:szCs w:val="21"/>
          <w:highlight w:val="none"/>
        </w:rPr>
        <w:t xml:space="preserve">                       </w:t>
      </w:r>
      <w:r>
        <w:rPr>
          <w:rFonts w:hint="eastAsia" w:ascii="Times New Roman" w:hAnsi="Times New Roman" w:eastAsia="仿宋_GB2312" w:cs="Times New Roman"/>
          <w:color w:val="000000"/>
          <w:kern w:val="0"/>
          <w:szCs w:val="21"/>
          <w:highlight w:val="none"/>
          <w:lang w:val="en-US" w:eastAsia="zh-CN"/>
        </w:rPr>
        <w:t xml:space="preserve">                                 </w:t>
      </w:r>
      <w:r>
        <w:rPr>
          <w:rFonts w:ascii="Times New Roman" w:hAnsi="Times New Roman" w:eastAsia="仿宋_GB2312" w:cs="Times New Roman"/>
          <w:color w:val="000000"/>
          <w:kern w:val="0"/>
          <w:szCs w:val="21"/>
          <w:highlight w:val="none"/>
        </w:rPr>
        <w:t xml:space="preserve">  公开05表</w:t>
      </w:r>
    </w:p>
    <w:p>
      <w:pPr>
        <w:widowControl/>
        <w:shd w:val="clear"/>
        <w:jc w:val="left"/>
        <w:rPr>
          <w:rFonts w:ascii="Times New Roman" w:hAnsi="Times New Roman" w:eastAsia="宋体" w:cs="Times New Roman"/>
          <w:color w:val="000000"/>
          <w:kern w:val="0"/>
          <w:sz w:val="20"/>
          <w:szCs w:val="20"/>
          <w:highlight w:val="none"/>
        </w:rPr>
      </w:pPr>
      <w:r>
        <w:rPr>
          <w:rFonts w:ascii="Times New Roman" w:hAnsi="Times New Roman" w:eastAsia="仿宋_GB2312" w:cs="Times New Roman"/>
          <w:color w:val="000000"/>
          <w:kern w:val="0"/>
          <w:szCs w:val="21"/>
          <w:highlight w:val="none"/>
        </w:rPr>
        <w:t xml:space="preserve"> 部门：</w:t>
      </w:r>
      <w:r>
        <w:rPr>
          <w:rFonts w:hint="eastAsia" w:ascii="Times New Roman" w:hAnsi="Times New Roman" w:eastAsia="仿宋_GB2312" w:cs="Times New Roman"/>
          <w:color w:val="000000"/>
          <w:kern w:val="0"/>
          <w:szCs w:val="21"/>
          <w:highlight w:val="none"/>
        </w:rPr>
        <w:t>湖南省兽药饲料监察所</w:t>
      </w:r>
      <w:r>
        <w:rPr>
          <w:rFonts w:ascii="Times New Roman" w:hAnsi="Times New Roman" w:eastAsia="仿宋_GB2312" w:cs="Times New Roman"/>
          <w:color w:val="000000"/>
          <w:kern w:val="0"/>
          <w:szCs w:val="21"/>
          <w:highlight w:val="none"/>
        </w:rPr>
        <w:t xml:space="preserve"> </w:t>
      </w:r>
      <w:r>
        <w:rPr>
          <w:rFonts w:hint="eastAsia" w:ascii="Times New Roman" w:hAnsi="Times New Roman" w:eastAsia="仿宋_GB2312" w:cs="Times New Roman"/>
          <w:color w:val="000000"/>
          <w:kern w:val="0"/>
          <w:szCs w:val="21"/>
          <w:highlight w:val="none"/>
          <w:lang w:val="en-US" w:eastAsia="zh-CN"/>
        </w:rPr>
        <w:t xml:space="preserve">                                                                                          </w:t>
      </w:r>
      <w:r>
        <w:rPr>
          <w:rFonts w:ascii="Times New Roman" w:hAnsi="Times New Roman" w:eastAsia="仿宋_GB2312" w:cs="Times New Roman"/>
          <w:color w:val="000000"/>
          <w:kern w:val="0"/>
          <w:szCs w:val="21"/>
          <w:highlight w:val="none"/>
        </w:rPr>
        <w:t>单位：万元</w:t>
      </w:r>
    </w:p>
    <w:tbl>
      <w:tblPr>
        <w:tblStyle w:val="10"/>
        <w:tblW w:w="13955"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0"/>
        <w:gridCol w:w="5555"/>
        <w:gridCol w:w="2470"/>
        <w:gridCol w:w="2470"/>
        <w:gridCol w:w="2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545"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w:t>
            </w:r>
          </w:p>
        </w:tc>
        <w:tc>
          <w:tcPr>
            <w:tcW w:w="7410" w:type="dxa"/>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科目代码</w:t>
            </w:r>
          </w:p>
        </w:tc>
        <w:tc>
          <w:tcPr>
            <w:tcW w:w="5555"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科目名称</w:t>
            </w:r>
          </w:p>
        </w:tc>
        <w:tc>
          <w:tcPr>
            <w:tcW w:w="247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小计</w:t>
            </w:r>
          </w:p>
        </w:tc>
        <w:tc>
          <w:tcPr>
            <w:tcW w:w="247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基本支出</w:t>
            </w:r>
          </w:p>
        </w:tc>
        <w:tc>
          <w:tcPr>
            <w:tcW w:w="247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5555"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247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247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247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5555"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247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247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c>
          <w:tcPr>
            <w:tcW w:w="247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545"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栏次</w:t>
            </w:r>
          </w:p>
        </w:tc>
        <w:tc>
          <w:tcPr>
            <w:tcW w:w="24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24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24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545"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合计</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1,739.54</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636.92</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1,102.62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201</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一般公共服务支出</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20138</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市场监督管理事务</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2013899</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其他市场监督管理事务</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205</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教育支出</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20508</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进修及培训</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2050803</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培训支出</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社会保障和就业支出</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20805</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行政事业单位养老支出</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84.46</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2080502</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事业单位离退休</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36.16</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36.16</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2080505</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机关事业单位基本养老保险缴费支出</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48.30</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48.30</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农林水支出</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1,607.93</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511.59</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1,096.33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农业农村</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996.01</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511.59</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484.41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2130104</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事业运行</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523.39</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511.59</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2130109</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农产品质量安全</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0.49</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2130122</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农业生产发展</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414.95</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414.95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2130135</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农业生态资源保护</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57.18</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57.18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21302</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林业和草原</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611.92</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611.92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2130299</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其他林业和草原支出</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611.92</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611.92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221</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住房保障支出</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22102</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住房改革支出</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2210201</w:t>
            </w:r>
          </w:p>
        </w:tc>
        <w:tc>
          <w:tcPr>
            <w:tcW w:w="55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住房公积金</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247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highlight w:val="none"/>
                <w:u w:val="none"/>
              </w:rPr>
            </w:pPr>
          </w:p>
        </w:tc>
      </w:tr>
    </w:tbl>
    <w:p>
      <w:pPr>
        <w:widowControl/>
        <w:shd w:val="clear"/>
        <w:jc w:val="left"/>
        <w:rPr>
          <w:rFonts w:ascii="Times New Roman" w:hAnsi="Times New Roman" w:eastAsia="仿宋_GB2312" w:cs="Times New Roman"/>
          <w:bCs/>
          <w:kern w:val="0"/>
          <w:szCs w:val="21"/>
          <w:highlight w:val="none"/>
        </w:rPr>
      </w:pPr>
      <w:r>
        <w:rPr>
          <w:rFonts w:hint="eastAsia" w:ascii="Times New Roman" w:hAnsi="Times New Roman" w:eastAsia="仿宋_GB2312" w:cs="Times New Roman"/>
          <w:bCs/>
          <w:kern w:val="0"/>
          <w:szCs w:val="21"/>
          <w:highlight w:val="none"/>
        </w:rPr>
        <w:t>注：本表反映部门本年度一般公共预算财政拨款支出情况。</w:t>
      </w:r>
    </w:p>
    <w:p>
      <w:pPr>
        <w:widowControl/>
        <w:shd w:val="clear"/>
        <w:jc w:val="left"/>
        <w:rPr>
          <w:rFonts w:ascii="Times New Roman" w:hAnsi="Times New Roman" w:eastAsia="仿宋_GB2312" w:cs="Times New Roman"/>
          <w:bCs/>
          <w:kern w:val="0"/>
          <w:szCs w:val="21"/>
          <w:highlight w:val="none"/>
        </w:rPr>
      </w:pPr>
      <w:r>
        <w:rPr>
          <w:rFonts w:ascii="Times New Roman" w:hAnsi="Times New Roman" w:eastAsia="仿宋_GB2312" w:cs="Times New Roman"/>
          <w:bCs/>
          <w:kern w:val="0"/>
          <w:szCs w:val="21"/>
          <w:highlight w:val="none"/>
        </w:rPr>
        <w:br w:type="page"/>
      </w:r>
    </w:p>
    <w:p>
      <w:pPr>
        <w:widowControl/>
        <w:shd w:val="clear"/>
        <w:spacing w:after="120"/>
        <w:jc w:val="center"/>
        <w:textAlignment w:val="center"/>
        <w:rPr>
          <w:rFonts w:ascii="Times New Roman" w:hAnsi="Times New Roman" w:eastAsia="黑体" w:cs="Times New Roman"/>
          <w:color w:val="000000"/>
          <w:kern w:val="0"/>
          <w:sz w:val="36"/>
          <w:szCs w:val="36"/>
          <w:highlight w:val="none"/>
          <w:lang w:bidi="ar"/>
        </w:rPr>
      </w:pPr>
      <w:bookmarkStart w:id="2" w:name="RANGE!A1:I34"/>
      <w:r>
        <w:rPr>
          <w:rFonts w:ascii="Times New Roman" w:hAnsi="Times New Roman" w:eastAsia="黑体" w:cs="Times New Roman"/>
          <w:color w:val="000000"/>
          <w:kern w:val="0"/>
          <w:sz w:val="36"/>
          <w:szCs w:val="36"/>
          <w:highlight w:val="none"/>
          <w:lang w:bidi="ar"/>
        </w:rPr>
        <w:t>一般公共预算财政拨款基本支出决算明细表</w:t>
      </w:r>
      <w:bookmarkEnd w:id="2"/>
    </w:p>
    <w:p>
      <w:pPr>
        <w:widowControl/>
        <w:shd w:val="clear"/>
        <w:wordWrap/>
        <w:spacing w:line="240" w:lineRule="exact"/>
        <w:jc w:val="both"/>
        <w:rPr>
          <w:rFonts w:ascii="Times New Roman" w:hAnsi="Times New Roman" w:eastAsia="仿宋_GB2312" w:cs="Times New Roman"/>
          <w:color w:val="000000"/>
          <w:kern w:val="0"/>
          <w:szCs w:val="21"/>
          <w:highlight w:val="none"/>
        </w:rPr>
      </w:pPr>
      <w:r>
        <w:rPr>
          <w:rFonts w:ascii="Times New Roman" w:hAnsi="Times New Roman" w:eastAsia="仿宋_GB2312" w:cs="Times New Roman"/>
          <w:color w:val="000000"/>
          <w:kern w:val="0"/>
          <w:szCs w:val="21"/>
          <w:highlight w:val="none"/>
        </w:rPr>
        <w:t xml:space="preserve">                                                                                        </w:t>
      </w:r>
      <w:r>
        <w:rPr>
          <w:rFonts w:hint="eastAsia" w:ascii="Times New Roman" w:hAnsi="Times New Roman" w:eastAsia="仿宋_GB2312" w:cs="Times New Roman"/>
          <w:color w:val="000000"/>
          <w:kern w:val="0"/>
          <w:szCs w:val="21"/>
          <w:highlight w:val="none"/>
          <w:lang w:val="en-US" w:eastAsia="zh-CN"/>
        </w:rPr>
        <w:t xml:space="preserve">                                  </w:t>
      </w:r>
      <w:r>
        <w:rPr>
          <w:rFonts w:ascii="Times New Roman" w:hAnsi="Times New Roman" w:eastAsia="仿宋_GB2312" w:cs="Times New Roman"/>
          <w:color w:val="000000"/>
          <w:kern w:val="0"/>
          <w:szCs w:val="21"/>
          <w:highlight w:val="none"/>
        </w:rPr>
        <w:t xml:space="preserve"> 公开06表</w:t>
      </w:r>
    </w:p>
    <w:p>
      <w:pPr>
        <w:widowControl/>
        <w:shd w:val="clear"/>
        <w:wordWrap/>
        <w:spacing w:line="240" w:lineRule="exact"/>
        <w:jc w:val="both"/>
        <w:rPr>
          <w:rFonts w:ascii="Times New Roman" w:hAnsi="Times New Roman" w:eastAsia="华文中宋" w:cs="Times New Roman"/>
          <w:color w:val="000000"/>
          <w:kern w:val="0"/>
          <w:szCs w:val="32"/>
          <w:highlight w:val="none"/>
        </w:rPr>
      </w:pPr>
      <w:r>
        <w:rPr>
          <w:rFonts w:ascii="Times New Roman" w:hAnsi="Times New Roman" w:eastAsia="仿宋_GB2312" w:cs="Times New Roman"/>
          <w:color w:val="000000"/>
          <w:kern w:val="0"/>
          <w:szCs w:val="21"/>
          <w:highlight w:val="none"/>
        </w:rPr>
        <w:t xml:space="preserve">  部门：</w:t>
      </w:r>
      <w:r>
        <w:rPr>
          <w:rFonts w:hint="eastAsia" w:ascii="Times New Roman" w:hAnsi="Times New Roman" w:eastAsia="仿宋_GB2312" w:cs="Times New Roman"/>
          <w:color w:val="000000"/>
          <w:kern w:val="0"/>
          <w:szCs w:val="21"/>
          <w:highlight w:val="none"/>
        </w:rPr>
        <w:t>湖南省兽药饲料监察所</w:t>
      </w:r>
      <w:r>
        <w:rPr>
          <w:rFonts w:ascii="Times New Roman" w:hAnsi="Times New Roman" w:eastAsia="仿宋_GB2312" w:cs="Times New Roman"/>
          <w:color w:val="000000"/>
          <w:kern w:val="0"/>
          <w:szCs w:val="21"/>
          <w:highlight w:val="none"/>
        </w:rPr>
        <w:t xml:space="preserve">   </w:t>
      </w:r>
      <w:r>
        <w:rPr>
          <w:rFonts w:hint="eastAsia" w:ascii="Times New Roman" w:hAnsi="Times New Roman" w:eastAsia="仿宋_GB2312" w:cs="Times New Roman"/>
          <w:color w:val="000000"/>
          <w:kern w:val="0"/>
          <w:szCs w:val="21"/>
          <w:highlight w:val="none"/>
          <w:lang w:val="en-US" w:eastAsia="zh-CN"/>
        </w:rPr>
        <w:t xml:space="preserve">                                                                                           </w:t>
      </w:r>
      <w:r>
        <w:rPr>
          <w:rFonts w:ascii="Times New Roman" w:hAnsi="Times New Roman" w:eastAsia="仿宋_GB2312" w:cs="Times New Roman"/>
          <w:color w:val="000000"/>
          <w:kern w:val="0"/>
          <w:szCs w:val="21"/>
          <w:highlight w:val="none"/>
        </w:rPr>
        <w:t>单位：万元</w:t>
      </w:r>
    </w:p>
    <w:tbl>
      <w:tblPr>
        <w:tblStyle w:val="10"/>
        <w:tblW w:w="14129"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7"/>
        <w:gridCol w:w="3216"/>
        <w:gridCol w:w="772"/>
        <w:gridCol w:w="847"/>
        <w:gridCol w:w="2216"/>
        <w:gridCol w:w="684"/>
        <w:gridCol w:w="847"/>
        <w:gridCol w:w="4016"/>
        <w:gridCol w:w="6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35"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人员经费</w:t>
            </w:r>
          </w:p>
        </w:tc>
        <w:tc>
          <w:tcPr>
            <w:tcW w:w="9294" w:type="dxa"/>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4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经济分类科目编码</w:t>
            </w:r>
          </w:p>
        </w:tc>
        <w:tc>
          <w:tcPr>
            <w:tcW w:w="321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科目名称</w:t>
            </w:r>
          </w:p>
        </w:tc>
        <w:tc>
          <w:tcPr>
            <w:tcW w:w="77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决算数</w:t>
            </w:r>
          </w:p>
        </w:tc>
        <w:tc>
          <w:tcPr>
            <w:tcW w:w="84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经济分类科目编码</w:t>
            </w:r>
          </w:p>
        </w:tc>
        <w:tc>
          <w:tcPr>
            <w:tcW w:w="221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科目名称</w:t>
            </w:r>
          </w:p>
        </w:tc>
        <w:tc>
          <w:tcPr>
            <w:tcW w:w="68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决算数</w:t>
            </w:r>
          </w:p>
        </w:tc>
        <w:tc>
          <w:tcPr>
            <w:tcW w:w="84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经济分类科目编码</w:t>
            </w:r>
          </w:p>
        </w:tc>
        <w:tc>
          <w:tcPr>
            <w:tcW w:w="401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科目名称</w:t>
            </w:r>
          </w:p>
        </w:tc>
        <w:tc>
          <w:tcPr>
            <w:tcW w:w="68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4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20"/>
                <w:szCs w:val="20"/>
                <w:highlight w:val="none"/>
                <w:u w:val="none"/>
              </w:rPr>
            </w:pPr>
          </w:p>
        </w:tc>
        <w:tc>
          <w:tcPr>
            <w:tcW w:w="321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20"/>
                <w:szCs w:val="20"/>
                <w:highlight w:val="none"/>
                <w:u w:val="none"/>
              </w:rPr>
            </w:pPr>
          </w:p>
        </w:tc>
        <w:tc>
          <w:tcPr>
            <w:tcW w:w="77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20"/>
                <w:szCs w:val="20"/>
                <w:highlight w:val="none"/>
                <w:u w:val="none"/>
              </w:rPr>
            </w:pPr>
          </w:p>
        </w:tc>
        <w:tc>
          <w:tcPr>
            <w:tcW w:w="84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20"/>
                <w:szCs w:val="20"/>
                <w:highlight w:val="none"/>
                <w:u w:val="none"/>
              </w:rPr>
            </w:pPr>
          </w:p>
        </w:tc>
        <w:tc>
          <w:tcPr>
            <w:tcW w:w="221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20"/>
                <w:szCs w:val="20"/>
                <w:highlight w:val="none"/>
                <w:u w:val="none"/>
              </w:rPr>
            </w:pPr>
          </w:p>
        </w:tc>
        <w:tc>
          <w:tcPr>
            <w:tcW w:w="68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20"/>
                <w:szCs w:val="20"/>
                <w:highlight w:val="none"/>
                <w:u w:val="none"/>
              </w:rPr>
            </w:pPr>
          </w:p>
        </w:tc>
        <w:tc>
          <w:tcPr>
            <w:tcW w:w="84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20"/>
                <w:szCs w:val="20"/>
                <w:highlight w:val="none"/>
                <w:u w:val="none"/>
              </w:rPr>
            </w:pPr>
          </w:p>
        </w:tc>
        <w:tc>
          <w:tcPr>
            <w:tcW w:w="401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20"/>
                <w:szCs w:val="20"/>
                <w:highlight w:val="none"/>
                <w:u w:val="none"/>
              </w:rPr>
            </w:pPr>
          </w:p>
        </w:tc>
        <w:tc>
          <w:tcPr>
            <w:tcW w:w="68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工资福利支出</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556.23</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商品和服务支出</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29.90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307</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债务利息及费用支出</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30101</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基本工资</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166.39</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30201</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办公费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0.50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30701</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国内债务付息</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30102</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津贴补贴</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33.37</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30202</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印刷费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30702</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国外债务付息</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30103</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奖金</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30203</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咨询费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资本性支出</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30106</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伙食补助费</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13.17</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30204</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手续费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31001</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房屋建筑物购建</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30107</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绩效工资</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186.09</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30205</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水费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31002</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办公设备购置</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30108</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机关事业单位基本养老保险缴费</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48.30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30206</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电费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31003</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专用设备购置</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30109</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职业年金缴费</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30207</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邮电费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31005</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基础设施建设</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30110</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职工基本医疗保险缴费</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53.22</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30208</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取暖费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31006</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大型修缮</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30111</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公务员医疗补助缴费</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30209</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物业管理费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31007</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信息网络及软件购置更新</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30112</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其他社会保障缴费</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8.27</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30211</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差旅费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31008</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物资储备</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30113</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住房公积金</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40.87</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30212</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因公出国（境）费用</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31009</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土地补偿</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30114</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医疗费</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30213</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维修（护）费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31010</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安置补助</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30199</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其他工资福利支出</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5.50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30214</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租赁费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31011</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地上附着物和青苗补偿</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对个人和家庭的补助</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50.79</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30215</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会议费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31012</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拆迁补偿</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30301</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离休费</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30216</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培训费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31013</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公务用车购置</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30302</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退休费</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36.16</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30217</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公务接待费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0.08</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31019</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其他交通工具购置</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30303</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退职（役）费</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30218</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专用材料费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31021</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文物和陈列品购置</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30304</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抚恤金</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30224</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被装购置费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31022</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无形资产购置</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30305</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生活补助</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30225</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专用燃料费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31099</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其他资本性支出</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30306</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救济费</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30226</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劳务费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399</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其他支出</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30307</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医疗费补助</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30227</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委托业务费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39907</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国家赔偿费用支出</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30308</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助学金</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30228</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工会经费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17.62</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39908</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对民间非营利组织和群众性自治组织补贴</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30309</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奖励金</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30229</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福利费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0.67</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39909</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经常性赠与</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30310</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个人农业生产补贴</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30231</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公务用车运行维护费</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0.98</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39910</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资本性赠与</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30311</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代缴社会保险费</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30239</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其他交通费用</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7.30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39999</w:t>
            </w: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其他支出</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30399</w:t>
            </w: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其他对个人和家庭的补助</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14.63</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30240</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税金及附加费用</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sz w:val="20"/>
                <w:szCs w:val="20"/>
                <w:highlight w:val="none"/>
                <w:u w:val="none"/>
              </w:rPr>
            </w:pP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sz w:val="20"/>
                <w:szCs w:val="20"/>
                <w:highlight w:val="none"/>
                <w:u w:val="none"/>
              </w:rPr>
            </w:pP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sz w:val="20"/>
                <w:szCs w:val="20"/>
                <w:highlight w:val="none"/>
                <w:u w:val="none"/>
              </w:rPr>
            </w:pPr>
          </w:p>
        </w:tc>
        <w:tc>
          <w:tcPr>
            <w:tcW w:w="3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sz w:val="20"/>
                <w:szCs w:val="20"/>
                <w:highlight w:val="none"/>
                <w:u w:val="none"/>
              </w:rPr>
            </w:pP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right"/>
              <w:rPr>
                <w:rFonts w:hint="eastAsia" w:ascii="宋体" w:hAnsi="宋体" w:eastAsia="宋体" w:cs="宋体"/>
                <w:i w:val="0"/>
                <w:iCs w:val="0"/>
                <w:color w:val="000000"/>
                <w:sz w:val="20"/>
                <w:szCs w:val="20"/>
                <w:highlight w:val="none"/>
                <w:u w:val="none"/>
              </w:rPr>
            </w:pP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30299</w:t>
            </w:r>
          </w:p>
        </w:tc>
        <w:tc>
          <w:tcPr>
            <w:tcW w:w="22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其他商品和服务支出</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2.75</w:t>
            </w:r>
          </w:p>
        </w:tc>
        <w:tc>
          <w:tcPr>
            <w:tcW w:w="84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sz w:val="20"/>
                <w:szCs w:val="20"/>
                <w:highlight w:val="none"/>
                <w:u w:val="none"/>
              </w:rPr>
            </w:pPr>
          </w:p>
        </w:tc>
        <w:tc>
          <w:tcPr>
            <w:tcW w:w="40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sz w:val="20"/>
                <w:szCs w:val="20"/>
                <w:highlight w:val="none"/>
                <w:u w:val="none"/>
              </w:rPr>
            </w:pP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hd w:val="clear"/>
              <w:kinsoku/>
              <w:wordWrap/>
              <w:overflowPunct/>
              <w:topLinePunct w:val="0"/>
              <w:autoSpaceDE/>
              <w:autoSpaceDN/>
              <w:bidi w:val="0"/>
              <w:adjustRightInd/>
              <w:snapToGrid/>
              <w:spacing w:line="220" w:lineRule="exact"/>
              <w:jc w:val="righ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063"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人员经费合计</w:t>
            </w:r>
          </w:p>
        </w:tc>
        <w:tc>
          <w:tcPr>
            <w:tcW w:w="77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607.02</w:t>
            </w:r>
          </w:p>
        </w:tc>
        <w:tc>
          <w:tcPr>
            <w:tcW w:w="8610" w:type="dxa"/>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公用经费合计</w:t>
            </w:r>
          </w:p>
        </w:tc>
        <w:tc>
          <w:tcPr>
            <w:tcW w:w="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220" w:lineRule="exact"/>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29.90</w:t>
            </w:r>
          </w:p>
        </w:tc>
      </w:tr>
    </w:tbl>
    <w:p>
      <w:pPr>
        <w:widowControl/>
        <w:shd w:val="clear"/>
        <w:jc w:val="left"/>
        <w:rPr>
          <w:rFonts w:ascii="Times New Roman" w:hAnsi="Times New Roman" w:eastAsia="仿宋_GB2312" w:cs="Times New Roman"/>
          <w:color w:val="000000"/>
          <w:kern w:val="0"/>
          <w:szCs w:val="24"/>
          <w:highlight w:val="none"/>
        </w:rPr>
      </w:pPr>
      <w:r>
        <w:rPr>
          <w:rFonts w:hint="eastAsia" w:ascii="Times New Roman" w:hAnsi="Times New Roman" w:eastAsia="仿宋_GB2312" w:cs="Times New Roman"/>
          <w:color w:val="000000"/>
          <w:kern w:val="0"/>
          <w:szCs w:val="24"/>
          <w:highlight w:val="none"/>
        </w:rPr>
        <w:t>注：本表反映部门本年度一般公共预算财政拨款基本支出明细情况。</w:t>
      </w:r>
    </w:p>
    <w:p>
      <w:pPr>
        <w:widowControl/>
        <w:shd w:val="clear"/>
        <w:jc w:val="left"/>
        <w:rPr>
          <w:rFonts w:ascii="Times New Roman" w:hAnsi="Times New Roman" w:eastAsia="仿宋_GB2312" w:cs="Times New Roman"/>
          <w:color w:val="000000"/>
          <w:kern w:val="0"/>
          <w:szCs w:val="24"/>
          <w:highlight w:val="none"/>
        </w:rPr>
      </w:pPr>
    </w:p>
    <w:p>
      <w:pPr>
        <w:widowControl/>
        <w:shd w:val="clear"/>
        <w:jc w:val="left"/>
        <w:rPr>
          <w:rFonts w:ascii="Times New Roman" w:hAnsi="Times New Roman" w:eastAsia="仿宋_GB2312" w:cs="Times New Roman"/>
          <w:color w:val="000000"/>
          <w:kern w:val="0"/>
          <w:szCs w:val="24"/>
          <w:highlight w:val="none"/>
        </w:rPr>
      </w:pPr>
    </w:p>
    <w:p>
      <w:pPr>
        <w:widowControl/>
        <w:shd w:val="clear"/>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政府性基金预算财政拨款收入支出决算表</w:t>
      </w:r>
    </w:p>
    <w:p>
      <w:pPr>
        <w:widowControl/>
        <w:shd w:val="clear"/>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kern w:val="0"/>
          <w:sz w:val="20"/>
          <w:szCs w:val="20"/>
          <w:highlight w:val="none"/>
          <w:lang w:bidi="ar"/>
        </w:rPr>
        <w:t>公开07表</w:t>
      </w:r>
    </w:p>
    <w:p>
      <w:pPr>
        <w:widowControl/>
        <w:shd w:val="clear"/>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部门：</w:t>
      </w:r>
      <w:r>
        <w:rPr>
          <w:rFonts w:hint="eastAsia" w:ascii="Times New Roman" w:hAnsi="Times New Roman" w:eastAsia="楷体_GB2312" w:cs="Times New Roman"/>
          <w:color w:val="000000"/>
          <w:kern w:val="0"/>
          <w:sz w:val="20"/>
          <w:szCs w:val="20"/>
          <w:highlight w:val="none"/>
          <w:lang w:val="en-US" w:eastAsia="zh-CN" w:bidi="ar"/>
        </w:rPr>
        <w:t>湖南省兽药饲料监察所</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kern w:val="0"/>
          <w:sz w:val="20"/>
          <w:szCs w:val="20"/>
          <w:highlight w:val="none"/>
          <w:lang w:bidi="ar"/>
        </w:rPr>
        <w:t>单位：万元</w:t>
      </w:r>
    </w:p>
    <w:tbl>
      <w:tblPr>
        <w:tblStyle w:val="10"/>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 xml:space="preserve">项 </w:t>
            </w:r>
            <w:r>
              <w:rPr>
                <w:rStyle w:val="18"/>
                <w:rFonts w:hint="default" w:ascii="Times New Roman" w:hAnsi="Times New Roman" w:eastAsia="仿宋_GB2312" w:cs="Times New Roman"/>
                <w:b/>
                <w:bCs/>
                <w:highlight w:val="none"/>
                <w:lang w:bidi="ar"/>
              </w:rPr>
              <w:t xml:space="preserve">   </w:t>
            </w:r>
            <w:r>
              <w:rPr>
                <w:rStyle w:val="19"/>
                <w:rFonts w:hint="default" w:ascii="Times New Roman" w:hAnsi="Times New Roman" w:eastAsia="仿宋_GB2312" w:cs="Times New Roman"/>
                <w:b/>
                <w:bCs/>
                <w:highlight w:val="none"/>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rPr>
                <w:rFonts w:ascii="Times New Roman" w:hAnsi="Times New Roman" w:eastAsia="仿宋_GB2312" w:cs="Times New Roman"/>
                <w:b/>
                <w:bCs/>
                <w:color w:val="000000"/>
                <w:sz w:val="24"/>
                <w:szCs w:val="24"/>
                <w:highlight w:val="none"/>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rPr>
                <w:rFonts w:ascii="Times New Roman" w:hAnsi="Times New Roman" w:eastAsia="仿宋_GB2312" w:cs="Times New Roman"/>
                <w:b/>
                <w:bCs/>
                <w:color w:val="000000"/>
                <w:sz w:val="24"/>
                <w:szCs w:val="24"/>
                <w:highlight w:val="none"/>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0"/>
                <w:szCs w:val="20"/>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0"/>
                <w:szCs w:val="20"/>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r>
    </w:tbl>
    <w:p>
      <w:pPr>
        <w:widowControl/>
        <w:shd w:val="clear"/>
        <w:spacing w:before="120"/>
        <w:jc w:val="left"/>
        <w:textAlignment w:val="center"/>
        <w:rPr>
          <w:rFonts w:ascii="Times New Roman" w:hAnsi="Times New Roman" w:eastAsia="仿宋_GB2312" w:cs="Times New Roman"/>
          <w:color w:val="000000"/>
          <w:kern w:val="0"/>
          <w:sz w:val="24"/>
          <w:szCs w:val="24"/>
          <w:highlight w:val="none"/>
          <w:lang w:bidi="ar"/>
        </w:rPr>
      </w:pPr>
      <w:r>
        <w:rPr>
          <w:rFonts w:ascii="Times New Roman" w:hAnsi="Times New Roman" w:eastAsia="仿宋_GB2312" w:cs="Times New Roman"/>
          <w:color w:val="000000"/>
          <w:kern w:val="0"/>
          <w:sz w:val="24"/>
          <w:szCs w:val="24"/>
          <w:highlight w:val="none"/>
          <w:lang w:bidi="ar"/>
        </w:rPr>
        <w:t>注：本表反映部门本年度政府性基金预算财政拨款收入、支出及结转和结余情况。</w:t>
      </w:r>
    </w:p>
    <w:p>
      <w:pPr>
        <w:widowControl/>
        <w:shd w:val="clear"/>
        <w:jc w:val="left"/>
        <w:textAlignment w:val="center"/>
        <w:rPr>
          <w:rFonts w:ascii="Times New Roman" w:hAnsi="Times New Roman" w:eastAsia="仿宋_GB2312" w:cs="Times New Roman"/>
          <w:color w:val="000000"/>
          <w:kern w:val="0"/>
          <w:sz w:val="24"/>
          <w:szCs w:val="24"/>
          <w:highlight w:val="none"/>
          <w:lang w:bidi="ar"/>
        </w:rPr>
      </w:pPr>
      <w:r>
        <w:rPr>
          <w:rFonts w:ascii="Times New Roman" w:hAnsi="Times New Roman" w:eastAsia="仿宋_GB2312" w:cs="Times New Roman"/>
          <w:b/>
          <w:bCs/>
          <w:kern w:val="0"/>
          <w:sz w:val="24"/>
          <w:szCs w:val="24"/>
          <w:highlight w:val="none"/>
          <w:lang w:bidi="ar"/>
        </w:rPr>
        <w:t>说明：我单位没有政府性基金收入，也没有使用政府性基金安排的支出，故本表无数据。</w:t>
      </w:r>
    </w:p>
    <w:p>
      <w:pPr>
        <w:widowControl/>
        <w:shd w:val="clear"/>
        <w:jc w:val="center"/>
        <w:rPr>
          <w:rFonts w:ascii="Times New Roman" w:hAnsi="Times New Roman" w:eastAsia="方正小标宋_GBK" w:cs="Times New Roman"/>
          <w:color w:val="000000"/>
          <w:kern w:val="0"/>
          <w:sz w:val="36"/>
          <w:szCs w:val="36"/>
          <w:highlight w:val="none"/>
        </w:rPr>
      </w:pPr>
    </w:p>
    <w:p>
      <w:pPr>
        <w:widowControl/>
        <w:shd w:val="clear"/>
        <w:jc w:val="center"/>
        <w:rPr>
          <w:rFonts w:ascii="Times New Roman" w:hAnsi="Times New Roman" w:eastAsia="方正小标宋_GBK" w:cs="Times New Roman"/>
          <w:color w:val="000000"/>
          <w:kern w:val="0"/>
          <w:sz w:val="36"/>
          <w:szCs w:val="36"/>
          <w:highlight w:val="none"/>
        </w:rPr>
      </w:pPr>
    </w:p>
    <w:p>
      <w:pPr>
        <w:widowControl/>
        <w:shd w:val="clear"/>
        <w:spacing w:line="400" w:lineRule="exact"/>
        <w:textAlignment w:val="center"/>
        <w:rPr>
          <w:rFonts w:ascii="Times New Roman" w:hAnsi="Times New Roman" w:eastAsia="黑体" w:cs="Times New Roman"/>
          <w:color w:val="000000"/>
          <w:kern w:val="0"/>
          <w:sz w:val="36"/>
          <w:szCs w:val="36"/>
          <w:highlight w:val="none"/>
          <w:lang w:bidi="ar"/>
        </w:rPr>
      </w:pPr>
    </w:p>
    <w:p>
      <w:pPr>
        <w:widowControl/>
        <w:shd w:val="clear"/>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国有资本经营预算财政拨款支出决算表</w:t>
      </w:r>
    </w:p>
    <w:p>
      <w:pPr>
        <w:widowControl/>
        <w:shd w:val="clear"/>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 xml:space="preserve">                                                                                                          </w:t>
      </w:r>
      <w:r>
        <w:rPr>
          <w:rFonts w:hint="eastAsia" w:ascii="Times New Roman" w:hAnsi="Times New Roman" w:eastAsia="仿宋_GB2312" w:cs="Times New Roman"/>
          <w:color w:val="000000"/>
          <w:kern w:val="0"/>
          <w:sz w:val="20"/>
          <w:szCs w:val="20"/>
          <w:highlight w:val="none"/>
          <w:lang w:val="en-US" w:eastAsia="zh-CN" w:bidi="ar"/>
        </w:rPr>
        <w:t xml:space="preserve">             </w:t>
      </w:r>
      <w:r>
        <w:rPr>
          <w:rFonts w:ascii="Times New Roman" w:hAnsi="Times New Roman" w:eastAsia="仿宋_GB2312" w:cs="Times New Roman"/>
          <w:color w:val="000000"/>
          <w:kern w:val="0"/>
          <w:sz w:val="20"/>
          <w:szCs w:val="20"/>
          <w:highlight w:val="none"/>
          <w:lang w:bidi="ar"/>
        </w:rPr>
        <w:t xml:space="preserve">  公开08表</w:t>
      </w:r>
    </w:p>
    <w:p>
      <w:pPr>
        <w:widowControl/>
        <w:shd w:val="clear"/>
        <w:tabs>
          <w:tab w:val="left" w:pos="200"/>
          <w:tab w:val="left" w:pos="7634"/>
          <w:tab w:val="left" w:pos="10949"/>
        </w:tabs>
        <w:jc w:val="center"/>
        <w:textAlignment w:val="center"/>
        <w:rPr>
          <w:rFonts w:ascii="Times New Roman" w:hAnsi="Times New Roman" w:eastAsia="仿宋_GB2312" w:cs="Times New Roman"/>
          <w:color w:val="000000"/>
          <w:sz w:val="20"/>
          <w:szCs w:val="20"/>
          <w:highlight w:val="none"/>
        </w:rPr>
      </w:pPr>
      <w:r>
        <w:rPr>
          <w:rFonts w:ascii="Times New Roman" w:hAnsi="Times New Roman" w:eastAsia="仿宋_GB2312" w:cs="Times New Roman"/>
          <w:color w:val="000000"/>
          <w:kern w:val="0"/>
          <w:sz w:val="20"/>
          <w:szCs w:val="20"/>
          <w:highlight w:val="none"/>
          <w:lang w:bidi="ar"/>
        </w:rPr>
        <w:t>部门：</w:t>
      </w:r>
      <w:r>
        <w:rPr>
          <w:rFonts w:hint="eastAsia" w:ascii="Times New Roman" w:hAnsi="Times New Roman" w:eastAsia="楷体_GB2312" w:cs="Times New Roman"/>
          <w:color w:val="000000"/>
          <w:kern w:val="0"/>
          <w:sz w:val="20"/>
          <w:szCs w:val="20"/>
          <w:highlight w:val="none"/>
          <w:lang w:val="en-US" w:eastAsia="zh-CN" w:bidi="ar"/>
        </w:rPr>
        <w:t>湖南省兽药饲料监察所</w:t>
      </w:r>
      <w:r>
        <w:rPr>
          <w:rFonts w:ascii="Times New Roman" w:hAnsi="Times New Roman" w:eastAsia="仿宋_GB2312" w:cs="Times New Roman"/>
          <w:color w:val="000000"/>
          <w:sz w:val="20"/>
          <w:szCs w:val="20"/>
          <w:highlight w:val="none"/>
        </w:rPr>
        <w:tab/>
      </w:r>
      <w:r>
        <w:rPr>
          <w:rFonts w:hint="eastAsia" w:ascii="Times New Roman" w:hAnsi="Times New Roman" w:eastAsia="仿宋_GB2312" w:cs="Times New Roman"/>
          <w:color w:val="000000"/>
          <w:sz w:val="20"/>
          <w:szCs w:val="20"/>
          <w:highlight w:val="none"/>
          <w:lang w:val="en-US" w:eastAsia="zh-CN"/>
        </w:rPr>
        <w:t xml:space="preserve">     </w:t>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sz w:val="20"/>
          <w:szCs w:val="20"/>
          <w:highlight w:val="none"/>
        </w:rPr>
        <w:tab/>
      </w:r>
      <w:r>
        <w:rPr>
          <w:rFonts w:ascii="Times New Roman" w:hAnsi="Times New Roman" w:eastAsia="仿宋_GB2312" w:cs="Times New Roman"/>
          <w:color w:val="000000"/>
          <w:kern w:val="0"/>
          <w:sz w:val="20"/>
          <w:szCs w:val="20"/>
          <w:highlight w:val="none"/>
          <w:lang w:bidi="ar"/>
        </w:rPr>
        <w:t>单位：万元</w:t>
      </w:r>
    </w:p>
    <w:tbl>
      <w:tblPr>
        <w:tblStyle w:val="10"/>
        <w:tblW w:w="14217" w:type="dxa"/>
        <w:tblInd w:w="0" w:type="dxa"/>
        <w:tblLayout w:type="fixed"/>
        <w:tblCellMar>
          <w:top w:w="0" w:type="dxa"/>
          <w:left w:w="108" w:type="dxa"/>
          <w:bottom w:w="0" w:type="dxa"/>
          <w:right w:w="108" w:type="dxa"/>
        </w:tblCellMar>
      </w:tblPr>
      <w:tblGrid>
        <w:gridCol w:w="3094"/>
        <w:gridCol w:w="3097"/>
        <w:gridCol w:w="1832"/>
        <w:gridCol w:w="3097"/>
        <w:gridCol w:w="3097"/>
      </w:tblGrid>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 xml:space="preserve">项 </w:t>
            </w:r>
            <w:r>
              <w:rPr>
                <w:rFonts w:ascii="Times New Roman" w:hAnsi="Times New Roman" w:eastAsia="仿宋_GB2312" w:cs="Times New Roman"/>
                <w:b/>
                <w:bCs/>
                <w:color w:val="000000"/>
                <w:kern w:val="0"/>
                <w:sz w:val="22"/>
                <w:highlight w:val="none"/>
                <w:lang w:bidi="ar"/>
              </w:rPr>
              <w:t xml:space="preserve">   </w:t>
            </w:r>
            <w:r>
              <w:rPr>
                <w:rStyle w:val="20"/>
                <w:rFonts w:hint="default" w:ascii="Times New Roman" w:hAnsi="Times New Roman" w:eastAsia="仿宋_GB2312" w:cs="Times New Roman"/>
                <w:b/>
                <w:bCs/>
                <w:highlight w:val="none"/>
                <w:lang w:bidi="ar"/>
              </w:rPr>
              <w:t>目</w:t>
            </w:r>
          </w:p>
        </w:tc>
        <w:tc>
          <w:tcPr>
            <w:tcW w:w="80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本年支出</w:t>
            </w:r>
          </w:p>
        </w:tc>
      </w:tr>
      <w:tr>
        <w:tblPrEx>
          <w:tblCellMar>
            <w:top w:w="0" w:type="dxa"/>
            <w:left w:w="108" w:type="dxa"/>
            <w:bottom w:w="0" w:type="dxa"/>
            <w:right w:w="108" w:type="dxa"/>
          </w:tblCellMar>
        </w:tblPrEx>
        <w:trPr>
          <w:trHeight w:val="312" w:hRule="exact"/>
        </w:trPr>
        <w:tc>
          <w:tcPr>
            <w:tcW w:w="3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 xml:space="preserve">基本支出  </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4"/>
                <w:szCs w:val="24"/>
                <w:highlight w:val="none"/>
              </w:rPr>
            </w:pPr>
            <w:r>
              <w:rPr>
                <w:rFonts w:ascii="Times New Roman" w:hAnsi="Times New Roman" w:eastAsia="仿宋_GB2312" w:cs="Times New Roman"/>
                <w:b/>
                <w:bCs/>
                <w:color w:val="000000"/>
                <w:kern w:val="0"/>
                <w:sz w:val="24"/>
                <w:szCs w:val="24"/>
                <w:highlight w:val="none"/>
                <w:lang w:bidi="ar"/>
              </w:rPr>
              <w:t>项目支出</w:t>
            </w:r>
          </w:p>
        </w:tc>
      </w:tr>
      <w:tr>
        <w:tblPrEx>
          <w:tblCellMar>
            <w:top w:w="0" w:type="dxa"/>
            <w:left w:w="108" w:type="dxa"/>
            <w:bottom w:w="0" w:type="dxa"/>
            <w:right w:w="108" w:type="dxa"/>
          </w:tblCellMar>
        </w:tblPrEx>
        <w:trPr>
          <w:trHeight w:val="312" w:hRule="exac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312" w:hRule="atLeas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2</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3</w:t>
            </w:r>
          </w:p>
        </w:tc>
      </w:tr>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0"/>
                <w:szCs w:val="20"/>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仿宋_GB2312"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0"/>
                <w:szCs w:val="20"/>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ascii="Times New Roman" w:hAnsi="Times New Roman" w:eastAsia="宋体" w:cs="Times New Roman"/>
                <w:color w:val="000000"/>
                <w:sz w:val="24"/>
                <w:szCs w:val="24"/>
                <w:highlight w:val="none"/>
              </w:rPr>
            </w:pPr>
          </w:p>
        </w:tc>
      </w:tr>
    </w:tbl>
    <w:p>
      <w:pPr>
        <w:widowControl/>
        <w:shd w:val="clear"/>
        <w:spacing w:before="120"/>
        <w:jc w:val="left"/>
        <w:textAlignment w:val="center"/>
        <w:rPr>
          <w:rFonts w:ascii="Times New Roman" w:hAnsi="Times New Roman" w:eastAsia="仿宋_GB2312" w:cs="Times New Roman"/>
          <w:color w:val="000000"/>
          <w:kern w:val="0"/>
          <w:sz w:val="24"/>
          <w:szCs w:val="24"/>
          <w:highlight w:val="none"/>
          <w:lang w:bidi="ar"/>
        </w:rPr>
      </w:pPr>
      <w:r>
        <w:rPr>
          <w:rFonts w:ascii="Times New Roman" w:hAnsi="Times New Roman" w:eastAsia="仿宋_GB2312" w:cs="Times New Roman"/>
          <w:color w:val="000000"/>
          <w:kern w:val="0"/>
          <w:sz w:val="24"/>
          <w:szCs w:val="24"/>
          <w:highlight w:val="none"/>
          <w:lang w:bidi="ar"/>
        </w:rPr>
        <w:t>注：本表反映部门本年度国有资本经营预算财政拨款支出情况。</w:t>
      </w:r>
    </w:p>
    <w:p>
      <w:pPr>
        <w:widowControl/>
        <w:shd w:val="clear"/>
        <w:jc w:val="left"/>
        <w:textAlignment w:val="center"/>
        <w:rPr>
          <w:rFonts w:ascii="Times New Roman" w:hAnsi="Times New Roman" w:eastAsia="楷体_GB2312" w:cs="Times New Roman"/>
          <w:color w:val="000000"/>
          <w:kern w:val="0"/>
          <w:sz w:val="24"/>
          <w:szCs w:val="24"/>
          <w:highlight w:val="none"/>
          <w:lang w:bidi="ar"/>
        </w:rPr>
      </w:pPr>
      <w:r>
        <w:rPr>
          <w:rFonts w:ascii="Times New Roman" w:hAnsi="Times New Roman" w:eastAsia="楷体_GB2312" w:cs="Times New Roman"/>
          <w:b/>
          <w:bCs/>
          <w:kern w:val="0"/>
          <w:sz w:val="24"/>
          <w:szCs w:val="24"/>
          <w:highlight w:val="none"/>
          <w:lang w:bidi="ar"/>
        </w:rPr>
        <w:t>说明：我单位没有使用国有资本经营预算安排的支出，故本表无数据。</w:t>
      </w:r>
    </w:p>
    <w:p>
      <w:pPr>
        <w:widowControl/>
        <w:shd w:val="clear"/>
        <w:jc w:val="center"/>
        <w:rPr>
          <w:rFonts w:ascii="Times New Roman" w:hAnsi="Times New Roman" w:eastAsia="方正小标宋_GBK" w:cs="Times New Roman"/>
          <w:color w:val="000000"/>
          <w:kern w:val="0"/>
          <w:sz w:val="36"/>
          <w:szCs w:val="36"/>
          <w:highlight w:val="none"/>
        </w:rPr>
      </w:pPr>
    </w:p>
    <w:p>
      <w:pPr>
        <w:widowControl/>
        <w:shd w:val="clear"/>
        <w:jc w:val="center"/>
        <w:rPr>
          <w:rFonts w:ascii="Times New Roman" w:hAnsi="Times New Roman" w:eastAsia="方正小标宋_GBK" w:cs="Times New Roman"/>
          <w:color w:val="000000"/>
          <w:kern w:val="0"/>
          <w:sz w:val="36"/>
          <w:szCs w:val="36"/>
          <w:highlight w:val="none"/>
        </w:rPr>
      </w:pPr>
    </w:p>
    <w:p>
      <w:pPr>
        <w:pStyle w:val="9"/>
        <w:shd w:val="clear"/>
        <w:spacing w:line="400" w:lineRule="exact"/>
        <w:rPr>
          <w:rFonts w:ascii="Times New Roman" w:hAnsi="Times New Roman" w:eastAsia="华文中宋" w:cs="Times New Roman"/>
          <w:color w:val="000000"/>
          <w:kern w:val="0"/>
          <w:sz w:val="32"/>
          <w:szCs w:val="32"/>
          <w:highlight w:val="none"/>
          <w:lang w:bidi="ar"/>
        </w:rPr>
      </w:pPr>
    </w:p>
    <w:p>
      <w:pPr>
        <w:widowControl/>
        <w:shd w:val="clear"/>
        <w:spacing w:after="156" w:afterLines="50"/>
        <w:jc w:val="center"/>
        <w:textAlignment w:val="center"/>
        <w:rPr>
          <w:rFonts w:ascii="Times New Roman" w:hAnsi="Times New Roman" w:eastAsia="黑体" w:cs="Times New Roman"/>
          <w:color w:val="000000"/>
          <w:kern w:val="0"/>
          <w:sz w:val="36"/>
          <w:szCs w:val="36"/>
          <w:highlight w:val="none"/>
          <w:lang w:bidi="ar"/>
        </w:rPr>
      </w:pPr>
      <w:r>
        <w:rPr>
          <w:rFonts w:ascii="Times New Roman" w:hAnsi="Times New Roman" w:eastAsia="黑体" w:cs="Times New Roman"/>
          <w:color w:val="000000"/>
          <w:kern w:val="0"/>
          <w:sz w:val="36"/>
          <w:szCs w:val="36"/>
          <w:highlight w:val="none"/>
          <w:lang w:bidi="ar"/>
        </w:rPr>
        <w:t>财政拨款“三公”经费支出决算表</w:t>
      </w:r>
    </w:p>
    <w:p>
      <w:pPr>
        <w:widowControl/>
        <w:shd w:val="clear"/>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highlight w:val="none"/>
        </w:rPr>
      </w:pP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宋体"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hint="eastAsia" w:ascii="Times New Roman" w:hAnsi="Times New Roman" w:eastAsia="楷体_GB2312" w:cs="Times New Roman"/>
          <w:color w:val="000000"/>
          <w:sz w:val="20"/>
          <w:szCs w:val="20"/>
          <w:highlight w:val="none"/>
          <w:lang w:val="en-US" w:eastAsia="zh-CN"/>
        </w:rPr>
        <w:t xml:space="preserve"> </w:t>
      </w:r>
      <w:r>
        <w:rPr>
          <w:rFonts w:ascii="Times New Roman" w:hAnsi="Times New Roman" w:eastAsia="楷体_GB2312" w:cs="Times New Roman"/>
          <w:color w:val="000000"/>
          <w:kern w:val="0"/>
          <w:sz w:val="20"/>
          <w:szCs w:val="20"/>
          <w:highlight w:val="none"/>
          <w:lang w:bidi="ar"/>
        </w:rPr>
        <w:t>公开09表</w:t>
      </w:r>
    </w:p>
    <w:p>
      <w:pPr>
        <w:widowControl/>
        <w:shd w:val="clear"/>
        <w:tabs>
          <w:tab w:val="left" w:pos="0"/>
          <w:tab w:val="left" w:pos="5043"/>
          <w:tab w:val="left" w:pos="6304"/>
          <w:tab w:val="left" w:pos="7565"/>
          <w:tab w:val="left" w:pos="8826"/>
          <w:tab w:val="left" w:pos="10087"/>
          <w:tab w:val="left" w:pos="11348"/>
          <w:tab w:val="left" w:pos="12609"/>
          <w:tab w:val="left" w:pos="13870"/>
        </w:tabs>
        <w:jc w:val="both"/>
        <w:textAlignment w:val="center"/>
        <w:rPr>
          <w:rFonts w:ascii="Times New Roman" w:hAnsi="Times New Roman" w:eastAsia="楷体_GB2312" w:cs="Times New Roman"/>
          <w:color w:val="000000"/>
          <w:sz w:val="20"/>
          <w:szCs w:val="20"/>
          <w:highlight w:val="none"/>
        </w:rPr>
      </w:pPr>
      <w:r>
        <w:rPr>
          <w:rFonts w:ascii="Times New Roman" w:hAnsi="Times New Roman" w:eastAsia="楷体_GB2312" w:cs="Times New Roman"/>
          <w:color w:val="000000"/>
          <w:kern w:val="0"/>
          <w:sz w:val="20"/>
          <w:szCs w:val="20"/>
          <w:highlight w:val="none"/>
          <w:lang w:bidi="ar"/>
        </w:rPr>
        <w:t>部门：</w:t>
      </w:r>
      <w:r>
        <w:rPr>
          <w:rFonts w:hint="eastAsia" w:ascii="Times New Roman" w:hAnsi="Times New Roman" w:eastAsia="楷体_GB2312" w:cs="Times New Roman"/>
          <w:color w:val="000000"/>
          <w:kern w:val="0"/>
          <w:sz w:val="20"/>
          <w:szCs w:val="20"/>
          <w:highlight w:val="none"/>
          <w:lang w:val="en-US" w:eastAsia="zh-CN" w:bidi="ar"/>
        </w:rPr>
        <w:t>湖南省兽药饲料监察所</w:t>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hint="eastAsia" w:ascii="Times New Roman" w:hAnsi="Times New Roman" w:eastAsia="楷体_GB2312" w:cs="Times New Roman"/>
          <w:color w:val="000000"/>
          <w:sz w:val="20"/>
          <w:szCs w:val="20"/>
          <w:highlight w:val="none"/>
          <w:lang w:val="en-US" w:eastAsia="zh-CN"/>
        </w:rPr>
        <w:t xml:space="preserve">  </w:t>
      </w:r>
      <w:r>
        <w:rPr>
          <w:rFonts w:ascii="Times New Roman" w:hAnsi="Times New Roman" w:eastAsia="楷体_GB2312" w:cs="Times New Roman"/>
          <w:color w:val="000000"/>
          <w:sz w:val="20"/>
          <w:szCs w:val="20"/>
          <w:highlight w:val="none"/>
        </w:rPr>
        <w:tab/>
      </w:r>
      <w:r>
        <w:rPr>
          <w:rFonts w:ascii="Times New Roman" w:hAnsi="Times New Roman" w:eastAsia="楷体_GB2312" w:cs="Times New Roman"/>
          <w:color w:val="000000"/>
          <w:sz w:val="20"/>
          <w:szCs w:val="20"/>
          <w:highlight w:val="none"/>
        </w:rPr>
        <w:tab/>
      </w:r>
      <w:r>
        <w:rPr>
          <w:rFonts w:hint="eastAsia" w:ascii="Times New Roman" w:hAnsi="Times New Roman" w:eastAsia="楷体_GB2312" w:cs="Times New Roman"/>
          <w:color w:val="000000"/>
          <w:sz w:val="20"/>
          <w:szCs w:val="20"/>
          <w:highlight w:val="none"/>
          <w:lang w:val="en-US" w:eastAsia="zh-CN"/>
        </w:rPr>
        <w:t xml:space="preserve">    </w:t>
      </w:r>
      <w:r>
        <w:rPr>
          <w:rFonts w:ascii="Times New Roman" w:hAnsi="Times New Roman" w:eastAsia="楷体_GB2312" w:cs="Times New Roman"/>
          <w:color w:val="000000"/>
          <w:kern w:val="0"/>
          <w:sz w:val="20"/>
          <w:szCs w:val="20"/>
          <w:highlight w:val="none"/>
          <w:lang w:bidi="ar"/>
        </w:rPr>
        <w:t>单位：万元</w:t>
      </w:r>
    </w:p>
    <w:tbl>
      <w:tblPr>
        <w:tblStyle w:val="10"/>
        <w:tblW w:w="14544" w:type="dxa"/>
        <w:jc w:val="center"/>
        <w:tblLayout w:type="fixed"/>
        <w:tblCellMar>
          <w:top w:w="0" w:type="dxa"/>
          <w:left w:w="108" w:type="dxa"/>
          <w:bottom w:w="0" w:type="dxa"/>
          <w:right w:w="108" w:type="dxa"/>
        </w:tblCellMar>
      </w:tblPr>
      <w:tblGrid>
        <w:gridCol w:w="934"/>
        <w:gridCol w:w="1228"/>
        <w:gridCol w:w="1085"/>
        <w:gridCol w:w="1187"/>
        <w:gridCol w:w="1425"/>
        <w:gridCol w:w="1379"/>
        <w:gridCol w:w="1050"/>
        <w:gridCol w:w="1166"/>
        <w:gridCol w:w="1166"/>
        <w:gridCol w:w="1166"/>
        <w:gridCol w:w="1358"/>
        <w:gridCol w:w="1400"/>
      </w:tblGrid>
      <w:tr>
        <w:tblPrEx>
          <w:tblCellMar>
            <w:top w:w="0" w:type="dxa"/>
            <w:left w:w="108" w:type="dxa"/>
            <w:bottom w:w="0" w:type="dxa"/>
            <w:right w:w="108" w:type="dxa"/>
          </w:tblCellMar>
        </w:tblPrEx>
        <w:trPr>
          <w:trHeight w:val="606" w:hRule="atLeast"/>
          <w:jc w:val="center"/>
        </w:trPr>
        <w:tc>
          <w:tcPr>
            <w:tcW w:w="72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预算数</w:t>
            </w:r>
          </w:p>
        </w:tc>
        <w:tc>
          <w:tcPr>
            <w:tcW w:w="73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决算数</w:t>
            </w:r>
          </w:p>
        </w:tc>
      </w:tr>
      <w:tr>
        <w:tblPrEx>
          <w:tblCellMar>
            <w:top w:w="0" w:type="dxa"/>
            <w:left w:w="108" w:type="dxa"/>
            <w:bottom w:w="0" w:type="dxa"/>
            <w:right w:w="108" w:type="dxa"/>
          </w:tblCellMar>
        </w:tblPrEx>
        <w:trPr>
          <w:trHeight w:val="495" w:hRule="atLeast"/>
          <w:jc w:val="center"/>
        </w:trPr>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合计</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因公出国（境）费</w:t>
            </w:r>
          </w:p>
        </w:tc>
        <w:tc>
          <w:tcPr>
            <w:tcW w:w="36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公务用车购置及运行维护费</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公务用车购置及运行维护费</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公务接待费</w:t>
            </w:r>
          </w:p>
        </w:tc>
      </w:tr>
      <w:tr>
        <w:tblPrEx>
          <w:tblCellMar>
            <w:top w:w="0" w:type="dxa"/>
            <w:left w:w="108" w:type="dxa"/>
            <w:bottom w:w="0" w:type="dxa"/>
            <w:right w:w="108" w:type="dxa"/>
          </w:tblCellMar>
        </w:tblPrEx>
        <w:trPr>
          <w:trHeight w:val="864"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2"/>
                <w:highlight w:val="none"/>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2"/>
                <w:highlight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小计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w:t>
            </w:r>
            <w:r>
              <w:rPr>
                <w:rFonts w:ascii="Times New Roman" w:hAnsi="Times New Roman" w:eastAsia="仿宋_GB2312" w:cs="Times New Roman"/>
                <w:b/>
                <w:bCs/>
                <w:color w:val="000000"/>
                <w:kern w:val="0"/>
                <w:sz w:val="22"/>
                <w:highlight w:val="none"/>
                <w:lang w:bidi="ar"/>
              </w:rPr>
              <w:br w:type="textWrapping"/>
            </w:r>
            <w:r>
              <w:rPr>
                <w:rFonts w:ascii="Times New Roman" w:hAnsi="Times New Roman" w:eastAsia="仿宋_GB2312" w:cs="Times New Roman"/>
                <w:b/>
                <w:bCs/>
                <w:color w:val="000000"/>
                <w:kern w:val="0"/>
                <w:sz w:val="22"/>
                <w:highlight w:val="none"/>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w:t>
            </w:r>
            <w:r>
              <w:rPr>
                <w:rFonts w:ascii="Times New Roman" w:hAnsi="Times New Roman" w:eastAsia="仿宋_GB2312" w:cs="Times New Roman"/>
                <w:b/>
                <w:bCs/>
                <w:color w:val="000000"/>
                <w:kern w:val="0"/>
                <w:sz w:val="22"/>
                <w:highlight w:val="none"/>
                <w:lang w:bidi="ar"/>
              </w:rPr>
              <w:br w:type="textWrapping"/>
            </w:r>
            <w:r>
              <w:rPr>
                <w:rFonts w:ascii="Times New Roman" w:hAnsi="Times New Roman" w:eastAsia="仿宋_GB2312" w:cs="Times New Roman"/>
                <w:b/>
                <w:bCs/>
                <w:color w:val="000000"/>
                <w:kern w:val="0"/>
                <w:sz w:val="22"/>
                <w:highlight w:val="none"/>
                <w:lang w:bidi="ar"/>
              </w:rPr>
              <w:t>运行维护费</w:t>
            </w: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2"/>
                <w:highlight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2"/>
                <w:highlight w:val="none"/>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2"/>
                <w:highlight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w:t>
            </w:r>
            <w:r>
              <w:rPr>
                <w:rFonts w:ascii="Times New Roman" w:hAnsi="Times New Roman" w:eastAsia="仿宋_GB2312" w:cs="Times New Roman"/>
                <w:b/>
                <w:bCs/>
                <w:color w:val="000000"/>
                <w:kern w:val="0"/>
                <w:sz w:val="22"/>
                <w:highlight w:val="none"/>
                <w:lang w:bidi="ar"/>
              </w:rPr>
              <w:br w:type="textWrapping"/>
            </w:r>
            <w:r>
              <w:rPr>
                <w:rFonts w:ascii="Times New Roman" w:hAnsi="Times New Roman" w:eastAsia="仿宋_GB2312" w:cs="Times New Roman"/>
                <w:b/>
                <w:bCs/>
                <w:color w:val="000000"/>
                <w:kern w:val="0"/>
                <w:sz w:val="22"/>
                <w:highlight w:val="none"/>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b/>
                <w:bCs/>
                <w:color w:val="000000"/>
                <w:sz w:val="22"/>
                <w:highlight w:val="none"/>
              </w:rPr>
            </w:pPr>
            <w:r>
              <w:rPr>
                <w:rFonts w:ascii="Times New Roman" w:hAnsi="Times New Roman" w:eastAsia="仿宋_GB2312" w:cs="Times New Roman"/>
                <w:b/>
                <w:bCs/>
                <w:color w:val="000000"/>
                <w:kern w:val="0"/>
                <w:sz w:val="22"/>
                <w:highlight w:val="none"/>
                <w:lang w:bidi="ar"/>
              </w:rPr>
              <w:t>公务用车</w:t>
            </w:r>
            <w:r>
              <w:rPr>
                <w:rFonts w:ascii="Times New Roman" w:hAnsi="Times New Roman" w:eastAsia="仿宋_GB2312" w:cs="Times New Roman"/>
                <w:b/>
                <w:bCs/>
                <w:color w:val="000000"/>
                <w:kern w:val="0"/>
                <w:sz w:val="22"/>
                <w:highlight w:val="none"/>
                <w:lang w:bidi="ar"/>
              </w:rPr>
              <w:br w:type="textWrapping"/>
            </w:r>
            <w:r>
              <w:rPr>
                <w:rFonts w:ascii="Times New Roman" w:hAnsi="Times New Roman" w:eastAsia="仿宋_GB2312" w:cs="Times New Roman"/>
                <w:b/>
                <w:bCs/>
                <w:color w:val="000000"/>
                <w:kern w:val="0"/>
                <w:sz w:val="22"/>
                <w:highlight w:val="none"/>
                <w:lang w:bidi="ar"/>
              </w:rPr>
              <w:t>运行维护费</w:t>
            </w: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2"/>
                <w:highlight w:val="none"/>
              </w:rPr>
            </w:pPr>
          </w:p>
        </w:tc>
      </w:tr>
      <w:tr>
        <w:tblPrEx>
          <w:tblCellMar>
            <w:top w:w="0" w:type="dxa"/>
            <w:left w:w="108" w:type="dxa"/>
            <w:bottom w:w="0" w:type="dxa"/>
            <w:right w:w="108" w:type="dxa"/>
          </w:tblCellMar>
        </w:tblPrEx>
        <w:trPr>
          <w:trHeight w:val="614"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1</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3</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5</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11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Times New Roman" w:hAnsi="Times New Roman" w:eastAsia="仿宋_GB2312" w:cs="Times New Roman"/>
                <w:color w:val="000000"/>
                <w:sz w:val="22"/>
                <w:highlight w:val="none"/>
              </w:rPr>
            </w:pPr>
            <w:r>
              <w:rPr>
                <w:rFonts w:ascii="Times New Roman" w:hAnsi="Times New Roman" w:eastAsia="仿宋_GB2312" w:cs="Times New Roman"/>
                <w:color w:val="000000"/>
                <w:kern w:val="0"/>
                <w:sz w:val="22"/>
                <w:highlight w:val="none"/>
                <w:lang w:bidi="ar"/>
              </w:rPr>
              <w:t>12</w:t>
            </w:r>
          </w:p>
        </w:tc>
      </w:tr>
      <w:tr>
        <w:tblPrEx>
          <w:tblCellMar>
            <w:top w:w="0" w:type="dxa"/>
            <w:left w:w="108" w:type="dxa"/>
            <w:bottom w:w="0" w:type="dxa"/>
            <w:right w:w="108" w:type="dxa"/>
          </w:tblCellMar>
        </w:tblPrEx>
        <w:trPr>
          <w:trHeight w:val="579"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Times New Roman" w:hAnsi="Times New Roman" w:eastAsia="仿宋_GB2312" w:cs="Times New Roman"/>
                <w:color w:val="000000"/>
                <w:sz w:val="22"/>
                <w:highlight w:val="none"/>
                <w:lang w:val="en-US" w:eastAsia="zh-CN"/>
              </w:rPr>
            </w:pPr>
            <w:r>
              <w:rPr>
                <w:rFonts w:hint="eastAsia" w:ascii="Times New Roman" w:hAnsi="Times New Roman" w:eastAsia="仿宋_GB2312" w:cs="Times New Roman"/>
                <w:color w:val="000000"/>
                <w:sz w:val="22"/>
                <w:highlight w:val="none"/>
                <w:lang w:val="en-US" w:eastAsia="zh-CN"/>
              </w:rPr>
              <w:t>5.00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2"/>
                <w:highlight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Times New Roman" w:hAnsi="Times New Roman" w:eastAsia="仿宋_GB2312" w:cs="Times New Roman"/>
                <w:color w:val="000000"/>
                <w:sz w:val="22"/>
                <w:highlight w:val="none"/>
                <w:lang w:val="en-US" w:eastAsia="zh-CN"/>
              </w:rPr>
            </w:pPr>
            <w:r>
              <w:rPr>
                <w:rFonts w:hint="eastAsia" w:ascii="Times New Roman" w:hAnsi="Times New Roman" w:eastAsia="仿宋_GB2312" w:cs="Times New Roman"/>
                <w:color w:val="000000"/>
                <w:sz w:val="22"/>
                <w:highlight w:val="none"/>
                <w:lang w:val="en-US" w:eastAsia="zh-CN"/>
              </w:rPr>
              <w:t>3.00</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Times New Roman" w:hAnsi="Times New Roman" w:eastAsia="仿宋_GB2312" w:cs="Times New Roman"/>
                <w:color w:val="000000"/>
                <w:sz w:val="22"/>
                <w:highlight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Times New Roman" w:hAnsi="Times New Roman" w:eastAsia="仿宋_GB2312" w:cs="Times New Roman"/>
                <w:color w:val="000000"/>
                <w:sz w:val="22"/>
                <w:highlight w:val="none"/>
                <w:lang w:val="en-US" w:eastAsia="zh-CN"/>
              </w:rPr>
            </w:pPr>
            <w:r>
              <w:rPr>
                <w:rFonts w:hint="eastAsia" w:ascii="Times New Roman" w:hAnsi="Times New Roman" w:eastAsia="仿宋_GB2312" w:cs="Times New Roman"/>
                <w:color w:val="000000"/>
                <w:sz w:val="22"/>
                <w:highlight w:val="none"/>
                <w:lang w:val="en-US" w:eastAsia="zh-CN"/>
              </w:rPr>
              <w:t>3.00</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Times New Roman" w:hAnsi="Times New Roman" w:eastAsia="仿宋_GB2312" w:cs="Times New Roman"/>
                <w:color w:val="000000"/>
                <w:sz w:val="22"/>
                <w:highlight w:val="none"/>
                <w:lang w:val="en-US" w:eastAsia="zh-CN"/>
              </w:rPr>
            </w:pPr>
            <w:r>
              <w:rPr>
                <w:rFonts w:hint="eastAsia" w:ascii="Times New Roman" w:hAnsi="Times New Roman" w:eastAsia="仿宋_GB2312" w:cs="Times New Roman"/>
                <w:color w:val="000000"/>
                <w:sz w:val="22"/>
                <w:highlight w:val="none"/>
                <w:lang w:val="en-US" w:eastAsia="zh-CN"/>
              </w:rPr>
              <w:t>2.00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Times New Roman" w:hAnsi="Times New Roman" w:eastAsia="仿宋_GB2312" w:cs="Times New Roman"/>
                <w:color w:val="000000"/>
                <w:sz w:val="22"/>
                <w:highlight w:val="none"/>
                <w:lang w:val="en-US" w:eastAsia="zh-CN"/>
              </w:rPr>
            </w:pPr>
            <w:r>
              <w:rPr>
                <w:rFonts w:hint="eastAsia" w:ascii="Times New Roman" w:hAnsi="Times New Roman" w:eastAsia="仿宋_GB2312" w:cs="Times New Roman"/>
                <w:color w:val="000000"/>
                <w:sz w:val="22"/>
                <w:highlight w:val="none"/>
                <w:lang w:val="en-US" w:eastAsia="zh-CN"/>
              </w:rPr>
              <w:t>1.05</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2"/>
                <w:highlight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Times New Roman" w:hAnsi="Times New Roman" w:eastAsia="仿宋_GB2312" w:cs="Times New Roman"/>
                <w:color w:val="000000"/>
                <w:sz w:val="22"/>
                <w:highlight w:val="none"/>
                <w:lang w:val="en-US" w:eastAsia="zh-CN"/>
              </w:rPr>
            </w:pPr>
            <w:r>
              <w:rPr>
                <w:rFonts w:hint="eastAsia" w:ascii="Times New Roman" w:hAnsi="Times New Roman" w:eastAsia="仿宋_GB2312" w:cs="Times New Roman"/>
                <w:color w:val="000000"/>
                <w:sz w:val="22"/>
                <w:highlight w:val="none"/>
                <w:lang w:val="en-US" w:eastAsia="zh-CN"/>
              </w:rPr>
              <w:t>0.98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ascii="Times New Roman" w:hAnsi="Times New Roman" w:eastAsia="仿宋_GB2312" w:cs="Times New Roman"/>
                <w:color w:val="000000"/>
                <w:sz w:val="22"/>
                <w:highlight w:val="none"/>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Times New Roman" w:hAnsi="Times New Roman" w:eastAsia="仿宋_GB2312" w:cs="Times New Roman"/>
                <w:color w:val="000000"/>
                <w:sz w:val="22"/>
                <w:highlight w:val="none"/>
                <w:lang w:val="en-US" w:eastAsia="zh-CN"/>
              </w:rPr>
            </w:pPr>
            <w:r>
              <w:rPr>
                <w:rFonts w:hint="eastAsia" w:ascii="Times New Roman" w:hAnsi="Times New Roman" w:eastAsia="仿宋_GB2312" w:cs="Times New Roman"/>
                <w:color w:val="000000"/>
                <w:sz w:val="22"/>
                <w:highlight w:val="none"/>
                <w:lang w:val="en-US" w:eastAsia="zh-CN"/>
              </w:rPr>
              <w:t>0.98</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default" w:ascii="Times New Roman" w:hAnsi="Times New Roman" w:eastAsia="仿宋_GB2312" w:cs="Times New Roman"/>
                <w:color w:val="000000"/>
                <w:sz w:val="22"/>
                <w:highlight w:val="none"/>
                <w:lang w:val="en-US" w:eastAsia="zh-CN"/>
              </w:rPr>
            </w:pPr>
            <w:r>
              <w:rPr>
                <w:rFonts w:hint="eastAsia" w:ascii="Times New Roman" w:hAnsi="Times New Roman" w:eastAsia="仿宋_GB2312" w:cs="Times New Roman"/>
                <w:color w:val="000000"/>
                <w:sz w:val="22"/>
                <w:highlight w:val="none"/>
                <w:lang w:val="en-US" w:eastAsia="zh-CN"/>
              </w:rPr>
              <w:t>0.08</w:t>
            </w:r>
          </w:p>
        </w:tc>
      </w:tr>
    </w:tbl>
    <w:p>
      <w:pPr>
        <w:widowControl/>
        <w:shd w:val="clear"/>
        <w:spacing w:before="120"/>
        <w:jc w:val="left"/>
        <w:textAlignment w:val="center"/>
        <w:rPr>
          <w:rFonts w:ascii="Times New Roman" w:hAnsi="Times New Roman" w:eastAsia="仿宋_GB2312" w:cs="Times New Roman"/>
          <w:color w:val="000000"/>
          <w:sz w:val="24"/>
          <w:szCs w:val="24"/>
          <w:highlight w:val="none"/>
        </w:rPr>
      </w:pPr>
      <w:r>
        <w:rPr>
          <w:rFonts w:ascii="Times New Roman" w:hAnsi="Times New Roman" w:eastAsia="仿宋_GB2312" w:cs="Times New Roman"/>
          <w:color w:val="000000"/>
          <w:kern w:val="0"/>
          <w:sz w:val="24"/>
          <w:szCs w:val="24"/>
          <w:highlight w:val="none"/>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shd w:val="clear"/>
        <w:autoSpaceDE w:val="0"/>
        <w:autoSpaceDN w:val="0"/>
        <w:adjustRightInd w:val="0"/>
        <w:ind w:left="315" w:leftChars="150"/>
        <w:jc w:val="left"/>
        <w:rPr>
          <w:rFonts w:ascii="Times New Roman" w:hAnsi="Times New Roman" w:eastAsia="宋体" w:cs="Times New Roman"/>
          <w:kern w:val="0"/>
          <w:sz w:val="24"/>
          <w:szCs w:val="24"/>
          <w:highlight w:val="none"/>
        </w:rPr>
      </w:pPr>
    </w:p>
    <w:p>
      <w:pPr>
        <w:shd w:val="clear"/>
        <w:autoSpaceDE w:val="0"/>
        <w:autoSpaceDN w:val="0"/>
        <w:adjustRightInd w:val="0"/>
        <w:ind w:left="315" w:leftChars="150"/>
        <w:jc w:val="left"/>
        <w:rPr>
          <w:rFonts w:ascii="Times New Roman" w:hAnsi="Times New Roman" w:eastAsia="宋体" w:cs="Times New Roman"/>
          <w:kern w:val="0"/>
          <w:sz w:val="24"/>
          <w:szCs w:val="24"/>
          <w:highlight w:val="none"/>
        </w:rPr>
      </w:pPr>
    </w:p>
    <w:p>
      <w:pPr>
        <w:shd w:val="clear"/>
        <w:autoSpaceDE w:val="0"/>
        <w:autoSpaceDN w:val="0"/>
        <w:adjustRightInd w:val="0"/>
        <w:ind w:left="315" w:leftChars="150"/>
        <w:jc w:val="left"/>
        <w:rPr>
          <w:rFonts w:ascii="Times New Roman" w:hAnsi="Times New Roman" w:eastAsia="宋体" w:cs="Times New Roman"/>
          <w:kern w:val="0"/>
          <w:sz w:val="24"/>
          <w:szCs w:val="24"/>
          <w:highlight w:val="none"/>
        </w:rPr>
      </w:pPr>
    </w:p>
    <w:p>
      <w:pPr>
        <w:shd w:val="clear"/>
        <w:autoSpaceDE w:val="0"/>
        <w:autoSpaceDN w:val="0"/>
        <w:adjustRightInd w:val="0"/>
        <w:ind w:left="315" w:leftChars="150"/>
        <w:jc w:val="left"/>
        <w:rPr>
          <w:rFonts w:ascii="Times New Roman" w:hAnsi="Times New Roman" w:eastAsia="宋体" w:cs="Times New Roman"/>
          <w:kern w:val="0"/>
          <w:sz w:val="24"/>
          <w:szCs w:val="24"/>
          <w:highlight w:val="none"/>
        </w:rPr>
      </w:pPr>
    </w:p>
    <w:p>
      <w:pPr>
        <w:shd w:val="clear"/>
        <w:autoSpaceDE w:val="0"/>
        <w:autoSpaceDN w:val="0"/>
        <w:adjustRightInd w:val="0"/>
        <w:ind w:left="315" w:leftChars="150"/>
        <w:jc w:val="left"/>
        <w:rPr>
          <w:rFonts w:ascii="Times New Roman" w:hAnsi="Times New Roman" w:eastAsia="宋体" w:cs="Times New Roman"/>
          <w:kern w:val="0"/>
          <w:sz w:val="24"/>
          <w:szCs w:val="24"/>
          <w:highlight w:val="none"/>
        </w:rPr>
      </w:pPr>
    </w:p>
    <w:p>
      <w:pPr>
        <w:widowControl/>
        <w:shd w:val="clear"/>
        <w:rPr>
          <w:rFonts w:ascii="Times New Roman" w:hAnsi="Times New Roman" w:cs="Times New Roman"/>
          <w:sz w:val="72"/>
          <w:szCs w:val="72"/>
          <w:highlight w:val="none"/>
        </w:rPr>
        <w:sectPr>
          <w:pgSz w:w="16838" w:h="11906" w:orient="landscape"/>
          <w:pgMar w:top="934" w:right="1417" w:bottom="1134" w:left="1417" w:header="851" w:footer="992" w:gutter="0"/>
          <w:cols w:space="425" w:num="1"/>
          <w:docGrid w:type="lines" w:linePitch="312" w:charSpace="0"/>
        </w:sectPr>
      </w:pPr>
      <w:r>
        <w:rPr>
          <w:rFonts w:ascii="Times New Roman" w:hAnsi="Times New Roman" w:eastAsia="黑体" w:cs="Times New Roman"/>
          <w:szCs w:val="21"/>
          <w:highlight w:val="none"/>
        </w:rPr>
        <w:br w:type="page"/>
      </w:r>
    </w:p>
    <w:p>
      <w:pPr>
        <w:pStyle w:val="15"/>
        <w:shd w:val="clear"/>
        <w:rPr>
          <w:rFonts w:ascii="Times New Roman" w:hAnsi="Times New Roman" w:cs="Times New Roman"/>
          <w:sz w:val="72"/>
          <w:szCs w:val="72"/>
          <w:highlight w:val="none"/>
        </w:rPr>
      </w:pPr>
    </w:p>
    <w:p>
      <w:pPr>
        <w:pStyle w:val="15"/>
        <w:shd w:val="clear"/>
        <w:rPr>
          <w:rFonts w:ascii="Times New Roman" w:hAnsi="Times New Roman" w:cs="Times New Roman"/>
          <w:sz w:val="72"/>
          <w:szCs w:val="72"/>
          <w:highlight w:val="none"/>
        </w:rPr>
      </w:pPr>
    </w:p>
    <w:p>
      <w:pPr>
        <w:pStyle w:val="15"/>
        <w:shd w:val="clear"/>
        <w:rPr>
          <w:rFonts w:ascii="Times New Roman" w:hAnsi="Times New Roman" w:cs="Times New Roman"/>
          <w:sz w:val="72"/>
          <w:szCs w:val="72"/>
          <w:highlight w:val="none"/>
        </w:rPr>
      </w:pPr>
    </w:p>
    <w:p>
      <w:pPr>
        <w:pStyle w:val="15"/>
        <w:shd w:val="clear"/>
        <w:jc w:val="center"/>
        <w:rPr>
          <w:rFonts w:ascii="Times New Roman" w:hAnsi="Times New Roman" w:cs="Times New Roman"/>
          <w:sz w:val="72"/>
          <w:szCs w:val="72"/>
          <w:highlight w:val="none"/>
        </w:rPr>
      </w:pPr>
    </w:p>
    <w:p>
      <w:pPr>
        <w:pStyle w:val="15"/>
        <w:shd w:val="clear"/>
        <w:jc w:val="center"/>
        <w:rPr>
          <w:rFonts w:ascii="Times New Roman" w:hAnsi="Times New Roman" w:eastAsia="方正小标宋_GBK" w:cs="Times New Roman"/>
          <w:sz w:val="72"/>
          <w:szCs w:val="72"/>
          <w:highlight w:val="none"/>
        </w:rPr>
      </w:pPr>
    </w:p>
    <w:p>
      <w:pPr>
        <w:pStyle w:val="15"/>
        <w:shd w:val="clear"/>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第三部分</w:t>
      </w:r>
    </w:p>
    <w:p>
      <w:pPr>
        <w:pStyle w:val="15"/>
        <w:shd w:val="clear"/>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2024年度部门决算情况说明</w:t>
      </w:r>
    </w:p>
    <w:p>
      <w:pPr>
        <w:widowControl/>
        <w:shd w:val="clear"/>
        <w:jc w:val="left"/>
        <w:rPr>
          <w:rFonts w:ascii="Times New Roman" w:hAnsi="Times New Roman" w:cs="Times New Roman"/>
          <w:sz w:val="32"/>
          <w:szCs w:val="32"/>
          <w:highlight w:val="none"/>
        </w:rPr>
      </w:pPr>
      <w:r>
        <w:rPr>
          <w:rFonts w:ascii="Times New Roman" w:hAnsi="Times New Roman" w:eastAsia="方正小标宋_GBK" w:cs="Times New Roman"/>
          <w:sz w:val="70"/>
          <w:szCs w:val="70"/>
          <w:highlight w:val="none"/>
        </w:rPr>
        <w:br w:type="page"/>
      </w:r>
    </w:p>
    <w:p>
      <w:pPr>
        <w:pStyle w:val="15"/>
        <w:shd w:val="clear"/>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一、收入支出决算总体情况说明</w:t>
      </w:r>
    </w:p>
    <w:p>
      <w:pPr>
        <w:pStyle w:val="15"/>
        <w:shd w:val="clear"/>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rPr>
        <w:t>2024年度收、支总计</w:t>
      </w:r>
      <w:r>
        <w:rPr>
          <w:rFonts w:hint="eastAsia" w:ascii="Times New Roman" w:hAnsi="Times New Roman" w:eastAsia="仿宋_GB2312" w:cs="Times New Roman"/>
          <w:sz w:val="32"/>
          <w:szCs w:val="32"/>
          <w:highlight w:val="none"/>
        </w:rPr>
        <w:t>1,876.05</w:t>
      </w:r>
      <w:r>
        <w:rPr>
          <w:rFonts w:ascii="Times New Roman" w:hAnsi="Times New Roman" w:eastAsia="仿宋_GB2312" w:cs="Times New Roman"/>
          <w:sz w:val="32"/>
          <w:szCs w:val="32"/>
          <w:highlight w:val="none"/>
        </w:rPr>
        <w:t>万元。与上年相比减少</w:t>
      </w:r>
      <w:r>
        <w:rPr>
          <w:rFonts w:hint="eastAsia" w:ascii="Times New Roman" w:hAnsi="Times New Roman" w:eastAsia="仿宋_GB2312" w:cs="Times New Roman"/>
          <w:sz w:val="32"/>
          <w:szCs w:val="32"/>
          <w:highlight w:val="none"/>
        </w:rPr>
        <w:t>172.07</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lang w:val="en-US" w:eastAsia="zh-CN"/>
        </w:rPr>
        <w:t>8.40</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lang w:val="en-US" w:eastAsia="zh-CN"/>
        </w:rPr>
        <w:t>当年农业生产发展专项减少。</w:t>
      </w:r>
    </w:p>
    <w:p>
      <w:pPr>
        <w:pStyle w:val="15"/>
        <w:shd w:val="clear"/>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二、收入决算情况说明</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2024年度收入合计</w:t>
      </w:r>
      <w:r>
        <w:rPr>
          <w:rFonts w:hint="eastAsia" w:ascii="Times New Roman" w:hAnsi="Times New Roman" w:eastAsia="仿宋_GB2312" w:cs="Times New Roman"/>
          <w:sz w:val="32"/>
          <w:szCs w:val="32"/>
          <w:highlight w:val="none"/>
        </w:rPr>
        <w:t>1,808.48</w:t>
      </w:r>
      <w:r>
        <w:rPr>
          <w:rFonts w:ascii="Times New Roman" w:hAnsi="Times New Roman" w:eastAsia="仿宋_GB2312" w:cs="Times New Roman"/>
          <w:sz w:val="32"/>
          <w:szCs w:val="32"/>
          <w:highlight w:val="none"/>
        </w:rPr>
        <w:t>万元，其中：财政拨款收入</w:t>
      </w:r>
      <w:r>
        <w:rPr>
          <w:rFonts w:hint="eastAsia" w:ascii="Times New Roman" w:hAnsi="Times New Roman" w:eastAsia="仿宋_GB2312" w:cs="Times New Roman"/>
          <w:sz w:val="32"/>
          <w:szCs w:val="32"/>
          <w:highlight w:val="none"/>
        </w:rPr>
        <w:t>1,808.30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99.99</w:t>
      </w:r>
      <w:r>
        <w:rPr>
          <w:rFonts w:ascii="Times New Roman" w:hAnsi="Times New Roman" w:eastAsia="仿宋_GB2312" w:cs="Times New Roman"/>
          <w:sz w:val="32"/>
          <w:szCs w:val="32"/>
          <w:highlight w:val="none"/>
        </w:rPr>
        <w:t>%；上级补助收入</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%；事业收入</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%；经营收入</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%；附属单位上缴收入</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highlight w:val="none"/>
        </w:rPr>
        <w:t>其他收入</w:t>
      </w:r>
      <w:r>
        <w:rPr>
          <w:rFonts w:hint="eastAsia" w:ascii="Times New Roman" w:hAnsi="Times New Roman" w:eastAsia="仿宋_GB2312" w:cs="Times New Roman"/>
          <w:sz w:val="32"/>
          <w:szCs w:val="32"/>
          <w:highlight w:val="none"/>
          <w:lang w:val="en-US" w:eastAsia="zh-CN"/>
        </w:rPr>
        <w:t>0.18</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0.01</w:t>
      </w:r>
      <w:r>
        <w:rPr>
          <w:rFonts w:ascii="Times New Roman" w:hAnsi="Times New Roman" w:eastAsia="仿宋_GB2312" w:cs="Times New Roman"/>
          <w:sz w:val="32"/>
          <w:szCs w:val="32"/>
          <w:highlight w:val="none"/>
        </w:rPr>
        <w:t>%。</w:t>
      </w:r>
    </w:p>
    <w:p>
      <w:pPr>
        <w:pStyle w:val="15"/>
        <w:shd w:val="clear"/>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三、支出决算情况说明</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2024年度支出合计</w:t>
      </w:r>
      <w:r>
        <w:rPr>
          <w:rFonts w:hint="eastAsia" w:ascii="Times New Roman" w:hAnsi="Times New Roman" w:eastAsia="仿宋_GB2312" w:cs="Times New Roman"/>
          <w:sz w:val="32"/>
          <w:szCs w:val="32"/>
          <w:highlight w:val="none"/>
        </w:rPr>
        <w:t>1,790.09</w:t>
      </w:r>
      <w:r>
        <w:rPr>
          <w:rFonts w:ascii="Times New Roman" w:hAnsi="Times New Roman" w:eastAsia="仿宋_GB2312" w:cs="Times New Roman"/>
          <w:sz w:val="32"/>
          <w:szCs w:val="32"/>
          <w:highlight w:val="none"/>
        </w:rPr>
        <w:t>万元，其中：基本支出</w:t>
      </w:r>
      <w:r>
        <w:rPr>
          <w:rFonts w:hint="eastAsia" w:ascii="Times New Roman" w:hAnsi="Times New Roman" w:eastAsia="仿宋_GB2312" w:cs="Times New Roman"/>
          <w:sz w:val="32"/>
          <w:szCs w:val="32"/>
          <w:highlight w:val="none"/>
        </w:rPr>
        <w:t>678.80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37.92</w:t>
      </w:r>
      <w:r>
        <w:rPr>
          <w:rFonts w:ascii="Times New Roman" w:hAnsi="Times New Roman" w:eastAsia="仿宋_GB2312" w:cs="Times New Roman"/>
          <w:sz w:val="32"/>
          <w:szCs w:val="32"/>
          <w:highlight w:val="none"/>
        </w:rPr>
        <w:t>%；项目支出</w:t>
      </w:r>
      <w:r>
        <w:rPr>
          <w:rFonts w:hint="eastAsia" w:ascii="Times New Roman" w:hAnsi="Times New Roman" w:eastAsia="仿宋_GB2312" w:cs="Times New Roman"/>
          <w:sz w:val="32"/>
          <w:szCs w:val="32"/>
          <w:highlight w:val="none"/>
        </w:rPr>
        <w:t>1,111.29</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62.08%</w:t>
      </w:r>
      <w:r>
        <w:rPr>
          <w:rFonts w:ascii="Times New Roman" w:hAnsi="Times New Roman" w:eastAsia="仿宋_GB2312" w:cs="Times New Roman"/>
          <w:sz w:val="32"/>
          <w:szCs w:val="32"/>
          <w:highlight w:val="none"/>
        </w:rPr>
        <w:t>；上缴上级支出</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%；经营支出</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%；对附属单位补助支出</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w:t>
      </w:r>
    </w:p>
    <w:p>
      <w:pPr>
        <w:pStyle w:val="15"/>
        <w:shd w:val="clear"/>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四、财政拨款收入支出决算总体情况说明</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2024年度财政拨款收、支总计</w:t>
      </w:r>
      <w:r>
        <w:rPr>
          <w:rFonts w:hint="eastAsia" w:ascii="Times New Roman" w:hAnsi="Times New Roman" w:eastAsia="仿宋_GB2312" w:cs="Times New Roman"/>
          <w:sz w:val="32"/>
          <w:szCs w:val="32"/>
          <w:highlight w:val="none"/>
        </w:rPr>
        <w:t>1,825.50</w:t>
      </w:r>
      <w:r>
        <w:rPr>
          <w:rFonts w:ascii="Times New Roman" w:hAnsi="Times New Roman" w:eastAsia="仿宋_GB2312" w:cs="Times New Roman"/>
          <w:sz w:val="32"/>
          <w:szCs w:val="32"/>
          <w:highlight w:val="none"/>
        </w:rPr>
        <w:t>万元，与上年相比减少</w:t>
      </w:r>
      <w:r>
        <w:rPr>
          <w:rFonts w:hint="eastAsia" w:ascii="Times New Roman" w:hAnsi="Times New Roman" w:eastAsia="仿宋_GB2312" w:cs="Times New Roman"/>
          <w:sz w:val="32"/>
          <w:szCs w:val="32"/>
          <w:highlight w:val="none"/>
        </w:rPr>
        <w:t>222.36</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highlight w:val="none"/>
        </w:rPr>
        <w:t>降低</w:t>
      </w:r>
      <w:r>
        <w:rPr>
          <w:rFonts w:hint="eastAsia" w:ascii="Times New Roman" w:hAnsi="Times New Roman" w:eastAsia="仿宋_GB2312" w:cs="Times New Roman"/>
          <w:sz w:val="32"/>
          <w:szCs w:val="32"/>
          <w:highlight w:val="none"/>
        </w:rPr>
        <w:t>10.86%</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rPr>
        <w:t>当年农业生产发展专项减少</w:t>
      </w:r>
      <w:r>
        <w:rPr>
          <w:rFonts w:hint="eastAsia" w:ascii="Times New Roman" w:hAnsi="Times New Roman" w:eastAsia="仿宋_GB2312" w:cs="Times New Roman"/>
          <w:sz w:val="32"/>
          <w:szCs w:val="32"/>
          <w:highlight w:val="none"/>
          <w:lang w:eastAsia="zh-CN"/>
        </w:rPr>
        <w:t>。</w:t>
      </w:r>
    </w:p>
    <w:p>
      <w:pPr>
        <w:pStyle w:val="15"/>
        <w:shd w:val="clear"/>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五、一般公共预算财政拨款支出决算情况说明</w:t>
      </w:r>
    </w:p>
    <w:p>
      <w:pPr>
        <w:pStyle w:val="15"/>
        <w:shd w:val="clear"/>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（一）一般公共预算财政拨款支出决算总体情况</w:t>
      </w:r>
    </w:p>
    <w:p>
      <w:pPr>
        <w:pStyle w:val="15"/>
        <w:shd w:val="clear"/>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rPr>
        <w:t>2024年度财政拨款支出</w:t>
      </w:r>
      <w:r>
        <w:rPr>
          <w:rFonts w:hint="eastAsia" w:ascii="Times New Roman" w:hAnsi="Times New Roman" w:eastAsia="仿宋_GB2312" w:cs="Times New Roman"/>
          <w:sz w:val="32"/>
          <w:szCs w:val="32"/>
          <w:highlight w:val="none"/>
        </w:rPr>
        <w:t>1,739.54</w:t>
      </w:r>
      <w:r>
        <w:rPr>
          <w:rFonts w:ascii="Times New Roman" w:hAnsi="Times New Roman" w:eastAsia="仿宋_GB2312" w:cs="Times New Roman"/>
          <w:sz w:val="32"/>
          <w:szCs w:val="32"/>
          <w:highlight w:val="none"/>
        </w:rPr>
        <w:t>万元，占本年支出合计的</w:t>
      </w:r>
      <w:r>
        <w:rPr>
          <w:rFonts w:hint="eastAsia" w:ascii="Times New Roman" w:hAnsi="Times New Roman" w:eastAsia="仿宋_GB2312" w:cs="Times New Roman"/>
          <w:sz w:val="32"/>
          <w:szCs w:val="32"/>
          <w:highlight w:val="none"/>
        </w:rPr>
        <w:t>97.18%</w:t>
      </w:r>
      <w:r>
        <w:rPr>
          <w:rFonts w:ascii="Times New Roman" w:hAnsi="Times New Roman" w:eastAsia="仿宋_GB2312" w:cs="Times New Roman"/>
          <w:sz w:val="32"/>
          <w:szCs w:val="32"/>
          <w:highlight w:val="none"/>
        </w:rPr>
        <w:t>，与上年相比，财政拨款支出增加</w:t>
      </w:r>
      <w:r>
        <w:rPr>
          <w:rFonts w:hint="eastAsia" w:ascii="Times New Roman" w:hAnsi="Times New Roman" w:eastAsia="仿宋_GB2312" w:cs="Times New Roman"/>
          <w:sz w:val="32"/>
          <w:szCs w:val="32"/>
          <w:highlight w:val="none"/>
        </w:rPr>
        <w:t>425.54</w:t>
      </w:r>
      <w:r>
        <w:rPr>
          <w:rFonts w:ascii="Times New Roman" w:hAnsi="Times New Roman" w:eastAsia="仿宋_GB2312" w:cs="Times New Roman"/>
          <w:sz w:val="32"/>
          <w:szCs w:val="32"/>
          <w:highlight w:val="none"/>
        </w:rPr>
        <w:t>万元，增长</w:t>
      </w:r>
      <w:r>
        <w:rPr>
          <w:rFonts w:hint="eastAsia" w:ascii="Times New Roman" w:hAnsi="Times New Roman" w:eastAsia="仿宋_GB2312" w:cs="Times New Roman"/>
          <w:sz w:val="32"/>
          <w:szCs w:val="32"/>
          <w:highlight w:val="none"/>
        </w:rPr>
        <w:t>32.39%</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rPr>
        <w:t>其他林业和草原项目</w:t>
      </w:r>
      <w:r>
        <w:rPr>
          <w:rFonts w:hint="eastAsia" w:ascii="Times New Roman" w:hAnsi="Times New Roman" w:eastAsia="仿宋_GB2312" w:cs="Times New Roman"/>
          <w:sz w:val="32"/>
          <w:szCs w:val="32"/>
          <w:highlight w:val="none"/>
          <w:lang w:val="en-US" w:eastAsia="zh-CN"/>
        </w:rPr>
        <w:t>支出较上年增加。</w:t>
      </w:r>
    </w:p>
    <w:p>
      <w:pPr>
        <w:pStyle w:val="15"/>
        <w:shd w:val="clear"/>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（二）一般公共预算财政拨款支出决算结构情况</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2024年度财政拨款支出</w:t>
      </w:r>
      <w:r>
        <w:rPr>
          <w:rFonts w:hint="eastAsia" w:ascii="Times New Roman" w:hAnsi="Times New Roman" w:eastAsia="仿宋_GB2312" w:cs="Times New Roman"/>
          <w:sz w:val="32"/>
          <w:szCs w:val="32"/>
          <w:highlight w:val="none"/>
        </w:rPr>
        <w:t>1,739.54</w:t>
      </w:r>
      <w:r>
        <w:rPr>
          <w:rFonts w:ascii="Times New Roman" w:hAnsi="Times New Roman" w:eastAsia="仿宋_GB2312" w:cs="Times New Roman"/>
          <w:sz w:val="32"/>
          <w:szCs w:val="32"/>
          <w:highlight w:val="none"/>
        </w:rPr>
        <w:t>万元，主要用于以下方面：一般公共服务（类）支出</w:t>
      </w:r>
      <w:r>
        <w:rPr>
          <w:rFonts w:hint="eastAsia" w:ascii="Times New Roman" w:hAnsi="Times New Roman" w:eastAsia="仿宋_GB2312" w:cs="Times New Roman"/>
          <w:sz w:val="32"/>
          <w:szCs w:val="32"/>
          <w:highlight w:val="none"/>
        </w:rPr>
        <w:t>4.67</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0.27%</w:t>
      </w:r>
      <w:r>
        <w:rPr>
          <w:rFonts w:ascii="Times New Roman" w:hAnsi="Times New Roman" w:eastAsia="仿宋_GB2312" w:cs="Times New Roman"/>
          <w:sz w:val="32"/>
          <w:szCs w:val="32"/>
          <w:highlight w:val="none"/>
        </w:rPr>
        <w:t>；教育（类）支出</w:t>
      </w:r>
      <w:r>
        <w:rPr>
          <w:rFonts w:hint="eastAsia" w:ascii="Times New Roman" w:hAnsi="Times New Roman" w:eastAsia="仿宋_GB2312" w:cs="Times New Roman"/>
          <w:sz w:val="32"/>
          <w:szCs w:val="32"/>
          <w:highlight w:val="none"/>
        </w:rPr>
        <w:t>1.62</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rPr>
        <w:t>0.09%</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社会保障和就业（类）支出84.46万元，占4.86%；农林水（类）支出1,607.93万元，占92.43%</w:t>
      </w:r>
      <w:r>
        <w:rPr>
          <w:rFonts w:hint="eastAsia" w:ascii="Times New Roman" w:hAnsi="Times New Roman" w:eastAsia="仿宋_GB2312" w:cs="Times New Roman"/>
          <w:sz w:val="32"/>
          <w:szCs w:val="32"/>
          <w:highlight w:val="none"/>
          <w:lang w:eastAsia="zh-CN"/>
        </w:rPr>
        <w:t>；住房保障支出40.87，占2.35%。</w:t>
      </w:r>
    </w:p>
    <w:p>
      <w:pPr>
        <w:pStyle w:val="15"/>
        <w:shd w:val="clear"/>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（三）一般公共预算财政拨款支出决算具体情况</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2024年度财政拨款支出年初预算数为</w:t>
      </w:r>
      <w:r>
        <w:rPr>
          <w:rFonts w:hint="eastAsia" w:ascii="Times New Roman" w:hAnsi="Times New Roman" w:eastAsia="仿宋_GB2312" w:cs="Times New Roman"/>
          <w:sz w:val="32"/>
          <w:szCs w:val="32"/>
          <w:highlight w:val="none"/>
        </w:rPr>
        <w:t>1,153.5</w:t>
      </w:r>
      <w:r>
        <w:rPr>
          <w:rFonts w:hint="eastAsia" w:ascii="Times New Roman" w:hAnsi="Times New Roman" w:eastAsia="仿宋_GB2312" w:cs="Times New Roman"/>
          <w:sz w:val="32"/>
          <w:szCs w:val="32"/>
          <w:highlight w:val="none"/>
          <w:lang w:val="en-US" w:eastAsia="zh-CN"/>
        </w:rPr>
        <w:t>8</w:t>
      </w:r>
      <w:r>
        <w:rPr>
          <w:rFonts w:ascii="Times New Roman" w:hAnsi="Times New Roman" w:eastAsia="仿宋_GB2312" w:cs="Times New Roman"/>
          <w:sz w:val="32"/>
          <w:szCs w:val="32"/>
          <w:highlight w:val="none"/>
        </w:rPr>
        <w:t>万元，支出决算数为</w:t>
      </w:r>
      <w:r>
        <w:rPr>
          <w:rFonts w:hint="eastAsia" w:ascii="Times New Roman" w:hAnsi="Times New Roman" w:eastAsia="仿宋_GB2312" w:cs="Times New Roman"/>
          <w:sz w:val="32"/>
          <w:szCs w:val="32"/>
          <w:highlight w:val="none"/>
        </w:rPr>
        <w:t>1,739.55</w:t>
      </w:r>
      <w:r>
        <w:rPr>
          <w:rFonts w:ascii="Times New Roman" w:hAnsi="Times New Roman" w:eastAsia="仿宋_GB2312" w:cs="Times New Roman"/>
          <w:sz w:val="32"/>
          <w:szCs w:val="32"/>
          <w:highlight w:val="none"/>
        </w:rPr>
        <w:t>万元，完成年初预算的</w:t>
      </w:r>
      <w:r>
        <w:rPr>
          <w:rFonts w:hint="eastAsia" w:ascii="Times New Roman" w:hAnsi="Times New Roman" w:eastAsia="仿宋_GB2312" w:cs="Times New Roman"/>
          <w:sz w:val="32"/>
          <w:szCs w:val="32"/>
          <w:highlight w:val="none"/>
        </w:rPr>
        <w:t>150.80%</w:t>
      </w:r>
      <w:r>
        <w:rPr>
          <w:rFonts w:ascii="Times New Roman" w:hAnsi="Times New Roman" w:eastAsia="仿宋_GB2312" w:cs="Times New Roman"/>
          <w:sz w:val="32"/>
          <w:szCs w:val="32"/>
          <w:highlight w:val="none"/>
        </w:rPr>
        <w:t>，其中：</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w:t>
      </w:r>
      <w:r>
        <w:rPr>
          <w:rFonts w:hint="eastAsia" w:ascii="Times New Roman" w:hAnsi="Times New Roman" w:eastAsia="仿宋_GB2312" w:cs="Times New Roman"/>
          <w:sz w:val="32"/>
          <w:szCs w:val="32"/>
          <w:highlight w:val="none"/>
        </w:rPr>
        <w:t>一般公共服务（类）市场监督管理事务（款）其他市场监督管理事务（项）</w:t>
      </w:r>
      <w:r>
        <w:rPr>
          <w:rFonts w:ascii="Times New Roman" w:hAnsi="Times New Roman" w:eastAsia="仿宋_GB2312" w:cs="Times New Roman"/>
          <w:sz w:val="32"/>
          <w:szCs w:val="32"/>
          <w:highlight w:val="none"/>
        </w:rPr>
        <w:t>。</w:t>
      </w:r>
    </w:p>
    <w:p>
      <w:pPr>
        <w:pStyle w:val="15"/>
        <w:shd w:val="clear"/>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rPr>
        <w:t>年初预算为</w:t>
      </w:r>
      <w:r>
        <w:rPr>
          <w:rFonts w:hint="eastAsia" w:ascii="Times New Roman" w:hAnsi="Times New Roman" w:eastAsia="仿宋_GB2312" w:cs="Times New Roman"/>
          <w:sz w:val="32"/>
          <w:szCs w:val="32"/>
          <w:highlight w:val="none"/>
        </w:rPr>
        <w:t>4.92</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4.67</w:t>
      </w:r>
      <w:r>
        <w:rPr>
          <w:rFonts w:ascii="Times New Roman" w:hAnsi="Times New Roman" w:eastAsia="仿宋_GB2312" w:cs="Times New Roman"/>
          <w:sz w:val="32"/>
          <w:szCs w:val="32"/>
          <w:highlight w:val="none"/>
        </w:rPr>
        <w:t>万元，完成年初预算的</w:t>
      </w:r>
      <w:r>
        <w:rPr>
          <w:rFonts w:hint="eastAsia" w:ascii="Times New Roman" w:hAnsi="Times New Roman" w:eastAsia="仿宋_GB2312" w:cs="Times New Roman"/>
          <w:sz w:val="32"/>
          <w:szCs w:val="32"/>
          <w:highlight w:val="none"/>
        </w:rPr>
        <w:t>94.92%</w:t>
      </w:r>
      <w:r>
        <w:rPr>
          <w:rFonts w:ascii="Times New Roman" w:hAnsi="Times New Roman" w:eastAsia="仿宋_GB2312" w:cs="Times New Roman"/>
          <w:sz w:val="32"/>
          <w:szCs w:val="32"/>
          <w:highlight w:val="none"/>
        </w:rPr>
        <w:t>，决算数小于年初预算数的主要原因是：</w:t>
      </w:r>
      <w:r>
        <w:rPr>
          <w:rFonts w:hint="eastAsia" w:ascii="Times New Roman" w:hAnsi="Times New Roman" w:eastAsia="仿宋_GB2312" w:cs="Times New Roman"/>
          <w:sz w:val="32"/>
          <w:szCs w:val="32"/>
          <w:highlight w:val="none"/>
          <w:lang w:eastAsia="zh-CN"/>
        </w:rPr>
        <w:t>资金略有结余，</w:t>
      </w:r>
      <w:r>
        <w:rPr>
          <w:rFonts w:hint="eastAsia" w:ascii="Times New Roman" w:hAnsi="Times New Roman" w:eastAsia="仿宋_GB2312" w:cs="Times New Roman"/>
          <w:sz w:val="32"/>
          <w:szCs w:val="32"/>
          <w:highlight w:val="none"/>
          <w:lang w:val="en-US" w:eastAsia="zh-CN"/>
        </w:rPr>
        <w:t>结转至下年。</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w:t>
      </w:r>
      <w:r>
        <w:rPr>
          <w:rFonts w:hint="eastAsia" w:ascii="Times New Roman" w:hAnsi="Times New Roman" w:eastAsia="仿宋_GB2312" w:cs="Times New Roman"/>
          <w:sz w:val="32"/>
          <w:szCs w:val="32"/>
          <w:highlight w:val="none"/>
        </w:rPr>
        <w:t>教育支出</w:t>
      </w:r>
      <w:r>
        <w:rPr>
          <w:rFonts w:ascii="Times New Roman" w:hAnsi="Times New Roman" w:eastAsia="仿宋_GB2312" w:cs="Times New Roman"/>
          <w:sz w:val="32"/>
          <w:szCs w:val="32"/>
          <w:highlight w:val="none"/>
        </w:rPr>
        <w:t>（类）</w:t>
      </w:r>
      <w:r>
        <w:rPr>
          <w:rFonts w:hint="eastAsia" w:ascii="Times New Roman" w:hAnsi="Times New Roman" w:eastAsia="仿宋_GB2312" w:cs="Times New Roman"/>
          <w:sz w:val="32"/>
          <w:szCs w:val="32"/>
          <w:highlight w:val="none"/>
        </w:rPr>
        <w:t>进修及培训</w:t>
      </w:r>
      <w:r>
        <w:rPr>
          <w:rFonts w:ascii="Times New Roman" w:hAnsi="Times New Roman" w:eastAsia="仿宋_GB2312" w:cs="Times New Roman"/>
          <w:sz w:val="32"/>
          <w:szCs w:val="32"/>
          <w:highlight w:val="none"/>
        </w:rPr>
        <w:t>（款）</w:t>
      </w:r>
      <w:r>
        <w:rPr>
          <w:rFonts w:hint="eastAsia" w:ascii="Times New Roman" w:hAnsi="Times New Roman" w:eastAsia="仿宋_GB2312" w:cs="Times New Roman"/>
          <w:sz w:val="32"/>
          <w:szCs w:val="32"/>
          <w:highlight w:val="none"/>
        </w:rPr>
        <w:t>培训支出</w:t>
      </w:r>
      <w:r>
        <w:rPr>
          <w:rFonts w:ascii="Times New Roman" w:hAnsi="Times New Roman" w:eastAsia="仿宋_GB2312" w:cs="Times New Roman"/>
          <w:sz w:val="32"/>
          <w:szCs w:val="32"/>
          <w:highlight w:val="none"/>
        </w:rPr>
        <w:t>（项）。</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rPr>
        <w:t>年初预算为</w:t>
      </w:r>
      <w:r>
        <w:rPr>
          <w:rFonts w:hint="eastAsia" w:ascii="Times New Roman" w:hAnsi="Times New Roman" w:eastAsia="仿宋_GB2312" w:cs="Times New Roman"/>
          <w:sz w:val="32"/>
          <w:szCs w:val="32"/>
          <w:highlight w:val="none"/>
        </w:rPr>
        <w:t>3.00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1.62</w:t>
      </w:r>
      <w:r>
        <w:rPr>
          <w:rFonts w:ascii="Times New Roman" w:hAnsi="Times New Roman" w:eastAsia="仿宋_GB2312" w:cs="Times New Roman"/>
          <w:sz w:val="32"/>
          <w:szCs w:val="32"/>
          <w:highlight w:val="none"/>
        </w:rPr>
        <w:t>万元，完成年初预算的</w:t>
      </w:r>
      <w:r>
        <w:rPr>
          <w:rFonts w:hint="eastAsia" w:ascii="Times New Roman" w:hAnsi="Times New Roman" w:eastAsia="仿宋_GB2312" w:cs="Times New Roman"/>
          <w:sz w:val="32"/>
          <w:szCs w:val="32"/>
          <w:highlight w:val="none"/>
        </w:rPr>
        <w:t>54.00%</w:t>
      </w:r>
      <w:r>
        <w:rPr>
          <w:rFonts w:ascii="Times New Roman" w:hAnsi="Times New Roman" w:eastAsia="仿宋_GB2312" w:cs="Times New Roman"/>
          <w:sz w:val="32"/>
          <w:szCs w:val="32"/>
          <w:highlight w:val="none"/>
        </w:rPr>
        <w:t>，决算数小于年初预算数的主要原因是：</w:t>
      </w:r>
      <w:r>
        <w:rPr>
          <w:rFonts w:hint="eastAsia" w:ascii="Times New Roman" w:hAnsi="Times New Roman" w:eastAsia="仿宋_GB2312" w:cs="Times New Roman"/>
          <w:sz w:val="32"/>
          <w:szCs w:val="32"/>
          <w:highlight w:val="none"/>
          <w:lang w:val="en-US" w:eastAsia="zh-CN"/>
        </w:rPr>
        <w:t>培训支出项目有结余。</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3、社会保障和就业（类）行政事业单位养老支出（款）事业单位离退休（项）。</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年初预算为36.16万元，支出决算为36.16万元，完成年初预算的100%。</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4、社会保障和就业（类）行政事业单位养老支出（款）机关事业单位基本养老保险缴费支出（项）。</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年初预算为48.30万元，支出决算为48.30万元，完成年初预算的100%。</w:t>
      </w:r>
    </w:p>
    <w:p>
      <w:pPr>
        <w:pStyle w:val="15"/>
        <w:numPr>
          <w:ilvl w:val="0"/>
          <w:numId w:val="1"/>
        </w:numPr>
        <w:shd w:val="clea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农林水支出（类）农业农村（款）事业运行（项）。</w:t>
      </w:r>
    </w:p>
    <w:p>
      <w:pPr>
        <w:pStyle w:val="15"/>
        <w:numPr>
          <w:ilvl w:val="0"/>
          <w:numId w:val="0"/>
        </w:numPr>
        <w:shd w:val="clea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年初预算为590.72万元，支出决算为523.39元，完成年初预算的88.60%，决算数小于年初预算数的主要原因是：厉行节约控制公用支出及年中人员调动等减员造成人员支出减小。</w:t>
      </w:r>
    </w:p>
    <w:p>
      <w:pPr>
        <w:pStyle w:val="15"/>
        <w:numPr>
          <w:ilvl w:val="0"/>
          <w:numId w:val="0"/>
        </w:numPr>
        <w:shd w:val="clear"/>
        <w:overflowPunct w:val="0"/>
        <w:autoSpaceDE/>
        <w:autoSpaceDN/>
        <w:spacing w:line="600" w:lineRule="exact"/>
        <w:ind w:left="0" w:leftChars="0" w:firstLine="640" w:firstLineChars="200"/>
        <w:jc w:val="both"/>
        <w:rPr>
          <w:rFonts w:hint="eastAsia" w:ascii="Times New Roman" w:hAnsi="Times New Roman" w:eastAsia="仿宋_GB2312"/>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6、</w:t>
      </w:r>
      <w:r>
        <w:rPr>
          <w:rFonts w:hint="eastAsia" w:ascii="Times New Roman" w:hAnsi="Times New Roman" w:eastAsia="仿宋_GB2312"/>
          <w:sz w:val="32"/>
          <w:szCs w:val="32"/>
          <w:highlight w:val="none"/>
          <w:lang w:val="en-US" w:eastAsia="zh-CN"/>
        </w:rPr>
        <w:t>农林水支出（类）农业农村（款）农产品质量安全（项）。</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年初预算为0.49万元，支出决算为0.49万元，完成年初预算的100%。</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7、农林水支出（类）农业农村（款）农业生产发展（项）。</w:t>
      </w:r>
    </w:p>
    <w:p>
      <w:pPr>
        <w:pStyle w:val="15"/>
        <w:numPr>
          <w:ilvl w:val="0"/>
          <w:numId w:val="0"/>
        </w:numPr>
        <w:shd w:val="clear"/>
        <w:overflowPunct w:val="0"/>
        <w:autoSpaceDE/>
        <w:autoSpaceDN/>
        <w:spacing w:line="600" w:lineRule="exact"/>
        <w:ind w:left="0" w:leftChars="0" w:firstLine="640" w:firstLineChars="200"/>
        <w:jc w:val="both"/>
        <w:rPr>
          <w:rFonts w:hint="default" w:ascii="Times New Roman" w:hAnsi="Times New Roman" w:eastAsia="仿宋_GB2312"/>
          <w:sz w:val="32"/>
          <w:szCs w:val="32"/>
          <w:highlight w:val="none"/>
          <w:lang w:val="en-US" w:eastAsia="zh-CN"/>
        </w:rPr>
      </w:pPr>
      <w:r>
        <w:rPr>
          <w:rFonts w:hint="default" w:ascii="Times New Roman" w:hAnsi="Times New Roman" w:eastAsia="仿宋_GB2312"/>
          <w:sz w:val="32"/>
          <w:szCs w:val="32"/>
          <w:highlight w:val="none"/>
          <w:lang w:val="en-US" w:eastAsia="zh-CN"/>
        </w:rPr>
        <w:t>年初预算为417.00万元，支出决算为414.95万元，完成年初预算的99.51%</w:t>
      </w:r>
      <w:r>
        <w:rPr>
          <w:rFonts w:hint="eastAsia" w:ascii="Times New Roman" w:hAnsi="Times New Roman" w:eastAsia="仿宋_GB2312"/>
          <w:sz w:val="32"/>
          <w:szCs w:val="32"/>
          <w:highlight w:val="none"/>
          <w:lang w:val="en-US" w:eastAsia="zh-CN"/>
        </w:rPr>
        <w:t>。</w:t>
      </w:r>
    </w:p>
    <w:p>
      <w:pPr>
        <w:pStyle w:val="15"/>
        <w:numPr>
          <w:ilvl w:val="0"/>
          <w:numId w:val="0"/>
        </w:numPr>
        <w:shd w:val="clear"/>
        <w:overflowPunct w:val="0"/>
        <w:autoSpaceDE/>
        <w:autoSpaceDN/>
        <w:spacing w:line="600" w:lineRule="exact"/>
        <w:ind w:left="0" w:leftChars="0" w:firstLine="640" w:firstLineChars="200"/>
        <w:jc w:val="both"/>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8、</w:t>
      </w:r>
      <w:r>
        <w:rPr>
          <w:rFonts w:hint="default" w:ascii="Times New Roman" w:hAnsi="Times New Roman" w:eastAsia="仿宋_GB2312"/>
          <w:sz w:val="32"/>
          <w:szCs w:val="32"/>
          <w:highlight w:val="none"/>
          <w:lang w:val="en-US" w:eastAsia="zh-CN"/>
        </w:rPr>
        <w:t>农林水支出（类）农业农村（款）农业生态资源保护（项）。</w:t>
      </w:r>
    </w:p>
    <w:p>
      <w:pPr>
        <w:pStyle w:val="15"/>
        <w:numPr>
          <w:ilvl w:val="0"/>
          <w:numId w:val="0"/>
        </w:numPr>
        <w:shd w:val="clear"/>
        <w:overflowPunct w:val="0"/>
        <w:autoSpaceDE/>
        <w:autoSpaceDN/>
        <w:spacing w:line="600" w:lineRule="exact"/>
        <w:ind w:left="0" w:leftChars="0" w:firstLine="640" w:firstLineChars="200"/>
        <w:jc w:val="both"/>
        <w:rPr>
          <w:rFonts w:hint="default" w:ascii="Times New Roman" w:hAnsi="Times New Roman" w:eastAsia="仿宋_GB2312"/>
          <w:sz w:val="32"/>
          <w:szCs w:val="32"/>
          <w:highlight w:val="none"/>
          <w:lang w:val="en-US" w:eastAsia="zh-CN"/>
        </w:rPr>
      </w:pPr>
      <w:r>
        <w:rPr>
          <w:rFonts w:hint="default" w:ascii="Times New Roman" w:hAnsi="Times New Roman" w:eastAsia="仿宋_GB2312"/>
          <w:sz w:val="32"/>
          <w:szCs w:val="32"/>
          <w:highlight w:val="none"/>
          <w:lang w:val="en-US" w:eastAsia="zh-CN"/>
        </w:rPr>
        <w:t>年初预算为0.00万元，支出决算为57.18万元，</w:t>
      </w:r>
      <w:r>
        <w:rPr>
          <w:rFonts w:hint="eastAsia" w:ascii="Times New Roman" w:hAnsi="Times New Roman" w:eastAsia="仿宋_GB2312"/>
          <w:sz w:val="32"/>
          <w:szCs w:val="32"/>
          <w:highlight w:val="none"/>
          <w:lang w:val="en-US" w:eastAsia="zh-CN"/>
        </w:rPr>
        <w:t>决</w:t>
      </w:r>
      <w:r>
        <w:rPr>
          <w:rFonts w:hint="default" w:ascii="Times New Roman" w:hAnsi="Times New Roman" w:eastAsia="仿宋_GB2312"/>
          <w:sz w:val="32"/>
          <w:szCs w:val="32"/>
          <w:highlight w:val="none"/>
          <w:lang w:val="en-US" w:eastAsia="zh-CN"/>
        </w:rPr>
        <w:t>算数大于年初预算数的主要原因是：年中追加农业生态资源保护专项资金。</w:t>
      </w:r>
    </w:p>
    <w:p>
      <w:pPr>
        <w:pStyle w:val="15"/>
        <w:numPr>
          <w:ilvl w:val="0"/>
          <w:numId w:val="0"/>
        </w:numPr>
        <w:shd w:val="clear"/>
        <w:overflowPunct w:val="0"/>
        <w:autoSpaceDE/>
        <w:autoSpaceDN/>
        <w:spacing w:line="600" w:lineRule="exact"/>
        <w:ind w:left="0" w:leftChars="0" w:firstLine="640" w:firstLineChars="200"/>
        <w:jc w:val="both"/>
        <w:rPr>
          <w:rFonts w:hint="default" w:ascii="Times New Roman" w:hAnsi="Times New Roman" w:eastAsia="仿宋_GB2312"/>
          <w:sz w:val="32"/>
          <w:szCs w:val="32"/>
          <w:highlight w:val="none"/>
          <w:lang w:val="en-US" w:eastAsia="zh-CN"/>
        </w:rPr>
      </w:pPr>
      <w:r>
        <w:rPr>
          <w:rFonts w:hint="default" w:ascii="Times New Roman" w:hAnsi="Times New Roman" w:eastAsia="仿宋_GB2312"/>
          <w:sz w:val="32"/>
          <w:szCs w:val="32"/>
          <w:highlight w:val="none"/>
          <w:lang w:val="en-US" w:eastAsia="zh-CN"/>
        </w:rPr>
        <w:t>9、农林水支出（类）林业和草原支出（款）其他林业和草原支出（项）。</w:t>
      </w:r>
    </w:p>
    <w:p>
      <w:pPr>
        <w:pStyle w:val="15"/>
        <w:numPr>
          <w:ilvl w:val="0"/>
          <w:numId w:val="0"/>
        </w:numPr>
        <w:shd w:val="clear"/>
        <w:overflowPunct w:val="0"/>
        <w:autoSpaceDE/>
        <w:autoSpaceDN/>
        <w:spacing w:line="600" w:lineRule="exact"/>
        <w:ind w:left="0" w:leftChars="0" w:firstLine="640" w:firstLineChars="200"/>
        <w:jc w:val="both"/>
        <w:rPr>
          <w:rFonts w:hint="default" w:ascii="Times New Roman" w:hAnsi="Times New Roman" w:eastAsia="仿宋_GB2312"/>
          <w:sz w:val="32"/>
          <w:szCs w:val="32"/>
          <w:highlight w:val="none"/>
          <w:lang w:val="en-US" w:eastAsia="zh-CN"/>
        </w:rPr>
      </w:pPr>
      <w:r>
        <w:rPr>
          <w:rFonts w:hint="default" w:ascii="Times New Roman" w:hAnsi="Times New Roman" w:eastAsia="仿宋_GB2312"/>
          <w:sz w:val="32"/>
          <w:szCs w:val="32"/>
          <w:highlight w:val="none"/>
          <w:lang w:val="en-US" w:eastAsia="zh-CN"/>
        </w:rPr>
        <w:t>年初预算为0.00万元，支出决算为611.92万元，决算数</w:t>
      </w:r>
      <w:r>
        <w:rPr>
          <w:rFonts w:hint="eastAsia" w:ascii="Times New Roman" w:hAnsi="Times New Roman" w:eastAsia="仿宋_GB2312"/>
          <w:sz w:val="32"/>
          <w:szCs w:val="32"/>
          <w:highlight w:val="none"/>
          <w:lang w:val="en-US" w:eastAsia="zh-CN"/>
        </w:rPr>
        <w:t>大</w:t>
      </w:r>
      <w:r>
        <w:rPr>
          <w:rFonts w:hint="default" w:ascii="Times New Roman" w:hAnsi="Times New Roman" w:eastAsia="仿宋_GB2312"/>
          <w:sz w:val="32"/>
          <w:szCs w:val="32"/>
          <w:highlight w:val="none"/>
          <w:lang w:val="en-US" w:eastAsia="zh-CN"/>
        </w:rPr>
        <w:t>于年初预算数的主要原因是：上年度结转其他林业和草原支出专项资金。</w:t>
      </w:r>
    </w:p>
    <w:p>
      <w:pPr>
        <w:pStyle w:val="15"/>
        <w:numPr>
          <w:ilvl w:val="0"/>
          <w:numId w:val="0"/>
        </w:numPr>
        <w:shd w:val="clea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10、住房保障支出（类）住房改革支出（款）住房公积金（项）。</w:t>
      </w:r>
    </w:p>
    <w:p>
      <w:pPr>
        <w:pStyle w:val="15"/>
        <w:numPr>
          <w:ilvl w:val="0"/>
          <w:numId w:val="0"/>
        </w:numPr>
        <w:shd w:val="clea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年初预算为53.00万元，支出决算为40.87元，完成年初预算的77.11%，决算数小于年初预算数的主要原因是：年中人员调动等减员造成支出减小。</w:t>
      </w:r>
    </w:p>
    <w:p>
      <w:pPr>
        <w:pStyle w:val="15"/>
        <w:shd w:val="clear"/>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六、一般公共预算财政拨款基本支出决算情况说明</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2024年度一般公共预算财政拨款基本支出</w:t>
      </w:r>
      <w:r>
        <w:rPr>
          <w:rFonts w:hint="eastAsia" w:ascii="Times New Roman" w:hAnsi="Times New Roman" w:eastAsia="仿宋_GB2312" w:cs="Times New Roman"/>
          <w:sz w:val="32"/>
          <w:szCs w:val="32"/>
          <w:highlight w:val="none"/>
        </w:rPr>
        <w:t>636.92</w:t>
      </w:r>
      <w:r>
        <w:rPr>
          <w:rFonts w:ascii="Times New Roman" w:hAnsi="Times New Roman" w:eastAsia="仿宋_GB2312" w:cs="Times New Roman"/>
          <w:sz w:val="32"/>
          <w:szCs w:val="32"/>
          <w:highlight w:val="none"/>
        </w:rPr>
        <w:t>万元，其中：</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b/>
          <w:bCs/>
          <w:sz w:val="32"/>
          <w:szCs w:val="32"/>
          <w:highlight w:val="none"/>
        </w:rPr>
        <w:t>人员经费</w:t>
      </w:r>
      <w:r>
        <w:rPr>
          <w:rFonts w:hint="eastAsia" w:ascii="Times New Roman" w:hAnsi="Times New Roman" w:eastAsia="仿宋_GB2312" w:cs="Times New Roman"/>
          <w:sz w:val="32"/>
          <w:szCs w:val="32"/>
          <w:highlight w:val="none"/>
        </w:rPr>
        <w:t>607.02</w:t>
      </w:r>
      <w:r>
        <w:rPr>
          <w:rFonts w:ascii="Times New Roman" w:hAnsi="Times New Roman" w:eastAsia="仿宋_GB2312" w:cs="Times New Roman"/>
          <w:sz w:val="32"/>
          <w:szCs w:val="32"/>
          <w:highlight w:val="none"/>
        </w:rPr>
        <w:t>万元，占基本支出的</w:t>
      </w:r>
      <w:r>
        <w:rPr>
          <w:rFonts w:hint="eastAsia" w:ascii="Times New Roman" w:hAnsi="Times New Roman" w:eastAsia="仿宋_GB2312" w:cs="Times New Roman"/>
          <w:sz w:val="32"/>
          <w:szCs w:val="32"/>
          <w:highlight w:val="none"/>
        </w:rPr>
        <w:t>95.31%</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主要包括基本工资、津贴补贴、伙食补助费、绩效工资、机关事业单位基本养老保险缴费、住房公积金、其他工资福利支出、奖励金、其他对个人和家庭的补助支出等</w:t>
      </w:r>
      <w:r>
        <w:rPr>
          <w:rFonts w:ascii="Times New Roman" w:hAnsi="Times New Roman" w:eastAsia="仿宋_GB2312" w:cs="Times New Roman"/>
          <w:sz w:val="32"/>
          <w:szCs w:val="32"/>
          <w:highlight w:val="none"/>
        </w:rPr>
        <w:t>。</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b/>
          <w:bCs/>
          <w:sz w:val="32"/>
          <w:szCs w:val="32"/>
          <w:highlight w:val="none"/>
        </w:rPr>
        <w:t>公用经费</w:t>
      </w:r>
      <w:r>
        <w:rPr>
          <w:rFonts w:hint="eastAsia" w:ascii="Times New Roman" w:hAnsi="Times New Roman" w:eastAsia="仿宋_GB2312" w:cs="Times New Roman"/>
          <w:sz w:val="32"/>
          <w:szCs w:val="32"/>
          <w:highlight w:val="none"/>
        </w:rPr>
        <w:t>29.90</w:t>
      </w:r>
      <w:r>
        <w:rPr>
          <w:rFonts w:ascii="Times New Roman" w:hAnsi="Times New Roman" w:eastAsia="仿宋_GB2312" w:cs="Times New Roman"/>
          <w:sz w:val="32"/>
          <w:szCs w:val="32"/>
          <w:highlight w:val="none"/>
        </w:rPr>
        <w:t>万元，占基本支出的</w:t>
      </w:r>
      <w:r>
        <w:rPr>
          <w:rFonts w:hint="eastAsia" w:ascii="Times New Roman" w:hAnsi="Times New Roman" w:eastAsia="仿宋_GB2312" w:cs="Times New Roman"/>
          <w:sz w:val="32"/>
          <w:szCs w:val="32"/>
          <w:highlight w:val="none"/>
          <w:lang w:val="en-US" w:eastAsia="zh-CN"/>
        </w:rPr>
        <w:t>4.69</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主要包括办公费、工会经费、其他交通费用、其他商品和服务支出等</w:t>
      </w:r>
      <w:r>
        <w:rPr>
          <w:rFonts w:ascii="Times New Roman" w:hAnsi="Times New Roman" w:eastAsia="仿宋_GB2312" w:cs="Times New Roman"/>
          <w:sz w:val="32"/>
          <w:szCs w:val="32"/>
          <w:highlight w:val="none"/>
        </w:rPr>
        <w:t>。</w:t>
      </w:r>
    </w:p>
    <w:p>
      <w:pPr>
        <w:pStyle w:val="15"/>
        <w:shd w:val="clear"/>
        <w:overflowPunct w:val="0"/>
        <w:autoSpaceDE/>
        <w:autoSpaceDN/>
        <w:spacing w:line="600" w:lineRule="exact"/>
        <w:ind w:firstLine="640" w:firstLineChars="200"/>
        <w:jc w:val="both"/>
        <w:rPr>
          <w:rFonts w:ascii="Times New Roman" w:hAnsi="Times New Roman" w:eastAsia="仿宋_GB2312" w:cs="Times New Roman"/>
          <w:b/>
          <w:sz w:val="32"/>
          <w:szCs w:val="32"/>
          <w:highlight w:val="none"/>
        </w:rPr>
      </w:pPr>
      <w:r>
        <w:rPr>
          <w:rFonts w:ascii="Times New Roman" w:hAnsi="Times New Roman" w:cs="Times New Roman"/>
          <w:bCs/>
          <w:sz w:val="32"/>
          <w:szCs w:val="32"/>
          <w:highlight w:val="none"/>
        </w:rPr>
        <w:t>七、财政拨款“三公”经费支出决算情况说明</w:t>
      </w:r>
    </w:p>
    <w:p>
      <w:pPr>
        <w:pStyle w:val="15"/>
        <w:shd w:val="clear"/>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（一）“三公”经费财政拨款支出决算总体情况说明</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2024年度“三公”经费财政拨款支出预算为</w:t>
      </w:r>
      <w:r>
        <w:rPr>
          <w:rFonts w:hint="eastAsia" w:ascii="Times New Roman" w:hAnsi="Times New Roman" w:eastAsia="仿宋_GB2312" w:cs="Times New Roman"/>
          <w:sz w:val="32"/>
          <w:szCs w:val="32"/>
          <w:highlight w:val="none"/>
        </w:rPr>
        <w:t>3.00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1.05</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rPr>
        <w:t>21.00%</w:t>
      </w:r>
      <w:r>
        <w:rPr>
          <w:rFonts w:ascii="Times New Roman" w:hAnsi="Times New Roman" w:eastAsia="仿宋_GB2312" w:cs="Times New Roman"/>
          <w:sz w:val="32"/>
          <w:szCs w:val="32"/>
          <w:highlight w:val="none"/>
        </w:rPr>
        <w:t>；与上年相比减少</w:t>
      </w:r>
      <w:r>
        <w:rPr>
          <w:rFonts w:hint="eastAsia" w:ascii="Times New Roman" w:hAnsi="Times New Roman" w:eastAsia="仿宋_GB2312" w:cs="Times New Roman"/>
          <w:sz w:val="32"/>
          <w:szCs w:val="32"/>
          <w:highlight w:val="none"/>
          <w:lang w:val="en-US" w:eastAsia="zh-CN"/>
        </w:rPr>
        <w:t>1.00</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rPr>
        <w:t>48.78%</w:t>
      </w:r>
      <w:r>
        <w:rPr>
          <w:rFonts w:ascii="Times New Roman" w:hAnsi="Times New Roman" w:eastAsia="仿宋_GB2312" w:cs="Times New Roman"/>
          <w:sz w:val="32"/>
          <w:szCs w:val="32"/>
          <w:highlight w:val="none"/>
        </w:rPr>
        <w:t>。决算数小</w:t>
      </w:r>
      <w:r>
        <w:rPr>
          <w:rFonts w:hint="eastAsia" w:ascii="Times New Roman" w:hAnsi="Times New Roman" w:eastAsia="仿宋_GB2312" w:cs="Times New Roman"/>
          <w:sz w:val="32"/>
          <w:szCs w:val="32"/>
          <w:highlight w:val="none"/>
          <w:lang w:eastAsia="zh-CN"/>
        </w:rPr>
        <w:t>于</w:t>
      </w:r>
      <w:r>
        <w:rPr>
          <w:rFonts w:ascii="Times New Roman" w:hAnsi="Times New Roman" w:eastAsia="仿宋_GB2312" w:cs="Times New Roman"/>
          <w:sz w:val="32"/>
          <w:szCs w:val="32"/>
          <w:highlight w:val="none"/>
        </w:rPr>
        <w:t>预算数的主要原因是</w:t>
      </w:r>
      <w:r>
        <w:rPr>
          <w:rFonts w:hint="eastAsia" w:ascii="Times New Roman" w:hAnsi="Times New Roman" w:eastAsia="仿宋_GB2312" w:cs="Times New Roman"/>
          <w:sz w:val="32"/>
          <w:szCs w:val="32"/>
          <w:highlight w:val="none"/>
          <w:lang w:eastAsia="zh-CN"/>
        </w:rPr>
        <w:t>厉行节约，</w:t>
      </w:r>
      <w:r>
        <w:rPr>
          <w:rFonts w:hint="eastAsia" w:ascii="Times New Roman" w:hAnsi="Times New Roman" w:eastAsia="仿宋_GB2312" w:cs="Times New Roman"/>
          <w:sz w:val="32"/>
          <w:szCs w:val="32"/>
          <w:highlight w:val="none"/>
        </w:rPr>
        <w:t>控制经费开支</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s="Times New Roman"/>
          <w:sz w:val="32"/>
          <w:szCs w:val="32"/>
          <w:highlight w:val="none"/>
          <w:lang w:val="en-US" w:eastAsia="zh-CN"/>
        </w:rPr>
        <w:t>公务车辆维修维护费用压减</w:t>
      </w:r>
      <w:r>
        <w:rPr>
          <w:rFonts w:ascii="Times New Roman" w:hAnsi="Times New Roman" w:eastAsia="仿宋_GB2312" w:cs="Times New Roman"/>
          <w:sz w:val="32"/>
          <w:szCs w:val="32"/>
          <w:highlight w:val="none"/>
        </w:rPr>
        <w:t>。</w:t>
      </w:r>
    </w:p>
    <w:p>
      <w:pPr>
        <w:pStyle w:val="15"/>
        <w:shd w:val="clear"/>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（二）“三公”经费财政拨款支出决算具体情况说明</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1.因公出国（境）费支出预算为</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val="en-US" w:eastAsia="zh-CN"/>
        </w:rPr>
        <w:t>与上年持平</w:t>
      </w:r>
      <w:r>
        <w:rPr>
          <w:rFonts w:ascii="Times New Roman" w:hAnsi="Times New Roman" w:eastAsia="仿宋_GB2312" w:cs="Times New Roman"/>
          <w:sz w:val="32"/>
          <w:szCs w:val="32"/>
          <w:highlight w:val="none"/>
        </w:rPr>
        <w:t>。2024年度安排因公出国（境）团组</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个，累计</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人次</w:t>
      </w:r>
      <w:r>
        <w:rPr>
          <w:rFonts w:hint="eastAsia" w:ascii="Times New Roman" w:hAnsi="Times New Roman" w:eastAsia="仿宋_GB2312" w:cs="Times New Roman"/>
          <w:sz w:val="32"/>
          <w:szCs w:val="32"/>
          <w:highlight w:val="none"/>
          <w:lang w:eastAsia="zh-CN"/>
        </w:rPr>
        <w:t>。</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2.公务用车购置费及运行维护费支出预算为</w:t>
      </w:r>
      <w:r>
        <w:rPr>
          <w:rFonts w:hint="eastAsia" w:ascii="Times New Roman" w:hAnsi="Times New Roman" w:eastAsia="仿宋_GB2312" w:cs="Times New Roman"/>
          <w:sz w:val="32"/>
          <w:szCs w:val="32"/>
          <w:highlight w:val="none"/>
          <w:lang w:val="en-US" w:eastAsia="zh-CN"/>
        </w:rPr>
        <w:t>3.00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0.98</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rPr>
        <w:t>32.67%</w:t>
      </w:r>
      <w:r>
        <w:rPr>
          <w:rFonts w:ascii="Times New Roman" w:hAnsi="Times New Roman" w:eastAsia="仿宋_GB2312" w:cs="Times New Roman"/>
          <w:sz w:val="32"/>
          <w:szCs w:val="32"/>
          <w:highlight w:val="none"/>
        </w:rPr>
        <w:t>；与上年相比减少</w:t>
      </w:r>
      <w:r>
        <w:rPr>
          <w:rFonts w:hint="eastAsia" w:ascii="Times New Roman" w:hAnsi="Times New Roman" w:eastAsia="仿宋_GB2312" w:cs="Times New Roman"/>
          <w:sz w:val="32"/>
          <w:szCs w:val="32"/>
          <w:highlight w:val="none"/>
        </w:rPr>
        <w:t>0.89</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rPr>
        <w:t>47.59%</w:t>
      </w:r>
      <w:r>
        <w:rPr>
          <w:rFonts w:ascii="Times New Roman" w:hAnsi="Times New Roman" w:eastAsia="仿宋_GB2312" w:cs="Times New Roman"/>
          <w:sz w:val="32"/>
          <w:szCs w:val="32"/>
          <w:highlight w:val="none"/>
        </w:rPr>
        <w:t>。其中：</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rPr>
        <w:t>公务用车购置费支出预算为</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val="en-US" w:eastAsia="zh-CN"/>
        </w:rPr>
        <w:t>与上年持平</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湖南省兽药饲料监察所</w:t>
      </w:r>
      <w:r>
        <w:rPr>
          <w:rFonts w:ascii="Times New Roman" w:hAnsi="Times New Roman" w:eastAsia="仿宋_GB2312" w:cs="Times New Roman"/>
          <w:sz w:val="32"/>
          <w:szCs w:val="32"/>
          <w:highlight w:val="none"/>
        </w:rPr>
        <w:t>更新公务用车</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r>
        <w:rPr>
          <w:rFonts w:hint="eastAsia" w:ascii="Times New Roman" w:hAnsi="Times New Roman" w:eastAsia="仿宋_GB2312" w:cs="Times New Roman"/>
          <w:sz w:val="32"/>
          <w:szCs w:val="32"/>
          <w:highlight w:val="none"/>
          <w:lang w:eastAsia="zh-CN"/>
        </w:rPr>
        <w:t>。</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公务用车运行维护费支出预算为</w:t>
      </w:r>
      <w:r>
        <w:rPr>
          <w:rFonts w:hint="eastAsia" w:ascii="Times New Roman" w:hAnsi="Times New Roman" w:eastAsia="仿宋_GB2312" w:cs="Times New Roman"/>
          <w:sz w:val="32"/>
          <w:szCs w:val="32"/>
          <w:highlight w:val="none"/>
          <w:lang w:val="en-US" w:eastAsia="zh-CN"/>
        </w:rPr>
        <w:t>3.00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0.98</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主要是</w:t>
      </w:r>
      <w:r>
        <w:rPr>
          <w:rFonts w:hint="eastAsia" w:ascii="Times New Roman" w:hAnsi="Times New Roman" w:eastAsia="仿宋_GB2312" w:cs="Times New Roman"/>
          <w:sz w:val="32"/>
          <w:szCs w:val="32"/>
          <w:highlight w:val="none"/>
        </w:rPr>
        <w:t>公务用车维修保养、保险、加油支出</w:t>
      </w:r>
      <w:r>
        <w:rPr>
          <w:rFonts w:ascii="Times New Roman" w:hAnsi="Times New Roman" w:eastAsia="仿宋_GB2312" w:cs="Times New Roman"/>
          <w:sz w:val="32"/>
          <w:szCs w:val="32"/>
          <w:highlight w:val="none"/>
        </w:rPr>
        <w:t>，完成预算的</w:t>
      </w:r>
      <w:r>
        <w:rPr>
          <w:rFonts w:hint="eastAsia" w:ascii="Times New Roman" w:hAnsi="Times New Roman" w:eastAsia="仿宋_GB2312" w:cs="Times New Roman"/>
          <w:sz w:val="32"/>
          <w:szCs w:val="32"/>
          <w:highlight w:val="none"/>
        </w:rPr>
        <w:t>32.67%</w:t>
      </w:r>
      <w:r>
        <w:rPr>
          <w:rFonts w:ascii="Times New Roman" w:hAnsi="Times New Roman" w:eastAsia="仿宋_GB2312" w:cs="Times New Roman"/>
          <w:sz w:val="32"/>
          <w:szCs w:val="32"/>
          <w:highlight w:val="none"/>
        </w:rPr>
        <w:t>；与上年相比减少</w:t>
      </w:r>
      <w:r>
        <w:rPr>
          <w:rFonts w:hint="eastAsia" w:ascii="Times New Roman" w:hAnsi="Times New Roman" w:eastAsia="仿宋_GB2312" w:cs="Times New Roman"/>
          <w:sz w:val="32"/>
          <w:szCs w:val="32"/>
          <w:highlight w:val="none"/>
        </w:rPr>
        <w:t>0.89</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rPr>
        <w:t>47.59%</w:t>
      </w:r>
      <w:r>
        <w:rPr>
          <w:rFonts w:ascii="Times New Roman" w:hAnsi="Times New Roman" w:eastAsia="仿宋_GB2312" w:cs="Times New Roman"/>
          <w:sz w:val="32"/>
          <w:szCs w:val="32"/>
          <w:highlight w:val="none"/>
        </w:rPr>
        <w:t>。决算数小于预算数的主要原因是</w:t>
      </w:r>
      <w:r>
        <w:rPr>
          <w:rFonts w:hint="eastAsia" w:ascii="Times New Roman" w:hAnsi="Times New Roman" w:eastAsia="仿宋_GB2312" w:cs="Times New Roman"/>
          <w:sz w:val="32"/>
          <w:szCs w:val="32"/>
          <w:highlight w:val="none"/>
        </w:rPr>
        <w:t>公务车辆维修维护费用压减</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s="Times New Roman"/>
          <w:sz w:val="32"/>
          <w:szCs w:val="32"/>
          <w:highlight w:val="none"/>
        </w:rPr>
        <w:t>公务车辆维修维护费用压减</w:t>
      </w:r>
      <w:r>
        <w:rPr>
          <w:rFonts w:ascii="Times New Roman" w:hAnsi="Times New Roman" w:eastAsia="仿宋_GB2312" w:cs="Times New Roman"/>
          <w:sz w:val="32"/>
          <w:szCs w:val="32"/>
          <w:highlight w:val="none"/>
        </w:rPr>
        <w:t>。截止2024年12月31日，我单位开支财政拨款的公务用车保有量为</w:t>
      </w:r>
      <w:r>
        <w:rPr>
          <w:rFonts w:hint="eastAsia" w:ascii="Times New Roman" w:hAnsi="Times New Roman" w:eastAsia="仿宋_GB2312" w:cs="Times New Roman"/>
          <w:sz w:val="32"/>
          <w:szCs w:val="32"/>
          <w:highlight w:val="none"/>
          <w:lang w:val="en-US" w:eastAsia="zh-CN"/>
        </w:rPr>
        <w:t>1</w:t>
      </w:r>
      <w:r>
        <w:rPr>
          <w:rFonts w:ascii="Times New Roman" w:hAnsi="Times New Roman" w:eastAsia="仿宋_GB2312" w:cs="Times New Roman"/>
          <w:sz w:val="32"/>
          <w:szCs w:val="32"/>
          <w:highlight w:val="none"/>
        </w:rPr>
        <w:t>辆。</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3.公务接待费支出预算为</w:t>
      </w:r>
      <w:r>
        <w:rPr>
          <w:rFonts w:hint="eastAsia" w:ascii="Times New Roman" w:hAnsi="Times New Roman" w:eastAsia="仿宋_GB2312" w:cs="Times New Roman"/>
          <w:sz w:val="32"/>
          <w:szCs w:val="32"/>
          <w:highlight w:val="none"/>
          <w:lang w:val="en-US" w:eastAsia="zh-CN"/>
        </w:rPr>
        <w:t>2.00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rPr>
        <w:t>0.08</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rPr>
        <w:t>4.00%</w:t>
      </w:r>
      <w:r>
        <w:rPr>
          <w:rFonts w:ascii="Times New Roman" w:hAnsi="Times New Roman" w:eastAsia="仿宋_GB2312" w:cs="Times New Roman"/>
          <w:sz w:val="32"/>
          <w:szCs w:val="32"/>
          <w:highlight w:val="none"/>
        </w:rPr>
        <w:t>；与上年相比减少</w:t>
      </w:r>
      <w:r>
        <w:rPr>
          <w:rFonts w:hint="eastAsia" w:ascii="Times New Roman" w:hAnsi="Times New Roman" w:eastAsia="仿宋_GB2312" w:cs="Times New Roman"/>
          <w:sz w:val="32"/>
          <w:szCs w:val="32"/>
          <w:highlight w:val="none"/>
          <w:lang w:val="en-US" w:eastAsia="zh-CN"/>
        </w:rPr>
        <w:t>0.10</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lang w:val="en-US" w:eastAsia="zh-CN"/>
        </w:rPr>
        <w:t>55.56</w:t>
      </w:r>
      <w:r>
        <w:rPr>
          <w:rFonts w:ascii="Times New Roman" w:hAnsi="Times New Roman" w:eastAsia="仿宋_GB2312" w:cs="Times New Roman"/>
          <w:sz w:val="32"/>
          <w:szCs w:val="32"/>
          <w:highlight w:val="none"/>
        </w:rPr>
        <w:t>%。决算数小于预算数的主要原因是</w:t>
      </w:r>
      <w:r>
        <w:rPr>
          <w:rFonts w:hint="eastAsia" w:ascii="Times New Roman" w:hAnsi="Times New Roman" w:eastAsia="仿宋_GB2312" w:cs="Times New Roman"/>
          <w:sz w:val="32"/>
          <w:szCs w:val="32"/>
          <w:highlight w:val="none"/>
        </w:rPr>
        <w:t>厉行节约从严控制公务接待经费开支</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s="Times New Roman"/>
          <w:sz w:val="32"/>
          <w:szCs w:val="32"/>
          <w:highlight w:val="none"/>
        </w:rPr>
        <w:t>接待任务减少</w:t>
      </w:r>
      <w:r>
        <w:rPr>
          <w:rFonts w:ascii="Times New Roman" w:hAnsi="Times New Roman" w:eastAsia="仿宋_GB2312" w:cs="Times New Roman"/>
          <w:sz w:val="32"/>
          <w:szCs w:val="32"/>
          <w:highlight w:val="none"/>
        </w:rPr>
        <w:t>。2024年度共接待来访团组</w:t>
      </w:r>
      <w:r>
        <w:rPr>
          <w:rFonts w:hint="eastAsia" w:ascii="Times New Roman" w:hAnsi="Times New Roman" w:eastAsia="仿宋_GB2312" w:cs="Times New Roman"/>
          <w:sz w:val="32"/>
          <w:szCs w:val="32"/>
          <w:highlight w:val="none"/>
          <w:lang w:val="en-US" w:eastAsia="zh-CN"/>
        </w:rPr>
        <w:t>1</w:t>
      </w:r>
      <w:r>
        <w:rPr>
          <w:rFonts w:ascii="Times New Roman" w:hAnsi="Times New Roman" w:eastAsia="仿宋_GB2312" w:cs="Times New Roman"/>
          <w:sz w:val="32"/>
          <w:szCs w:val="32"/>
          <w:highlight w:val="none"/>
        </w:rPr>
        <w:t>个、来宾</w:t>
      </w:r>
      <w:r>
        <w:rPr>
          <w:rFonts w:hint="eastAsia" w:ascii="Times New Roman" w:hAnsi="Times New Roman" w:eastAsia="仿宋_GB2312" w:cs="Times New Roman"/>
          <w:sz w:val="32"/>
          <w:szCs w:val="32"/>
          <w:highlight w:val="none"/>
          <w:lang w:val="en-US" w:eastAsia="zh-CN"/>
        </w:rPr>
        <w:t>6</w:t>
      </w:r>
      <w:r>
        <w:rPr>
          <w:rFonts w:ascii="Times New Roman" w:hAnsi="Times New Roman" w:eastAsia="仿宋_GB2312" w:cs="Times New Roman"/>
          <w:sz w:val="32"/>
          <w:szCs w:val="32"/>
          <w:highlight w:val="none"/>
        </w:rPr>
        <w:t>人次，主要是</w:t>
      </w:r>
      <w:r>
        <w:rPr>
          <w:rFonts w:hint="eastAsia" w:ascii="Times New Roman" w:hAnsi="Times New Roman" w:eastAsia="仿宋_GB2312" w:cs="Times New Roman"/>
          <w:sz w:val="32"/>
          <w:szCs w:val="32"/>
          <w:highlight w:val="none"/>
          <w:lang w:val="en-US" w:eastAsia="zh-CN"/>
        </w:rPr>
        <w:t>检验检测机构资质认定技术评审</w:t>
      </w:r>
      <w:r>
        <w:rPr>
          <w:rFonts w:ascii="Times New Roman" w:hAnsi="Times New Roman" w:eastAsia="仿宋_GB2312" w:cs="Times New Roman"/>
          <w:sz w:val="32"/>
          <w:szCs w:val="32"/>
          <w:highlight w:val="none"/>
        </w:rPr>
        <w:t>发生的接待支出。</w:t>
      </w:r>
    </w:p>
    <w:p>
      <w:pPr>
        <w:pStyle w:val="15"/>
        <w:shd w:val="clear"/>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八、政府性基金预算收入支出决算情况</w:t>
      </w:r>
    </w:p>
    <w:p>
      <w:pPr>
        <w:pStyle w:val="15"/>
        <w:keepNext w:val="0"/>
        <w:keepLines w:val="0"/>
        <w:pageBreakBefore w:val="0"/>
        <w:widowControl w:val="0"/>
        <w:shd w:val="clea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本单位无政府性基金收支。</w:t>
      </w:r>
    </w:p>
    <w:p>
      <w:pPr>
        <w:pStyle w:val="15"/>
        <w:shd w:val="clear"/>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九、关于机关运行经费支出说明</w:t>
      </w:r>
    </w:p>
    <w:p>
      <w:pPr>
        <w:pStyle w:val="15"/>
        <w:shd w:val="clear"/>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本部门2024年度机关运行经费支出</w:t>
      </w:r>
      <w:r>
        <w:rPr>
          <w:rFonts w:hint="eastAsia" w:ascii="Times New Roman" w:hAnsi="Times New Roman" w:eastAsia="仿宋_GB2312" w:cs="Times New Roman"/>
          <w:sz w:val="32"/>
          <w:szCs w:val="32"/>
          <w:highlight w:val="none"/>
        </w:rPr>
        <w:t>0万元，</w:t>
      </w:r>
      <w:r>
        <w:rPr>
          <w:rFonts w:hint="eastAsia" w:ascii="Times New Roman" w:hAnsi="Times New Roman" w:eastAsia="仿宋_GB2312" w:cs="Times New Roman"/>
          <w:sz w:val="32"/>
          <w:szCs w:val="32"/>
          <w:highlight w:val="none"/>
          <w:lang w:val="en-US" w:eastAsia="zh-CN"/>
        </w:rPr>
        <w:t>与上年持平。</w:t>
      </w:r>
    </w:p>
    <w:p>
      <w:pPr>
        <w:pStyle w:val="15"/>
        <w:shd w:val="clear"/>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十、一般性支出情况说明</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highlight w:val="none"/>
          <w:lang w:eastAsia="zh-CN"/>
        </w:rPr>
      </w:pPr>
      <w:r>
        <w:rPr>
          <w:rFonts w:ascii="Times New Roman" w:hAnsi="Times New Roman" w:eastAsia="仿宋_GB2312" w:cs="Times New Roman"/>
          <w:sz w:val="32"/>
          <w:szCs w:val="32"/>
          <w:highlight w:val="none"/>
        </w:rPr>
        <w:t>2024年本部门开支会议费</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万元；开支培训费</w:t>
      </w:r>
      <w:r>
        <w:rPr>
          <w:rFonts w:hint="eastAsia" w:ascii="Times New Roman" w:hAnsi="Times New Roman" w:eastAsia="仿宋_GB2312" w:cs="Times New Roman"/>
          <w:sz w:val="32"/>
          <w:szCs w:val="32"/>
          <w:highlight w:val="none"/>
        </w:rPr>
        <w:t>1.62</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rPr>
        <w:t>用于单位职工参加农业农村部及中国兽医药品监察所等单位举办的业务培训，人数</w:t>
      </w:r>
      <w:r>
        <w:rPr>
          <w:rFonts w:hint="eastAsia" w:ascii="Times New Roman" w:hAnsi="Times New Roman" w:eastAsia="仿宋_GB2312" w:cs="Times New Roman"/>
          <w:sz w:val="32"/>
          <w:szCs w:val="32"/>
          <w:highlight w:val="none"/>
          <w:lang w:val="en-US" w:eastAsia="zh-CN"/>
        </w:rPr>
        <w:t>20</w:t>
      </w:r>
      <w:r>
        <w:rPr>
          <w:rFonts w:hint="eastAsia" w:ascii="Times New Roman" w:hAnsi="Times New Roman" w:eastAsia="仿宋_GB2312" w:cs="Times New Roman"/>
          <w:sz w:val="32"/>
          <w:szCs w:val="32"/>
          <w:highlight w:val="none"/>
        </w:rPr>
        <w:t>人；</w:t>
      </w:r>
      <w:r>
        <w:rPr>
          <w:rFonts w:hint="eastAsia" w:ascii="Times New Roman" w:hAnsi="Times New Roman" w:eastAsia="仿宋_GB2312" w:cs="Times New Roman"/>
          <w:sz w:val="32"/>
          <w:szCs w:val="32"/>
          <w:highlight w:val="none"/>
          <w:lang w:eastAsia="zh-CN"/>
        </w:rPr>
        <w:t>未举办</w:t>
      </w:r>
      <w:r>
        <w:rPr>
          <w:rFonts w:hint="eastAsia" w:ascii="Times New Roman" w:hAnsi="Times New Roman" w:eastAsia="仿宋_GB2312" w:cs="Times New Roman"/>
          <w:sz w:val="32"/>
          <w:szCs w:val="32"/>
          <w:highlight w:val="none"/>
        </w:rPr>
        <w:t>节庆、晚会、论坛、赛事活动</w:t>
      </w:r>
      <w:r>
        <w:rPr>
          <w:rFonts w:ascii="Times New Roman" w:hAnsi="Times New Roman" w:eastAsia="仿宋_GB2312" w:cs="Times New Roman"/>
          <w:sz w:val="32"/>
          <w:szCs w:val="32"/>
          <w:highlight w:val="none"/>
        </w:rPr>
        <w:t>。</w:t>
      </w:r>
    </w:p>
    <w:p>
      <w:pPr>
        <w:pStyle w:val="15"/>
        <w:shd w:val="clear"/>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十一、关于政府采购支出说明</w:t>
      </w:r>
    </w:p>
    <w:p>
      <w:pPr>
        <w:pStyle w:val="15"/>
        <w:shd w:val="clear"/>
        <w:overflowPunct w:val="0"/>
        <w:autoSpaceDE/>
        <w:autoSpaceDN/>
        <w:spacing w:line="600" w:lineRule="exact"/>
        <w:ind w:firstLine="640" w:firstLineChars="200"/>
        <w:jc w:val="both"/>
        <w:rPr>
          <w:rFonts w:ascii="Times New Roman" w:hAnsi="Times New Roman" w:eastAsia="仿宋_GB2312" w:cs="Times New Roman"/>
          <w:color w:val="auto"/>
          <w:sz w:val="32"/>
          <w:szCs w:val="32"/>
          <w:highlight w:val="none"/>
        </w:rPr>
      </w:pPr>
      <w:r>
        <w:rPr>
          <w:rFonts w:ascii="Times New Roman" w:hAnsi="Times New Roman" w:eastAsia="仿宋_GB2312" w:cs="Times New Roman"/>
          <w:sz w:val="32"/>
          <w:szCs w:val="32"/>
          <w:highlight w:val="none"/>
        </w:rPr>
        <w:t>本部门2024年度政府采购支出总额</w:t>
      </w:r>
      <w:r>
        <w:rPr>
          <w:rFonts w:ascii="宋体" w:hAnsi="宋体" w:cs="宋体"/>
          <w:sz w:val="30"/>
          <w:szCs w:val="30"/>
          <w:highlight w:val="none"/>
          <w:lang w:val="en-US" w:eastAsia="zh-CN"/>
        </w:rPr>
        <w:t>854.44</w:t>
      </w:r>
      <w:r>
        <w:rPr>
          <w:rFonts w:ascii="Times New Roman" w:hAnsi="Times New Roman" w:eastAsia="仿宋_GB2312" w:cs="Times New Roman"/>
          <w:sz w:val="32"/>
          <w:szCs w:val="32"/>
          <w:highlight w:val="none"/>
        </w:rPr>
        <w:t>万元，其中：政府采购货物支出</w:t>
      </w:r>
      <w:r>
        <w:rPr>
          <w:rFonts w:ascii="宋体" w:hAnsi="宋体" w:cs="宋体"/>
          <w:sz w:val="30"/>
          <w:szCs w:val="30"/>
          <w:highlight w:val="none"/>
          <w:lang w:val="en-US" w:eastAsia="zh-CN"/>
        </w:rPr>
        <w:t>699.16</w:t>
      </w:r>
      <w:r>
        <w:rPr>
          <w:rFonts w:ascii="Times New Roman" w:hAnsi="Times New Roman" w:eastAsia="仿宋_GB2312" w:cs="Times New Roman"/>
          <w:sz w:val="32"/>
          <w:szCs w:val="32"/>
          <w:highlight w:val="none"/>
        </w:rPr>
        <w:t>万元、政府采购工程支出</w:t>
      </w:r>
      <w:r>
        <w:rPr>
          <w:rFonts w:ascii="宋体" w:hAnsi="宋体" w:cs="宋体"/>
          <w:sz w:val="30"/>
          <w:szCs w:val="30"/>
          <w:highlight w:val="none"/>
          <w:lang w:val="en-US" w:eastAsia="zh-CN"/>
        </w:rPr>
        <w:t>62.69</w:t>
      </w:r>
      <w:r>
        <w:rPr>
          <w:rFonts w:ascii="Times New Roman" w:hAnsi="Times New Roman" w:eastAsia="仿宋_GB2312" w:cs="Times New Roman"/>
          <w:sz w:val="32"/>
          <w:szCs w:val="32"/>
          <w:highlight w:val="none"/>
        </w:rPr>
        <w:t>万元、政府采购服务支出</w:t>
      </w:r>
      <w:r>
        <w:rPr>
          <w:rFonts w:hint="eastAsia" w:ascii="Times New Roman" w:hAnsi="Times New Roman" w:eastAsia="仿宋_GB2312" w:cs="Times New Roman"/>
          <w:sz w:val="32"/>
          <w:szCs w:val="32"/>
          <w:highlight w:val="none"/>
          <w:lang w:val="en-US" w:eastAsia="zh-CN"/>
        </w:rPr>
        <w:t>92.59</w:t>
      </w:r>
      <w:r>
        <w:rPr>
          <w:rFonts w:ascii="Times New Roman" w:hAnsi="Times New Roman" w:eastAsia="仿宋_GB2312" w:cs="Times New Roman"/>
          <w:sz w:val="32"/>
          <w:szCs w:val="32"/>
          <w:highlight w:val="none"/>
        </w:rPr>
        <w:t>万元。授予中小企业合同金额</w:t>
      </w:r>
      <w:r>
        <w:rPr>
          <w:rFonts w:hint="eastAsia" w:ascii="Times New Roman" w:hAnsi="Times New Roman" w:eastAsia="仿宋_GB2312" w:cs="Times New Roman"/>
          <w:sz w:val="32"/>
          <w:szCs w:val="32"/>
          <w:highlight w:val="none"/>
        </w:rPr>
        <w:t>678.64</w:t>
      </w:r>
      <w:r>
        <w:rPr>
          <w:rFonts w:ascii="Times New Roman" w:hAnsi="Times New Roman" w:eastAsia="仿宋_GB2312" w:cs="Times New Roman"/>
          <w:sz w:val="32"/>
          <w:szCs w:val="32"/>
          <w:highlight w:val="none"/>
        </w:rPr>
        <w:t>万元，占政府采购支出总额的</w:t>
      </w:r>
      <w:r>
        <w:rPr>
          <w:rFonts w:hint="eastAsia" w:ascii="Times New Roman" w:hAnsi="Times New Roman" w:eastAsia="仿宋_GB2312" w:cs="Times New Roman"/>
          <w:sz w:val="32"/>
          <w:szCs w:val="32"/>
          <w:highlight w:val="none"/>
          <w:lang w:val="en-US" w:eastAsia="zh-CN"/>
        </w:rPr>
        <w:t>79.42%</w:t>
      </w:r>
      <w:r>
        <w:rPr>
          <w:rFonts w:ascii="Times New Roman" w:hAnsi="Times New Roman" w:eastAsia="仿宋_GB2312" w:cs="Times New Roman"/>
          <w:sz w:val="32"/>
          <w:szCs w:val="32"/>
          <w:highlight w:val="none"/>
        </w:rPr>
        <w:t>，其中：授予小微企业合同金额</w:t>
      </w:r>
      <w:r>
        <w:rPr>
          <w:rFonts w:hint="eastAsia" w:ascii="Times New Roman" w:hAnsi="Times New Roman" w:eastAsia="仿宋_GB2312" w:cs="Times New Roman"/>
          <w:sz w:val="32"/>
          <w:szCs w:val="32"/>
          <w:highlight w:val="none"/>
        </w:rPr>
        <w:t>643.12</w:t>
      </w:r>
      <w:r>
        <w:rPr>
          <w:rFonts w:ascii="Times New Roman" w:hAnsi="Times New Roman" w:eastAsia="仿宋_GB2312" w:cs="Times New Roman"/>
          <w:sz w:val="32"/>
          <w:szCs w:val="32"/>
          <w:highlight w:val="none"/>
        </w:rPr>
        <w:t>万元，</w:t>
      </w:r>
      <w:r>
        <w:rPr>
          <w:rFonts w:ascii="Times New Roman" w:hAnsi="Times New Roman" w:eastAsia="仿宋_GB2312" w:cs="Times New Roman"/>
          <w:color w:val="auto"/>
          <w:sz w:val="32"/>
          <w:szCs w:val="32"/>
          <w:highlight w:val="none"/>
        </w:rPr>
        <w:t>占授予中小企业合同金额的</w:t>
      </w:r>
      <w:r>
        <w:rPr>
          <w:rFonts w:hint="eastAsia" w:ascii="Times New Roman" w:hAnsi="Times New Roman" w:eastAsia="仿宋_GB2312" w:cs="Times New Roman"/>
          <w:color w:val="auto"/>
          <w:sz w:val="32"/>
          <w:szCs w:val="32"/>
          <w:highlight w:val="none"/>
          <w:lang w:val="en-US" w:eastAsia="zh-CN"/>
        </w:rPr>
        <w:t>94.77</w:t>
      </w:r>
      <w:r>
        <w:rPr>
          <w:rFonts w:ascii="Times New Roman" w:hAnsi="Times New Roman" w:eastAsia="仿宋_GB2312" w:cs="Times New Roman"/>
          <w:color w:val="auto"/>
          <w:sz w:val="32"/>
          <w:szCs w:val="32"/>
          <w:highlight w:val="none"/>
        </w:rPr>
        <w:t>%。货物采购授予中小企业合同金额占货物支出金额的</w:t>
      </w:r>
      <w:r>
        <w:rPr>
          <w:rFonts w:hint="eastAsia" w:ascii="Times New Roman" w:hAnsi="Times New Roman" w:eastAsia="仿宋_GB2312" w:cs="Times New Roman"/>
          <w:color w:val="auto"/>
          <w:sz w:val="32"/>
          <w:szCs w:val="32"/>
          <w:highlight w:val="none"/>
          <w:lang w:val="en-US" w:eastAsia="zh-CN"/>
        </w:rPr>
        <w:t>74.86</w:t>
      </w:r>
      <w:r>
        <w:rPr>
          <w:rFonts w:ascii="Times New Roman" w:hAnsi="Times New Roman" w:eastAsia="仿宋_GB2312" w:cs="Times New Roman"/>
          <w:color w:val="auto"/>
          <w:sz w:val="32"/>
          <w:szCs w:val="32"/>
          <w:highlight w:val="none"/>
        </w:rPr>
        <w:t>%，工程采购授予中小企业合同金额占工程支出金额的</w:t>
      </w:r>
      <w:r>
        <w:rPr>
          <w:rFonts w:hint="eastAsia" w:ascii="Times New Roman" w:hAnsi="Times New Roman" w:eastAsia="仿宋_GB2312" w:cs="Times New Roman"/>
          <w:color w:val="auto"/>
          <w:sz w:val="32"/>
          <w:szCs w:val="32"/>
          <w:highlight w:val="none"/>
          <w:lang w:val="en-US" w:eastAsia="zh-CN"/>
        </w:rPr>
        <w:t>100.00</w:t>
      </w:r>
      <w:r>
        <w:rPr>
          <w:rFonts w:ascii="Times New Roman" w:hAnsi="Times New Roman" w:eastAsia="仿宋_GB2312" w:cs="Times New Roman"/>
          <w:color w:val="auto"/>
          <w:sz w:val="32"/>
          <w:szCs w:val="32"/>
          <w:highlight w:val="none"/>
        </w:rPr>
        <w:t>%，服务采购授予中小企业合同金额占服务支出金额的</w:t>
      </w:r>
      <w:r>
        <w:rPr>
          <w:rFonts w:hint="eastAsia" w:ascii="Times New Roman" w:hAnsi="Times New Roman" w:eastAsia="仿宋_GB2312" w:cs="Times New Roman"/>
          <w:color w:val="auto"/>
          <w:sz w:val="32"/>
          <w:szCs w:val="32"/>
          <w:highlight w:val="none"/>
          <w:lang w:val="en-US" w:eastAsia="zh-CN"/>
        </w:rPr>
        <w:t>100.00</w:t>
      </w:r>
      <w:r>
        <w:rPr>
          <w:rFonts w:ascii="Times New Roman" w:hAnsi="Times New Roman" w:eastAsia="仿宋_GB2312" w:cs="Times New Roman"/>
          <w:color w:val="auto"/>
          <w:sz w:val="32"/>
          <w:szCs w:val="32"/>
          <w:highlight w:val="none"/>
        </w:rPr>
        <w:t>%。</w:t>
      </w:r>
    </w:p>
    <w:p>
      <w:pPr>
        <w:pStyle w:val="15"/>
        <w:shd w:val="clear"/>
        <w:overflowPunct w:val="0"/>
        <w:autoSpaceDE/>
        <w:autoSpaceDN/>
        <w:spacing w:line="600" w:lineRule="exact"/>
        <w:ind w:firstLine="640" w:firstLineChars="200"/>
        <w:jc w:val="both"/>
        <w:rPr>
          <w:rFonts w:ascii="Times New Roman" w:hAnsi="Times New Roman" w:cs="Times New Roman"/>
          <w:bCs/>
          <w:color w:val="auto"/>
          <w:sz w:val="32"/>
          <w:szCs w:val="32"/>
          <w:highlight w:val="none"/>
        </w:rPr>
      </w:pPr>
      <w:r>
        <w:rPr>
          <w:rFonts w:ascii="Times New Roman" w:hAnsi="Times New Roman" w:cs="Times New Roman"/>
          <w:bCs/>
          <w:color w:val="auto"/>
          <w:sz w:val="32"/>
          <w:szCs w:val="32"/>
          <w:highlight w:val="none"/>
        </w:rPr>
        <w:t>十二、关于国有资产占用情况说明</w:t>
      </w:r>
    </w:p>
    <w:p>
      <w:pPr>
        <w:pStyle w:val="15"/>
        <w:shd w:val="clear"/>
        <w:overflowPunct w:val="0"/>
        <w:autoSpaceDE/>
        <w:autoSpaceDN/>
        <w:spacing w:line="600" w:lineRule="exact"/>
        <w:ind w:firstLine="640" w:firstLineChars="200"/>
        <w:jc w:val="both"/>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截至2024年12月31日，单位共有车辆</w:t>
      </w:r>
      <w:r>
        <w:rPr>
          <w:rFonts w:hint="eastAsia" w:ascii="Times New Roman" w:hAnsi="Times New Roman" w:eastAsia="仿宋_GB2312" w:cs="Times New Roman"/>
          <w:color w:val="auto"/>
          <w:sz w:val="32"/>
          <w:szCs w:val="32"/>
          <w:highlight w:val="none"/>
          <w:lang w:val="en-US" w:eastAsia="zh-CN"/>
        </w:rPr>
        <w:t>4</w:t>
      </w:r>
      <w:r>
        <w:rPr>
          <w:rFonts w:ascii="Times New Roman" w:hAnsi="Times New Roman" w:eastAsia="仿宋_GB2312" w:cs="Times New Roman"/>
          <w:color w:val="auto"/>
          <w:sz w:val="32"/>
          <w:szCs w:val="32"/>
          <w:highlight w:val="none"/>
        </w:rPr>
        <w:t>辆，其中，副部（省）级及以上领导用车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辆、主要负责人用车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辆、机要通信用车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辆、应急保障用车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辆、执法执勤用车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辆、特种专业技术用车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辆、离退休干部服务用车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辆、其他用车</w:t>
      </w:r>
      <w:r>
        <w:rPr>
          <w:rFonts w:hint="eastAsia" w:ascii="Times New Roman" w:hAnsi="Times New Roman" w:eastAsia="仿宋_GB2312" w:cs="Times New Roman"/>
          <w:color w:val="auto"/>
          <w:sz w:val="32"/>
          <w:szCs w:val="32"/>
          <w:highlight w:val="none"/>
          <w:lang w:val="en-US" w:eastAsia="zh-CN"/>
        </w:rPr>
        <w:t>4</w:t>
      </w:r>
      <w:r>
        <w:rPr>
          <w:rFonts w:ascii="Times New Roman" w:hAnsi="Times New Roman" w:eastAsia="仿宋_GB2312" w:cs="Times New Roman"/>
          <w:color w:val="auto"/>
          <w:sz w:val="32"/>
          <w:szCs w:val="32"/>
          <w:highlight w:val="none"/>
        </w:rPr>
        <w:t>辆，其他用车主要是</w:t>
      </w:r>
      <w:r>
        <w:rPr>
          <w:rFonts w:hint="eastAsia" w:ascii="Times New Roman" w:hAnsi="Times New Roman" w:eastAsia="仿宋_GB2312" w:cs="Times New Roman"/>
          <w:color w:val="auto"/>
          <w:sz w:val="32"/>
          <w:szCs w:val="32"/>
          <w:highlight w:val="none"/>
        </w:rPr>
        <w:t>其他用车中3辆车已报废在办理相关手续，1辆车为单位抽样用车</w:t>
      </w:r>
      <w:r>
        <w:rPr>
          <w:rFonts w:ascii="Times New Roman" w:hAnsi="Times New Roman" w:eastAsia="仿宋_GB2312" w:cs="Times New Roman"/>
          <w:color w:val="auto"/>
          <w:sz w:val="32"/>
          <w:szCs w:val="32"/>
          <w:highlight w:val="none"/>
        </w:rPr>
        <w:t>；单位价值100万元以上设备（不含车辆）</w:t>
      </w:r>
      <w:r>
        <w:rPr>
          <w:rFonts w:hint="eastAsia" w:ascii="Times New Roman" w:hAnsi="Times New Roman" w:eastAsia="仿宋_GB2312" w:cs="Times New Roman"/>
          <w:color w:val="auto"/>
          <w:sz w:val="32"/>
          <w:szCs w:val="32"/>
          <w:highlight w:val="none"/>
          <w:lang w:val="en-US" w:eastAsia="zh-CN"/>
        </w:rPr>
        <w:t>5</w:t>
      </w:r>
      <w:r>
        <w:rPr>
          <w:rFonts w:ascii="Times New Roman" w:hAnsi="Times New Roman" w:eastAsia="仿宋_GB2312" w:cs="Times New Roman"/>
          <w:color w:val="auto"/>
          <w:sz w:val="32"/>
          <w:szCs w:val="32"/>
          <w:highlight w:val="none"/>
        </w:rPr>
        <w:t>台（套）。</w:t>
      </w:r>
    </w:p>
    <w:p>
      <w:pPr>
        <w:pStyle w:val="15"/>
        <w:shd w:val="clear"/>
        <w:overflowPunct w:val="0"/>
        <w:autoSpaceDE/>
        <w:autoSpaceDN/>
        <w:spacing w:line="600" w:lineRule="exact"/>
        <w:ind w:firstLine="640" w:firstLineChars="200"/>
        <w:jc w:val="both"/>
        <w:rPr>
          <w:rFonts w:ascii="Times New Roman" w:hAnsi="Times New Roman" w:cs="Times New Roman"/>
          <w:bCs/>
          <w:color w:val="auto"/>
          <w:sz w:val="32"/>
          <w:szCs w:val="32"/>
          <w:highlight w:val="none"/>
        </w:rPr>
      </w:pPr>
      <w:r>
        <w:rPr>
          <w:rFonts w:ascii="Times New Roman" w:hAnsi="Times New Roman" w:cs="Times New Roman"/>
          <w:bCs/>
          <w:color w:val="auto"/>
          <w:sz w:val="32"/>
          <w:szCs w:val="32"/>
          <w:highlight w:val="none"/>
        </w:rPr>
        <w:t>十三、关于</w:t>
      </w:r>
      <w:r>
        <w:rPr>
          <w:rFonts w:ascii="Times New Roman" w:hAnsi="Times New Roman" w:eastAsia="仿宋_GB2312" w:cs="Times New Roman"/>
          <w:color w:val="auto"/>
          <w:sz w:val="32"/>
          <w:szCs w:val="32"/>
          <w:highlight w:val="none"/>
        </w:rPr>
        <w:t>2024</w:t>
      </w:r>
      <w:r>
        <w:rPr>
          <w:rFonts w:ascii="Times New Roman" w:hAnsi="Times New Roman" w:cs="Times New Roman"/>
          <w:bCs/>
          <w:color w:val="auto"/>
          <w:sz w:val="32"/>
          <w:szCs w:val="32"/>
          <w:highlight w:val="none"/>
        </w:rPr>
        <w:t>年度预算绩效情况的说明</w:t>
      </w:r>
    </w:p>
    <w:p>
      <w:pPr>
        <w:shd w:val="clear"/>
        <w:overflowPunct w:val="0"/>
        <w:spacing w:line="600" w:lineRule="exact"/>
        <w:ind w:firstLine="640" w:firstLineChars="200"/>
        <w:rPr>
          <w:rFonts w:ascii="Times New Roman" w:hAnsi="Times New Roman" w:eastAsia="楷体" w:cs="Times New Roman"/>
          <w:b/>
          <w:bCs/>
          <w:sz w:val="32"/>
          <w:szCs w:val="32"/>
          <w:highlight w:val="none"/>
        </w:rPr>
      </w:pPr>
      <w:r>
        <w:rPr>
          <w:rFonts w:ascii="Times New Roman" w:hAnsi="Times New Roman" w:eastAsia="楷体_GB2312" w:cs="Times New Roman"/>
          <w:b/>
          <w:bCs/>
          <w:sz w:val="32"/>
          <w:szCs w:val="32"/>
          <w:highlight w:val="none"/>
        </w:rPr>
        <w:t>（一）绩效评价工作开展情况。</w:t>
      </w:r>
      <w:r>
        <w:rPr>
          <w:rFonts w:ascii="Times New Roman" w:hAnsi="Times New Roman" w:eastAsia="仿宋_GB2312" w:cs="Times New Roman"/>
          <w:b/>
          <w:bCs/>
          <w:kern w:val="0"/>
          <w:sz w:val="32"/>
          <w:szCs w:val="32"/>
          <w:highlight w:val="none"/>
        </w:rPr>
        <w:t>一是绩效自评开展情况。</w:t>
      </w:r>
      <w:r>
        <w:rPr>
          <w:rFonts w:ascii="Times New Roman" w:hAnsi="Times New Roman" w:eastAsia="仿宋_GB2312" w:cs="Times New Roman"/>
          <w:kern w:val="0"/>
          <w:sz w:val="32"/>
          <w:szCs w:val="32"/>
          <w:highlight w:val="none"/>
        </w:rPr>
        <w:t>组织对2024年度本单位整体支出开展绩效自评，涉及项目</w:t>
      </w:r>
      <w:r>
        <w:rPr>
          <w:rFonts w:hint="eastAsia" w:ascii="Times New Roman" w:hAnsi="Times New Roman" w:eastAsia="仿宋_GB2312" w:cs="Times New Roman"/>
          <w:kern w:val="0"/>
          <w:sz w:val="32"/>
          <w:szCs w:val="32"/>
          <w:highlight w:val="none"/>
          <w:lang w:val="en-US" w:eastAsia="zh-CN"/>
        </w:rPr>
        <w:t>6</w:t>
      </w:r>
      <w:r>
        <w:rPr>
          <w:rFonts w:ascii="Times New Roman" w:hAnsi="Times New Roman" w:eastAsia="仿宋_GB2312" w:cs="Times New Roman"/>
          <w:kern w:val="0"/>
          <w:sz w:val="32"/>
          <w:szCs w:val="32"/>
          <w:highlight w:val="none"/>
        </w:rPr>
        <w:t>个，共涉及资</w:t>
      </w:r>
      <w:r>
        <w:rPr>
          <w:rFonts w:hint="eastAsia" w:ascii="仿宋_GB2312" w:hAnsi="仿宋_GB2312" w:eastAsia="仿宋_GB2312" w:cs="仿宋_GB2312"/>
          <w:sz w:val="32"/>
          <w:szCs w:val="32"/>
          <w:highlight w:val="none"/>
          <w:lang w:val="en-US" w:eastAsia="zh-CN"/>
        </w:rPr>
        <w:t>1,102.62</w:t>
      </w:r>
      <w:r>
        <w:rPr>
          <w:rFonts w:ascii="Times New Roman" w:hAnsi="Times New Roman" w:eastAsia="仿宋_GB2312" w:cs="Times New Roman"/>
          <w:kern w:val="0"/>
          <w:sz w:val="32"/>
          <w:szCs w:val="32"/>
          <w:highlight w:val="none"/>
        </w:rPr>
        <w:t>万元。其中，一般公共预算项目</w:t>
      </w:r>
      <w:r>
        <w:rPr>
          <w:rFonts w:hint="eastAsia" w:ascii="Times New Roman" w:hAnsi="Times New Roman" w:eastAsia="仿宋_GB2312" w:cs="Times New Roman"/>
          <w:kern w:val="0"/>
          <w:sz w:val="32"/>
          <w:szCs w:val="32"/>
          <w:highlight w:val="none"/>
          <w:lang w:val="en-US" w:eastAsia="zh-CN"/>
        </w:rPr>
        <w:t>4</w:t>
      </w:r>
      <w:r>
        <w:rPr>
          <w:rFonts w:ascii="Times New Roman" w:hAnsi="Times New Roman" w:eastAsia="仿宋_GB2312" w:cs="Times New Roman"/>
          <w:kern w:val="0"/>
          <w:sz w:val="32"/>
          <w:szCs w:val="32"/>
          <w:highlight w:val="none"/>
        </w:rPr>
        <w:t>个</w:t>
      </w:r>
      <w:r>
        <w:rPr>
          <w:rFonts w:hint="eastAsia" w:ascii="仿宋_GB2312" w:hAnsi="仿宋_GB2312" w:eastAsia="仿宋_GB2312" w:cs="仿宋_GB2312"/>
          <w:sz w:val="32"/>
          <w:szCs w:val="32"/>
          <w:highlight w:val="none"/>
          <w:lang w:val="en-US" w:eastAsia="zh-CN"/>
        </w:rPr>
        <w:t>1,102.62</w:t>
      </w:r>
      <w:r>
        <w:rPr>
          <w:rFonts w:ascii="Times New Roman" w:hAnsi="Times New Roman" w:eastAsia="仿宋_GB2312" w:cs="Times New Roman"/>
          <w:kern w:val="0"/>
          <w:sz w:val="32"/>
          <w:szCs w:val="32"/>
          <w:highlight w:val="none"/>
        </w:rPr>
        <w:t>万元，占一般公共预算支出总额的</w:t>
      </w:r>
      <w:r>
        <w:rPr>
          <w:rFonts w:hint="eastAsia" w:ascii="Times New Roman" w:hAnsi="Times New Roman" w:eastAsia="仿宋_GB2312" w:cs="Times New Roman"/>
          <w:kern w:val="0"/>
          <w:sz w:val="32"/>
          <w:szCs w:val="32"/>
          <w:highlight w:val="none"/>
          <w:lang w:val="en-US" w:eastAsia="zh-CN"/>
        </w:rPr>
        <w:t>63.39</w:t>
      </w:r>
      <w:r>
        <w:rPr>
          <w:rFonts w:ascii="Times New Roman" w:hAnsi="Times New Roman" w:eastAsia="仿宋_GB2312" w:cs="Times New Roman"/>
          <w:kern w:val="0"/>
          <w:sz w:val="32"/>
          <w:szCs w:val="32"/>
          <w:highlight w:val="none"/>
        </w:rPr>
        <w:t>%；政府性基金预算项目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万元；国有资本经营预算项目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w:t>
      </w:r>
    </w:p>
    <w:p>
      <w:pPr>
        <w:shd w:val="clear"/>
        <w:overflowPunct w:val="0"/>
        <w:spacing w:line="600" w:lineRule="exact"/>
        <w:ind w:firstLine="640" w:firstLineChars="200"/>
        <w:rPr>
          <w:rFonts w:ascii="Times New Roman" w:hAnsi="Times New Roman" w:eastAsia="仿宋_GB2312" w:cs="Times New Roman"/>
          <w:bCs/>
          <w:sz w:val="32"/>
          <w:szCs w:val="32"/>
          <w:highlight w:val="none"/>
        </w:rPr>
      </w:pPr>
      <w:r>
        <w:rPr>
          <w:rFonts w:ascii="Times New Roman" w:hAnsi="Times New Roman" w:eastAsia="楷体_GB2312" w:cs="Times New Roman"/>
          <w:b/>
          <w:bCs/>
          <w:sz w:val="32"/>
          <w:szCs w:val="32"/>
          <w:highlight w:val="none"/>
        </w:rPr>
        <w:t>（二）绩效评价结果。</w:t>
      </w:r>
      <w:r>
        <w:rPr>
          <w:rFonts w:ascii="Times New Roman" w:hAnsi="Times New Roman" w:eastAsia="仿宋_GB2312" w:cs="Times New Roman"/>
          <w:b/>
          <w:bCs/>
          <w:kern w:val="0"/>
          <w:sz w:val="32"/>
          <w:szCs w:val="32"/>
          <w:highlight w:val="none"/>
        </w:rPr>
        <w:t>一是绩效自评结果。</w:t>
      </w:r>
      <w:r>
        <w:rPr>
          <w:rFonts w:ascii="Times New Roman" w:hAnsi="Times New Roman" w:eastAsia="仿宋_GB2312" w:cs="Times New Roman"/>
          <w:kern w:val="0"/>
          <w:sz w:val="32"/>
          <w:szCs w:val="32"/>
          <w:highlight w:val="none"/>
        </w:rPr>
        <w:t>2024年度本单位整体支出</w:t>
      </w:r>
      <w:r>
        <w:rPr>
          <w:rFonts w:ascii="Times New Roman" w:hAnsi="Times New Roman" w:eastAsia="仿宋_GB2312" w:cs="Times New Roman"/>
          <w:sz w:val="32"/>
          <w:szCs w:val="32"/>
          <w:highlight w:val="none"/>
        </w:rPr>
        <w:t>全年预算数</w:t>
      </w:r>
      <w:r>
        <w:rPr>
          <w:rFonts w:hint="eastAsia" w:ascii="Times New Roman" w:hAnsi="Times New Roman" w:eastAsia="仿宋_GB2312" w:cs="Times New Roman"/>
          <w:sz w:val="32"/>
          <w:szCs w:val="32"/>
          <w:highlight w:val="none"/>
        </w:rPr>
        <w:t>1,270.48</w:t>
      </w:r>
      <w:r>
        <w:rPr>
          <w:rFonts w:ascii="Times New Roman" w:hAnsi="Times New Roman" w:eastAsia="仿宋_GB2312" w:cs="Times New Roman"/>
          <w:sz w:val="32"/>
          <w:szCs w:val="32"/>
          <w:highlight w:val="none"/>
        </w:rPr>
        <w:t>万元，执行数</w:t>
      </w:r>
      <w:r>
        <w:rPr>
          <w:rFonts w:hint="eastAsia" w:ascii="Times New Roman" w:hAnsi="Times New Roman" w:eastAsia="仿宋_GB2312" w:cs="Times New Roman"/>
          <w:sz w:val="32"/>
          <w:szCs w:val="32"/>
          <w:highlight w:val="none"/>
        </w:rPr>
        <w:t>1,790.09</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lang w:val="en-US" w:eastAsia="zh-CN"/>
        </w:rPr>
        <w:t>140.90</w:t>
      </w:r>
      <w:r>
        <w:rPr>
          <w:rFonts w:ascii="Times New Roman" w:hAnsi="Times New Roman" w:eastAsia="仿宋_GB2312" w:cs="Times New Roman"/>
          <w:sz w:val="32"/>
          <w:szCs w:val="32"/>
          <w:highlight w:val="none"/>
        </w:rPr>
        <w:t>%</w:t>
      </w:r>
      <w:r>
        <w:rPr>
          <w:rFonts w:ascii="Times New Roman" w:hAnsi="Times New Roman" w:eastAsia="仿宋_GB2312" w:cs="Times New Roman"/>
          <w:kern w:val="0"/>
          <w:sz w:val="32"/>
          <w:szCs w:val="32"/>
          <w:highlight w:val="none"/>
        </w:rPr>
        <w:t>，绩效自评得分</w:t>
      </w:r>
      <w:r>
        <w:rPr>
          <w:rFonts w:hint="eastAsia" w:ascii="Times New Roman" w:hAnsi="Times New Roman" w:eastAsia="仿宋_GB2312" w:cs="Times New Roman"/>
          <w:sz w:val="32"/>
          <w:szCs w:val="32"/>
          <w:highlight w:val="none"/>
          <w:lang w:val="en-US" w:eastAsia="zh-CN"/>
        </w:rPr>
        <w:t>98.5</w:t>
      </w:r>
      <w:r>
        <w:rPr>
          <w:rFonts w:ascii="Times New Roman" w:hAnsi="Times New Roman" w:eastAsia="仿宋_GB2312" w:cs="Times New Roman"/>
          <w:sz w:val="32"/>
          <w:szCs w:val="32"/>
          <w:highlight w:val="none"/>
        </w:rPr>
        <w:t>分</w:t>
      </w:r>
      <w:r>
        <w:rPr>
          <w:rFonts w:ascii="Times New Roman" w:hAnsi="Times New Roman" w:eastAsia="仿宋_GB2312" w:cs="Times New Roman"/>
          <w:kern w:val="0"/>
          <w:sz w:val="32"/>
          <w:szCs w:val="32"/>
          <w:highlight w:val="none"/>
        </w:rPr>
        <w:t>，评价等级</w:t>
      </w:r>
      <w:bookmarkStart w:id="3" w:name="_GoBack"/>
      <w:r>
        <w:rPr>
          <w:rFonts w:ascii="Times New Roman" w:hAnsi="Times New Roman" w:eastAsia="仿宋_GB2312" w:cs="Times New Roman"/>
          <w:kern w:val="0"/>
          <w:sz w:val="32"/>
          <w:szCs w:val="32"/>
          <w:highlight w:val="none"/>
        </w:rPr>
        <w:t>为</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优</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w:t>
      </w:r>
      <w:bookmarkEnd w:id="3"/>
      <w:r>
        <w:rPr>
          <w:rFonts w:ascii="Times New Roman" w:hAnsi="Times New Roman" w:eastAsia="仿宋_GB2312" w:cs="Times New Roman"/>
          <w:sz w:val="32"/>
          <w:szCs w:val="32"/>
          <w:highlight w:val="none"/>
        </w:rPr>
        <w:t>绩效目标完成情况：一是</w:t>
      </w:r>
      <w:r>
        <w:rPr>
          <w:rFonts w:hint="eastAsia" w:ascii="Times New Roman" w:hAnsi="Times New Roman" w:eastAsia="仿宋_GB2312" w:cs="Times New Roman"/>
          <w:sz w:val="32"/>
          <w:szCs w:val="32"/>
          <w:highlight w:val="none"/>
        </w:rPr>
        <w:t>畜禽产品检测任务监督抽查3210批次</w:t>
      </w:r>
      <w:r>
        <w:rPr>
          <w:rFonts w:ascii="Times New Roman" w:hAnsi="Times New Roman" w:eastAsia="仿宋_GB2312" w:cs="Times New Roman"/>
          <w:sz w:val="32"/>
          <w:szCs w:val="32"/>
          <w:highlight w:val="none"/>
        </w:rPr>
        <w:t>；二是</w:t>
      </w:r>
      <w:r>
        <w:rPr>
          <w:rFonts w:hint="eastAsia" w:ascii="Times New Roman" w:hAnsi="Times New Roman" w:eastAsia="仿宋_GB2312" w:cs="Times New Roman"/>
          <w:sz w:val="32"/>
          <w:szCs w:val="32"/>
          <w:highlight w:val="none"/>
        </w:rPr>
        <w:t>兽药及兽药残留检测任务1280批次</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三是</w:t>
      </w:r>
      <w:r>
        <w:rPr>
          <w:rFonts w:hint="eastAsia" w:ascii="Times New Roman" w:hAnsi="Times New Roman" w:eastAsia="仿宋_GB2312" w:cs="Times New Roman"/>
          <w:sz w:val="32"/>
          <w:szCs w:val="32"/>
          <w:highlight w:val="none"/>
          <w:lang w:eastAsia="zh-CN"/>
        </w:rPr>
        <w:t>饲料检测任务400批次；</w:t>
      </w:r>
      <w:r>
        <w:rPr>
          <w:rFonts w:hint="eastAsia" w:ascii="Times New Roman" w:hAnsi="Times New Roman" w:eastAsia="仿宋_GB2312" w:cs="Times New Roman"/>
          <w:sz w:val="32"/>
          <w:szCs w:val="32"/>
          <w:highlight w:val="none"/>
          <w:lang w:val="en-US" w:eastAsia="zh-CN"/>
        </w:rPr>
        <w:t>四是</w:t>
      </w:r>
      <w:r>
        <w:rPr>
          <w:rFonts w:hint="eastAsia" w:ascii="Times New Roman" w:hAnsi="Times New Roman" w:eastAsia="仿宋_GB2312" w:cs="Times New Roman"/>
          <w:sz w:val="32"/>
          <w:szCs w:val="32"/>
          <w:highlight w:val="none"/>
          <w:lang w:eastAsia="zh-CN"/>
        </w:rPr>
        <w:t>完成下达的兽药企业信息采集率任务；</w:t>
      </w:r>
      <w:r>
        <w:rPr>
          <w:rFonts w:hint="eastAsia" w:ascii="Times New Roman" w:hAnsi="Times New Roman" w:eastAsia="仿宋_GB2312" w:cs="Times New Roman"/>
          <w:sz w:val="32"/>
          <w:szCs w:val="32"/>
          <w:highlight w:val="none"/>
          <w:lang w:val="en-US" w:eastAsia="zh-CN"/>
        </w:rPr>
        <w:t>五是</w:t>
      </w:r>
      <w:r>
        <w:rPr>
          <w:rFonts w:hint="eastAsia" w:ascii="Times New Roman" w:hAnsi="Times New Roman" w:eastAsia="仿宋_GB2312" w:cs="Times New Roman"/>
          <w:sz w:val="32"/>
          <w:szCs w:val="32"/>
          <w:highlight w:val="none"/>
          <w:lang w:eastAsia="zh-CN"/>
        </w:rPr>
        <w:t>检测参数完成率100%；</w:t>
      </w:r>
      <w:r>
        <w:rPr>
          <w:rFonts w:hint="eastAsia" w:ascii="Times New Roman" w:hAnsi="Times New Roman" w:eastAsia="仿宋_GB2312" w:cs="Times New Roman"/>
          <w:sz w:val="32"/>
          <w:szCs w:val="32"/>
          <w:highlight w:val="none"/>
          <w:lang w:val="en-US" w:eastAsia="zh-CN"/>
        </w:rPr>
        <w:t>六是</w:t>
      </w:r>
      <w:r>
        <w:rPr>
          <w:rFonts w:hint="eastAsia" w:ascii="Times New Roman" w:hAnsi="Times New Roman" w:eastAsia="仿宋_GB2312" w:cs="Times New Roman"/>
          <w:sz w:val="32"/>
          <w:szCs w:val="32"/>
          <w:highlight w:val="none"/>
          <w:lang w:eastAsia="zh-CN"/>
        </w:rPr>
        <w:t>检测结果准确率100%；</w:t>
      </w:r>
      <w:r>
        <w:rPr>
          <w:rFonts w:hint="eastAsia" w:ascii="Times New Roman" w:hAnsi="Times New Roman" w:eastAsia="仿宋_GB2312" w:cs="Times New Roman"/>
          <w:sz w:val="32"/>
          <w:szCs w:val="32"/>
          <w:highlight w:val="none"/>
          <w:lang w:val="en-US" w:eastAsia="zh-CN"/>
        </w:rPr>
        <w:t>七是</w:t>
      </w:r>
      <w:r>
        <w:rPr>
          <w:rFonts w:hint="eastAsia" w:ascii="Times New Roman" w:hAnsi="Times New Roman" w:eastAsia="仿宋_GB2312" w:cs="Times New Roman"/>
          <w:sz w:val="32"/>
          <w:szCs w:val="32"/>
          <w:highlight w:val="none"/>
          <w:lang w:eastAsia="zh-CN"/>
        </w:rPr>
        <w:t>兽药、饲料检测等按时完成率100%；</w:t>
      </w:r>
      <w:r>
        <w:rPr>
          <w:rFonts w:hint="eastAsia" w:ascii="Times New Roman" w:hAnsi="Times New Roman" w:eastAsia="仿宋_GB2312" w:cs="Times New Roman"/>
          <w:sz w:val="32"/>
          <w:szCs w:val="32"/>
          <w:highlight w:val="none"/>
          <w:lang w:val="en-US" w:eastAsia="zh-CN"/>
        </w:rPr>
        <w:t>八是</w:t>
      </w:r>
      <w:r>
        <w:rPr>
          <w:rFonts w:hint="eastAsia" w:ascii="Times New Roman" w:hAnsi="Times New Roman" w:eastAsia="仿宋_GB2312" w:cs="Times New Roman"/>
          <w:sz w:val="32"/>
          <w:szCs w:val="32"/>
          <w:highlight w:val="none"/>
          <w:lang w:eastAsia="zh-CN"/>
        </w:rPr>
        <w:t>兽药、饲料畜产品质量安全监管检测时效完成率100%；</w:t>
      </w:r>
      <w:r>
        <w:rPr>
          <w:rFonts w:hint="eastAsia" w:ascii="Times New Roman" w:hAnsi="Times New Roman" w:eastAsia="仿宋_GB2312" w:cs="Times New Roman"/>
          <w:sz w:val="32"/>
          <w:szCs w:val="32"/>
          <w:highlight w:val="none"/>
          <w:lang w:val="en-US" w:eastAsia="zh-CN"/>
        </w:rPr>
        <w:t>九是</w:t>
      </w:r>
      <w:r>
        <w:rPr>
          <w:rFonts w:hint="eastAsia" w:ascii="Times New Roman" w:hAnsi="Times New Roman" w:eastAsia="仿宋_GB2312" w:cs="Times New Roman"/>
          <w:sz w:val="32"/>
          <w:szCs w:val="32"/>
          <w:highlight w:val="none"/>
          <w:lang w:eastAsia="zh-CN"/>
        </w:rPr>
        <w:t>规定时间内完成检测任务结果上报完成率100%；</w:t>
      </w:r>
      <w:r>
        <w:rPr>
          <w:rFonts w:hint="eastAsia" w:ascii="Times New Roman" w:hAnsi="Times New Roman" w:eastAsia="仿宋_GB2312" w:cs="Times New Roman"/>
          <w:sz w:val="32"/>
          <w:szCs w:val="32"/>
          <w:highlight w:val="none"/>
          <w:lang w:val="en-US" w:eastAsia="zh-CN"/>
        </w:rPr>
        <w:t>十是</w:t>
      </w:r>
      <w:r>
        <w:rPr>
          <w:rFonts w:hint="eastAsia" w:ascii="Times New Roman" w:hAnsi="Times New Roman" w:eastAsia="仿宋_GB2312" w:cs="Times New Roman"/>
          <w:sz w:val="32"/>
          <w:szCs w:val="32"/>
          <w:highlight w:val="none"/>
          <w:lang w:eastAsia="zh-CN"/>
        </w:rPr>
        <w:t>兽药报批及批签发通过率大于95%等。</w:t>
      </w:r>
      <w:r>
        <w:rPr>
          <w:rFonts w:ascii="Times New Roman" w:hAnsi="Times New Roman" w:eastAsia="仿宋_GB2312" w:cs="Times New Roman"/>
          <w:sz w:val="32"/>
          <w:szCs w:val="32"/>
          <w:highlight w:val="none"/>
        </w:rPr>
        <w:t>发现的主要问题及原因：</w:t>
      </w:r>
      <w:r>
        <w:rPr>
          <w:rFonts w:hint="eastAsia" w:ascii="Times New Roman" w:hAnsi="Times New Roman" w:eastAsia="仿宋_GB2312" w:cs="Times New Roman"/>
          <w:sz w:val="32"/>
          <w:szCs w:val="32"/>
          <w:highlight w:val="none"/>
        </w:rPr>
        <w:t>有“带动兽药行业收入增长”这一指标因无法取得详实数据，造成无法准确进行计量</w:t>
      </w:r>
      <w:r>
        <w:rPr>
          <w:rFonts w:ascii="Times New Roman" w:hAnsi="Times New Roman" w:eastAsia="仿宋_GB2312" w:cs="Times New Roman"/>
          <w:sz w:val="32"/>
          <w:szCs w:val="32"/>
          <w:highlight w:val="none"/>
        </w:rPr>
        <w:t>。下一步改进措施：</w:t>
      </w:r>
      <w:r>
        <w:rPr>
          <w:rFonts w:hint="eastAsia" w:ascii="Times New Roman" w:hAnsi="Times New Roman" w:eastAsia="仿宋_GB2312" w:cs="Times New Roman"/>
          <w:sz w:val="32"/>
          <w:szCs w:val="32"/>
          <w:highlight w:val="none"/>
          <w:lang w:val="en-US" w:eastAsia="zh-CN"/>
        </w:rPr>
        <w:t>一是</w:t>
      </w:r>
      <w:r>
        <w:rPr>
          <w:rFonts w:hint="eastAsia" w:ascii="Times New Roman" w:hAnsi="Times New Roman" w:eastAsia="仿宋_GB2312" w:cs="Times New Roman"/>
          <w:sz w:val="32"/>
          <w:szCs w:val="32"/>
          <w:highlight w:val="none"/>
        </w:rPr>
        <w:t>强化预算绩效管理，建立健全绩效管理机制。深入贯彻落实预算绩效管理相关政策精神，加强预算绩效管理工作组织领导，进一步提高思想认识，不断提升预算绩效管理水平，切实提高财政资金使用效益</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二是</w:t>
      </w:r>
      <w:r>
        <w:rPr>
          <w:rFonts w:hint="eastAsia" w:ascii="Times New Roman" w:hAnsi="Times New Roman" w:eastAsia="仿宋_GB2312" w:cs="Times New Roman"/>
          <w:sz w:val="32"/>
          <w:szCs w:val="32"/>
          <w:highlight w:val="none"/>
        </w:rPr>
        <w:t>规范绩效目标编制，提升绩效目标编制质量。应结合单位职责、项目实施实际，分解细化工作要求，科学设置绩效目标和相关指标。规范绩效目标编制，确保绩效目标与单位整体战略和年度工作计划相衔接，具有可衡量性、可实现性和时效性</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三是</w:t>
      </w:r>
      <w:r>
        <w:rPr>
          <w:rFonts w:hint="eastAsia" w:ascii="Times New Roman" w:hAnsi="Times New Roman" w:eastAsia="仿宋_GB2312" w:cs="Times New Roman"/>
          <w:sz w:val="32"/>
          <w:szCs w:val="32"/>
          <w:highlight w:val="none"/>
        </w:rPr>
        <w:t>加强绩效自评工作，提高自评报告质量。建立健全项目和政策绩效自评工作机制，加快项目和政策绩效自评全覆盖。如实反映绩效目标实现结果，对绩效目标未达成或目标制定明显不合理的，要作出说明并提出改进措施。</w:t>
      </w:r>
    </w:p>
    <w:p>
      <w:pPr>
        <w:pStyle w:val="15"/>
        <w:shd w:val="clear"/>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highlight w:val="none"/>
        </w:rPr>
      </w:pPr>
      <w:r>
        <w:rPr>
          <w:rFonts w:ascii="Times New Roman" w:hAnsi="Times New Roman" w:eastAsia="楷体_GB2312" w:cs="Times New Roman"/>
          <w:b/>
          <w:bCs/>
          <w:color w:val="auto"/>
          <w:kern w:val="2"/>
          <w:sz w:val="32"/>
          <w:szCs w:val="32"/>
          <w:highlight w:val="none"/>
        </w:rPr>
        <w:t>（三）评价结果应用情况。</w:t>
      </w:r>
      <w:r>
        <w:rPr>
          <w:rFonts w:hint="eastAsia" w:ascii="Times New Roman" w:hAnsi="Times New Roman" w:eastAsia="仿宋_GB2312" w:cs="Times New Roman"/>
          <w:color w:val="auto"/>
          <w:sz w:val="32"/>
          <w:szCs w:val="32"/>
          <w:highlight w:val="none"/>
        </w:rPr>
        <w:t>本单位拟对绩效自评结果进行一下几个方面进行应用</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一是</w:t>
      </w:r>
      <w:r>
        <w:rPr>
          <w:rFonts w:hint="eastAsia" w:ascii="Times New Roman" w:hAnsi="Times New Roman" w:eastAsia="仿宋_GB2312" w:cs="Times New Roman"/>
          <w:color w:val="auto"/>
          <w:sz w:val="32"/>
          <w:szCs w:val="32"/>
          <w:highlight w:val="none"/>
        </w:rPr>
        <w:t>建立问题整改落实机制，对自评中发现的问题进行逐一梳理和分析，制定具体的整改措施和时间表，确保问题得到有效解决</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二是</w:t>
      </w:r>
      <w:r>
        <w:rPr>
          <w:rFonts w:hint="eastAsia" w:ascii="Times New Roman" w:hAnsi="Times New Roman" w:eastAsia="仿宋_GB2312" w:cs="Times New Roman"/>
          <w:color w:val="auto"/>
          <w:sz w:val="32"/>
          <w:szCs w:val="32"/>
          <w:highlight w:val="none"/>
        </w:rPr>
        <w:t>将自评结果作为加强预算管理、完善政策和改进管理的重要依据，进一步优化预算编制和执行流程，提高预算资金使用效率</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三是</w:t>
      </w:r>
      <w:r>
        <w:rPr>
          <w:rFonts w:hint="eastAsia" w:ascii="Times New Roman" w:hAnsi="Times New Roman" w:eastAsia="仿宋_GB2312" w:cs="Times New Roman"/>
          <w:color w:val="auto"/>
          <w:sz w:val="32"/>
          <w:szCs w:val="32"/>
          <w:highlight w:val="none"/>
        </w:rPr>
        <w:t>强化绩效评价结果的约束，建立评价结果与下一年度预算安排和项目调整挂钩机制，保障好项目良好执行。</w:t>
      </w:r>
    </w:p>
    <w:p>
      <w:pPr>
        <w:shd w:val="clear"/>
        <w:rPr>
          <w:rFonts w:ascii="Times New Roman" w:hAnsi="Times New Roman" w:cs="Times New Roman"/>
          <w:sz w:val="72"/>
          <w:szCs w:val="72"/>
          <w:highlight w:val="none"/>
        </w:rPr>
      </w:pPr>
      <w:r>
        <w:rPr>
          <w:rFonts w:ascii="Times New Roman" w:hAnsi="Times New Roman" w:cs="Times New Roman"/>
          <w:sz w:val="72"/>
          <w:szCs w:val="72"/>
          <w:highlight w:val="none"/>
        </w:rPr>
        <w:br w:type="page"/>
      </w:r>
    </w:p>
    <w:p>
      <w:pPr>
        <w:pStyle w:val="15"/>
        <w:shd w:val="clear"/>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第四部分    名词解释</w:t>
      </w:r>
    </w:p>
    <w:p>
      <w:pPr>
        <w:pStyle w:val="15"/>
        <w:shd w:val="clear"/>
        <w:ind w:firstLine="640" w:firstLineChars="200"/>
        <w:rPr>
          <w:rFonts w:hint="eastAsia" w:ascii="Times New Roman" w:hAnsi="Times New Roman" w:eastAsia="仿宋_GB2312" w:cs="Times New Roman"/>
          <w:color w:val="000000"/>
          <w:kern w:val="0"/>
          <w:sz w:val="32"/>
          <w:szCs w:val="32"/>
          <w:highlight w:val="none"/>
        </w:rPr>
      </w:pPr>
      <w:r>
        <w:rPr>
          <w:rFonts w:hint="eastAsia" w:ascii="Times New Roman" w:hAnsi="Times New Roman" w:eastAsia="仿宋_GB2312" w:cs="Times New Roman"/>
          <w:color w:val="000000"/>
          <w:kern w:val="0"/>
          <w:sz w:val="32"/>
          <w:szCs w:val="32"/>
          <w:highlight w:val="none"/>
          <w:lang w:eastAsia="zh-CN"/>
        </w:rPr>
        <w:t>一</w:t>
      </w:r>
      <w:r>
        <w:rPr>
          <w:rFonts w:hint="eastAsia" w:ascii="Times New Roman" w:hAnsi="Times New Roman" w:eastAsia="仿宋_GB2312" w:cs="Times New Roman"/>
          <w:color w:val="000000"/>
          <w:kern w:val="0"/>
          <w:sz w:val="32"/>
          <w:szCs w:val="32"/>
          <w:highlight w:val="none"/>
        </w:rPr>
        <w:t>、基本支出：指为保障机构正常运转、完成日常工作任务而发生的人员支出和公用支出。</w:t>
      </w:r>
    </w:p>
    <w:p>
      <w:pPr>
        <w:pStyle w:val="15"/>
        <w:shd w:val="clear"/>
        <w:ind w:firstLine="640" w:firstLineChars="200"/>
        <w:rPr>
          <w:rFonts w:hint="eastAsia" w:ascii="Times New Roman" w:hAnsi="Times New Roman" w:eastAsia="仿宋_GB2312" w:cs="Times New Roman"/>
          <w:color w:val="000000"/>
          <w:kern w:val="0"/>
          <w:sz w:val="32"/>
          <w:szCs w:val="32"/>
          <w:highlight w:val="none"/>
        </w:rPr>
      </w:pPr>
      <w:r>
        <w:rPr>
          <w:rFonts w:hint="eastAsia" w:ascii="Times New Roman" w:hAnsi="Times New Roman" w:eastAsia="仿宋_GB2312" w:cs="Times New Roman"/>
          <w:color w:val="000000"/>
          <w:kern w:val="0"/>
          <w:sz w:val="32"/>
          <w:szCs w:val="32"/>
          <w:highlight w:val="none"/>
          <w:lang w:eastAsia="zh-CN"/>
        </w:rPr>
        <w:t>二</w:t>
      </w:r>
      <w:r>
        <w:rPr>
          <w:rFonts w:hint="eastAsia" w:ascii="Times New Roman" w:hAnsi="Times New Roman" w:eastAsia="仿宋_GB2312" w:cs="Times New Roman"/>
          <w:color w:val="000000"/>
          <w:kern w:val="0"/>
          <w:sz w:val="32"/>
          <w:szCs w:val="32"/>
          <w:highlight w:val="none"/>
        </w:rPr>
        <w:t>、项目支出：指在基本支出之外为完成特定行政任务和事业发展目标所发生的支出。</w:t>
      </w:r>
    </w:p>
    <w:p>
      <w:pPr>
        <w:pStyle w:val="15"/>
        <w:shd w:val="clear"/>
        <w:ind w:firstLine="640" w:firstLineChars="200"/>
        <w:rPr>
          <w:rFonts w:hint="eastAsia" w:ascii="Times New Roman" w:hAnsi="Times New Roman" w:eastAsia="仿宋_GB2312" w:cs="Times New Roman"/>
          <w:color w:val="000000"/>
          <w:kern w:val="0"/>
          <w:sz w:val="32"/>
          <w:szCs w:val="32"/>
          <w:highlight w:val="none"/>
        </w:rPr>
      </w:pPr>
      <w:r>
        <w:rPr>
          <w:rFonts w:hint="eastAsia" w:ascii="Times New Roman" w:hAnsi="Times New Roman" w:eastAsia="仿宋_GB2312" w:cs="Times New Roman"/>
          <w:color w:val="000000"/>
          <w:kern w:val="0"/>
          <w:sz w:val="32"/>
          <w:szCs w:val="32"/>
          <w:highlight w:val="none"/>
          <w:lang w:eastAsia="zh-CN"/>
        </w:rPr>
        <w:t>三</w:t>
      </w:r>
      <w:r>
        <w:rPr>
          <w:rFonts w:hint="eastAsia" w:ascii="Times New Roman" w:hAnsi="Times New Roman" w:eastAsia="仿宋_GB2312" w:cs="Times New Roman"/>
          <w:color w:val="000000"/>
          <w:kern w:val="0"/>
          <w:sz w:val="32"/>
          <w:szCs w:val="32"/>
          <w:highlight w:val="none"/>
        </w:rPr>
        <w:t>、“三公”经费：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15"/>
        <w:shd w:val="clear"/>
        <w:ind w:firstLine="640" w:firstLineChars="200"/>
        <w:rPr>
          <w:rFonts w:hint="eastAsia" w:ascii="Times New Roman" w:hAnsi="Times New Roman" w:eastAsia="仿宋_GB2312" w:cs="Times New Roman"/>
          <w:color w:val="000000"/>
          <w:kern w:val="0"/>
          <w:sz w:val="32"/>
          <w:szCs w:val="32"/>
          <w:highlight w:val="none"/>
        </w:rPr>
      </w:pPr>
      <w:r>
        <w:rPr>
          <w:rFonts w:hint="eastAsia" w:ascii="Times New Roman" w:hAnsi="Times New Roman" w:eastAsia="仿宋_GB2312" w:cs="Times New Roman"/>
          <w:color w:val="000000"/>
          <w:kern w:val="0"/>
          <w:sz w:val="32"/>
          <w:szCs w:val="32"/>
          <w:highlight w:val="none"/>
          <w:lang w:eastAsia="zh-CN"/>
        </w:rPr>
        <w:t>四</w:t>
      </w:r>
      <w:r>
        <w:rPr>
          <w:rFonts w:hint="eastAsia" w:ascii="Times New Roman" w:hAnsi="Times New Roman" w:eastAsia="仿宋_GB2312" w:cs="Times New Roman"/>
          <w:color w:val="000000"/>
          <w:kern w:val="0"/>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5"/>
        <w:shd w:val="clear"/>
        <w:jc w:val="center"/>
        <w:rPr>
          <w:rFonts w:ascii="Times New Roman" w:hAnsi="Times New Roman" w:cs="Times New Roman"/>
          <w:sz w:val="72"/>
          <w:szCs w:val="72"/>
          <w:highlight w:val="none"/>
        </w:rPr>
      </w:pPr>
    </w:p>
    <w:p>
      <w:pPr>
        <w:pStyle w:val="15"/>
        <w:shd w:val="clear"/>
        <w:jc w:val="center"/>
        <w:rPr>
          <w:rFonts w:ascii="Times New Roman" w:hAnsi="Times New Roman" w:cs="Times New Roman"/>
          <w:sz w:val="72"/>
          <w:szCs w:val="72"/>
          <w:highlight w:val="none"/>
        </w:rPr>
      </w:pPr>
    </w:p>
    <w:p>
      <w:pPr>
        <w:pStyle w:val="15"/>
        <w:shd w:val="clear"/>
        <w:jc w:val="center"/>
        <w:rPr>
          <w:rFonts w:ascii="Times New Roman" w:hAnsi="Times New Roman" w:cs="Times New Roman"/>
          <w:sz w:val="72"/>
          <w:szCs w:val="72"/>
          <w:highlight w:val="none"/>
        </w:rPr>
      </w:pPr>
    </w:p>
    <w:p>
      <w:pPr>
        <w:pStyle w:val="15"/>
        <w:shd w:val="clear"/>
        <w:jc w:val="center"/>
        <w:rPr>
          <w:rFonts w:ascii="Times New Roman" w:hAnsi="Times New Roman" w:cs="Times New Roman"/>
          <w:sz w:val="72"/>
          <w:szCs w:val="72"/>
          <w:highlight w:val="none"/>
        </w:rPr>
      </w:pPr>
    </w:p>
    <w:p>
      <w:pPr>
        <w:pStyle w:val="15"/>
        <w:shd w:val="clear"/>
        <w:jc w:val="center"/>
        <w:rPr>
          <w:rFonts w:ascii="Times New Roman" w:hAnsi="Times New Roman" w:cs="Times New Roman"/>
          <w:sz w:val="72"/>
          <w:szCs w:val="72"/>
          <w:highlight w:val="none"/>
        </w:rPr>
      </w:pPr>
    </w:p>
    <w:p>
      <w:pPr>
        <w:shd w:val="clear"/>
        <w:rPr>
          <w:rFonts w:hint="eastAsia" w:ascii="Times New Roman" w:hAnsi="Times New Roman" w:cs="Times New Roman" w:eastAsiaTheme="minorEastAsia"/>
          <w:sz w:val="72"/>
          <w:szCs w:val="72"/>
          <w:highlight w:val="none"/>
          <w:lang w:val="en-US" w:eastAsia="zh-CN"/>
        </w:rPr>
      </w:pPr>
      <w:r>
        <w:rPr>
          <w:rFonts w:ascii="Times New Roman" w:hAnsi="Times New Roman" w:cs="Times New Roman"/>
          <w:sz w:val="72"/>
          <w:szCs w:val="72"/>
          <w:highlight w:val="none"/>
        </w:rPr>
        <w:br w:type="page"/>
      </w:r>
      <w:r>
        <w:rPr>
          <w:rFonts w:hint="eastAsia" w:ascii="Times New Roman" w:hAnsi="Times New Roman" w:cs="Times New Roman"/>
          <w:sz w:val="72"/>
          <w:szCs w:val="72"/>
          <w:highlight w:val="none"/>
          <w:lang w:val="en-US" w:eastAsia="zh-CN"/>
        </w:rPr>
        <w:t xml:space="preserve"> </w:t>
      </w:r>
    </w:p>
    <w:p>
      <w:pPr>
        <w:pStyle w:val="15"/>
        <w:shd w:val="clear"/>
        <w:jc w:val="both"/>
        <w:rPr>
          <w:rFonts w:ascii="Times New Roman" w:hAnsi="Times New Roman" w:cs="Times New Roman"/>
          <w:sz w:val="72"/>
          <w:szCs w:val="72"/>
          <w:highlight w:val="none"/>
        </w:rPr>
      </w:pPr>
    </w:p>
    <w:p>
      <w:pPr>
        <w:pStyle w:val="15"/>
        <w:shd w:val="clear"/>
        <w:spacing w:line="360" w:lineRule="auto"/>
        <w:jc w:val="center"/>
        <w:rPr>
          <w:rFonts w:ascii="Times New Roman" w:hAnsi="Times New Roman" w:eastAsia="方正小标宋_GBK" w:cs="Times New Roman"/>
          <w:sz w:val="52"/>
          <w:szCs w:val="52"/>
          <w:highlight w:val="none"/>
        </w:rPr>
      </w:pPr>
      <w:r>
        <w:rPr>
          <w:rFonts w:ascii="Times New Roman" w:hAnsi="Times New Roman" w:eastAsia="方正小标宋_GBK" w:cs="Times New Roman"/>
          <w:sz w:val="52"/>
          <w:szCs w:val="52"/>
          <w:highlight w:val="none"/>
        </w:rPr>
        <w:t>第五部分   附 件</w:t>
      </w:r>
    </w:p>
    <w:p>
      <w:pPr>
        <w:shd w:val="clear"/>
        <w:rPr>
          <w:rFonts w:ascii="Times New Roman" w:hAnsi="Times New Roman" w:cs="Times New Roman"/>
          <w:sz w:val="72"/>
          <w:szCs w:val="72"/>
          <w:highlight w:val="none"/>
        </w:rPr>
      </w:pPr>
    </w:p>
    <w:p>
      <w:pPr>
        <w:pStyle w:val="15"/>
        <w:shd w:val="clear"/>
        <w:ind w:firstLine="1280" w:firstLineChars="400"/>
        <w:rPr>
          <w:rFonts w:ascii="Times New Roman" w:hAnsi="Times New Roman" w:eastAsia="仿宋_GB2312" w:cs="Times New Roman"/>
          <w:sz w:val="32"/>
          <w:szCs w:val="32"/>
          <w:highlight w:val="none"/>
        </w:rPr>
      </w:pPr>
      <w:r>
        <w:rPr>
          <w:rFonts w:ascii="Times New Roman" w:hAnsi="Times New Roman" w:eastAsia="仿宋_GB2312" w:cs="Times New Roman"/>
          <w:b/>
          <w:bCs/>
          <w:sz w:val="32"/>
          <w:szCs w:val="32"/>
          <w:highlight w:val="none"/>
        </w:rPr>
        <w:t>一、</w:t>
      </w:r>
      <w:r>
        <w:rPr>
          <w:rFonts w:ascii="Times New Roman" w:hAnsi="Times New Roman" w:eastAsia="仿宋_GB2312" w:cs="Times New Roman"/>
          <w:sz w:val="32"/>
          <w:szCs w:val="32"/>
          <w:highlight w:val="none"/>
        </w:rPr>
        <w:t>2024年度部门(单位)整体支出绩效自评报告。</w:t>
      </w:r>
    </w:p>
    <w:p>
      <w:pPr>
        <w:shd w:val="clear"/>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br w:type="page"/>
      </w:r>
    </w:p>
    <w:p>
      <w:pPr>
        <w:shd w:val="clear"/>
        <w:ind w:firstLine="0" w:firstLineChars="0"/>
        <w:jc w:val="center"/>
        <w:rPr>
          <w:rFonts w:hint="eastAsia" w:eastAsia="方正小标宋_GBK"/>
          <w:sz w:val="48"/>
          <w:szCs w:val="48"/>
          <w:highlight w:val="none"/>
          <w:lang w:val="en-US" w:eastAsia="zh-CN"/>
        </w:rPr>
      </w:pPr>
      <w:r>
        <w:rPr>
          <w:rFonts w:hint="eastAsia" w:eastAsia="方正小标宋_GBK"/>
          <w:sz w:val="48"/>
          <w:szCs w:val="48"/>
          <w:highlight w:val="none"/>
          <w:lang w:val="en-US" w:eastAsia="zh-CN"/>
        </w:rPr>
        <w:t>2024</w:t>
      </w:r>
      <w:r>
        <w:rPr>
          <w:rFonts w:eastAsia="方正小标宋_GBK"/>
          <w:sz w:val="48"/>
          <w:szCs w:val="48"/>
          <w:highlight w:val="none"/>
        </w:rPr>
        <w:t>年度</w:t>
      </w:r>
      <w:r>
        <w:rPr>
          <w:rFonts w:hint="eastAsia" w:eastAsia="方正小标宋_GBK"/>
          <w:sz w:val="48"/>
          <w:szCs w:val="48"/>
          <w:highlight w:val="none"/>
          <w:lang w:val="en-US" w:eastAsia="zh-CN"/>
        </w:rPr>
        <w:t>湖南省兽药饲料监察所</w:t>
      </w:r>
    </w:p>
    <w:p>
      <w:pPr>
        <w:shd w:val="clear"/>
        <w:ind w:firstLine="0" w:firstLineChars="0"/>
        <w:jc w:val="center"/>
        <w:rPr>
          <w:rFonts w:eastAsia="方正小标宋_GBK"/>
          <w:sz w:val="48"/>
          <w:szCs w:val="48"/>
          <w:highlight w:val="none"/>
        </w:rPr>
      </w:pPr>
      <w:r>
        <w:rPr>
          <w:rFonts w:eastAsia="方正小标宋_GBK"/>
          <w:sz w:val="48"/>
          <w:szCs w:val="48"/>
          <w:highlight w:val="none"/>
        </w:rPr>
        <w:t>整体支出绩效自评报告</w:t>
      </w:r>
    </w:p>
    <w:p>
      <w:pPr>
        <w:shd w:val="clear"/>
        <w:ind w:firstLine="0" w:firstLineChars="0"/>
        <w:jc w:val="center"/>
        <w:rPr>
          <w:rFonts w:eastAsia="黑体"/>
          <w:szCs w:val="32"/>
          <w:highlight w:val="none"/>
        </w:rPr>
      </w:pPr>
    </w:p>
    <w:p>
      <w:pPr>
        <w:shd w:val="clear"/>
        <w:ind w:firstLine="0" w:firstLineChars="0"/>
        <w:jc w:val="center"/>
        <w:rPr>
          <w:rFonts w:eastAsia="黑体"/>
          <w:szCs w:val="32"/>
          <w:highlight w:val="none"/>
        </w:rPr>
      </w:pPr>
    </w:p>
    <w:p>
      <w:pPr>
        <w:shd w:val="clear"/>
        <w:ind w:firstLine="0" w:firstLineChars="0"/>
        <w:jc w:val="center"/>
        <w:rPr>
          <w:rFonts w:eastAsia="黑体"/>
          <w:szCs w:val="32"/>
          <w:highlight w:val="none"/>
        </w:rPr>
      </w:pPr>
    </w:p>
    <w:p>
      <w:pPr>
        <w:shd w:val="clear"/>
        <w:ind w:firstLine="0" w:firstLineChars="0"/>
        <w:jc w:val="center"/>
        <w:rPr>
          <w:rFonts w:eastAsia="黑体"/>
          <w:szCs w:val="32"/>
          <w:highlight w:val="none"/>
        </w:rPr>
      </w:pPr>
    </w:p>
    <w:p>
      <w:pPr>
        <w:shd w:val="clear"/>
        <w:ind w:firstLine="0" w:firstLineChars="0"/>
        <w:jc w:val="center"/>
        <w:rPr>
          <w:rFonts w:eastAsia="黑体"/>
          <w:szCs w:val="32"/>
          <w:highlight w:val="none"/>
        </w:rPr>
      </w:pPr>
      <w:r>
        <w:rPr>
          <w:rFonts w:eastAsia="黑体"/>
          <w:szCs w:val="32"/>
          <w:highlight w:val="none"/>
        </w:rPr>
        <w:t xml:space="preserve"> </w:t>
      </w:r>
    </w:p>
    <w:p>
      <w:pPr>
        <w:shd w:val="clear"/>
        <w:ind w:firstLine="0" w:firstLineChars="0"/>
        <w:jc w:val="center"/>
        <w:rPr>
          <w:rFonts w:eastAsia="黑体"/>
          <w:szCs w:val="32"/>
          <w:highlight w:val="none"/>
        </w:rPr>
      </w:pPr>
      <w:r>
        <w:rPr>
          <w:rFonts w:eastAsia="黑体"/>
          <w:szCs w:val="32"/>
          <w:highlight w:val="none"/>
        </w:rPr>
        <w:t xml:space="preserve"> </w:t>
      </w:r>
    </w:p>
    <w:p>
      <w:pPr>
        <w:shd w:val="clear"/>
        <w:ind w:firstLine="0" w:firstLineChars="0"/>
        <w:jc w:val="center"/>
        <w:rPr>
          <w:rFonts w:eastAsia="黑体"/>
          <w:szCs w:val="32"/>
          <w:highlight w:val="none"/>
        </w:rPr>
      </w:pPr>
      <w:r>
        <w:rPr>
          <w:rFonts w:eastAsia="黑体"/>
          <w:szCs w:val="32"/>
          <w:highlight w:val="none"/>
        </w:rPr>
        <w:t xml:space="preserve"> </w:t>
      </w:r>
    </w:p>
    <w:p>
      <w:pPr>
        <w:shd w:val="clear"/>
        <w:ind w:firstLine="0" w:firstLineChars="0"/>
        <w:jc w:val="center"/>
        <w:rPr>
          <w:rFonts w:eastAsia="黑体"/>
          <w:szCs w:val="32"/>
          <w:highlight w:val="none"/>
        </w:rPr>
      </w:pPr>
      <w:r>
        <w:rPr>
          <w:rFonts w:eastAsia="黑体"/>
          <w:szCs w:val="32"/>
          <w:highlight w:val="none"/>
        </w:rPr>
        <w:t xml:space="preserve"> </w:t>
      </w:r>
    </w:p>
    <w:p>
      <w:pPr>
        <w:shd w:val="clear"/>
        <w:ind w:firstLine="0" w:firstLineChars="0"/>
        <w:jc w:val="center"/>
        <w:rPr>
          <w:rFonts w:eastAsia="黑体"/>
          <w:szCs w:val="32"/>
          <w:highlight w:val="none"/>
        </w:rPr>
      </w:pPr>
      <w:r>
        <w:rPr>
          <w:rFonts w:eastAsia="黑体"/>
          <w:szCs w:val="32"/>
          <w:highlight w:val="none"/>
        </w:rPr>
        <w:t xml:space="preserve"> </w:t>
      </w:r>
    </w:p>
    <w:p>
      <w:pPr>
        <w:shd w:val="clear"/>
        <w:ind w:firstLine="0" w:firstLineChars="0"/>
        <w:jc w:val="center"/>
        <w:rPr>
          <w:rFonts w:eastAsia="黑体"/>
          <w:szCs w:val="32"/>
          <w:highlight w:val="none"/>
        </w:rPr>
      </w:pPr>
      <w:r>
        <w:rPr>
          <w:rFonts w:eastAsia="黑体"/>
          <w:szCs w:val="32"/>
          <w:highlight w:val="none"/>
        </w:rPr>
        <w:t xml:space="preserve"> </w:t>
      </w:r>
    </w:p>
    <w:p>
      <w:pPr>
        <w:shd w:val="clear"/>
        <w:ind w:firstLine="0" w:firstLineChars="0"/>
        <w:jc w:val="center"/>
        <w:rPr>
          <w:rFonts w:eastAsia="黑体"/>
          <w:szCs w:val="32"/>
          <w:highlight w:val="none"/>
        </w:rPr>
      </w:pPr>
      <w:r>
        <w:rPr>
          <w:rFonts w:eastAsia="黑体"/>
          <w:szCs w:val="32"/>
          <w:highlight w:val="none"/>
        </w:rPr>
        <w:t xml:space="preserve"> </w:t>
      </w:r>
    </w:p>
    <w:p>
      <w:pPr>
        <w:shd w:val="clear"/>
        <w:ind w:firstLine="0" w:firstLineChars="0"/>
        <w:jc w:val="center"/>
        <w:rPr>
          <w:rFonts w:eastAsia="黑体"/>
          <w:sz w:val="44"/>
          <w:szCs w:val="44"/>
          <w:highlight w:val="none"/>
        </w:rPr>
      </w:pPr>
      <w:r>
        <w:rPr>
          <w:rFonts w:eastAsia="黑体"/>
          <w:sz w:val="44"/>
          <w:szCs w:val="44"/>
          <w:highlight w:val="none"/>
        </w:rPr>
        <w:t xml:space="preserve"> </w:t>
      </w:r>
    </w:p>
    <w:p>
      <w:pPr>
        <w:shd w:val="clear"/>
        <w:ind w:firstLine="0" w:firstLineChars="0"/>
        <w:jc w:val="center"/>
        <w:rPr>
          <w:rFonts w:eastAsia="黑体"/>
          <w:sz w:val="44"/>
          <w:szCs w:val="44"/>
          <w:highlight w:val="none"/>
        </w:rPr>
      </w:pPr>
      <w:r>
        <w:rPr>
          <w:rFonts w:eastAsia="黑体"/>
          <w:sz w:val="44"/>
          <w:szCs w:val="44"/>
          <w:highlight w:val="none"/>
        </w:rPr>
        <w:t xml:space="preserve"> </w:t>
      </w:r>
    </w:p>
    <w:p>
      <w:pPr>
        <w:shd w:val="clear"/>
        <w:ind w:firstLine="0" w:firstLineChars="0"/>
        <w:jc w:val="center"/>
        <w:rPr>
          <w:rFonts w:eastAsia="黑体"/>
          <w:sz w:val="44"/>
          <w:szCs w:val="44"/>
          <w:highlight w:val="none"/>
        </w:rPr>
      </w:pPr>
      <w:r>
        <w:rPr>
          <w:rFonts w:eastAsia="黑体"/>
          <w:sz w:val="44"/>
          <w:szCs w:val="44"/>
          <w:highlight w:val="none"/>
        </w:rPr>
        <w:t xml:space="preserve"> </w:t>
      </w:r>
    </w:p>
    <w:p>
      <w:pPr>
        <w:shd w:val="clear"/>
        <w:ind w:firstLine="0" w:firstLineChars="0"/>
        <w:jc w:val="center"/>
        <w:rPr>
          <w:rFonts w:eastAsia="黑体"/>
          <w:sz w:val="36"/>
          <w:szCs w:val="36"/>
          <w:highlight w:val="none"/>
        </w:rPr>
      </w:pPr>
      <w:r>
        <w:rPr>
          <w:rFonts w:hint="eastAsia" w:eastAsia="黑体"/>
          <w:sz w:val="36"/>
          <w:szCs w:val="36"/>
          <w:highlight w:val="none"/>
        </w:rPr>
        <w:t>湖南省兽药饲料监察所</w:t>
      </w:r>
    </w:p>
    <w:p>
      <w:pPr>
        <w:shd w:val="clear"/>
        <w:ind w:firstLine="0" w:firstLineChars="0"/>
        <w:jc w:val="center"/>
        <w:rPr>
          <w:rFonts w:eastAsia="黑体"/>
          <w:sz w:val="36"/>
          <w:szCs w:val="36"/>
          <w:highlight w:val="none"/>
        </w:rPr>
      </w:pPr>
      <w:r>
        <w:rPr>
          <w:rFonts w:eastAsia="黑体"/>
          <w:sz w:val="36"/>
          <w:szCs w:val="36"/>
          <w:highlight w:val="none"/>
        </w:rPr>
        <w:t xml:space="preserve"> </w:t>
      </w:r>
    </w:p>
    <w:p>
      <w:pPr>
        <w:shd w:val="clear"/>
        <w:ind w:firstLine="0" w:firstLineChars="0"/>
        <w:jc w:val="center"/>
        <w:rPr>
          <w:rFonts w:eastAsia="黑体"/>
          <w:szCs w:val="32"/>
          <w:highlight w:val="none"/>
        </w:rPr>
        <w:sectPr>
          <w:headerReference r:id="rId8" w:type="first"/>
          <w:footerReference r:id="rId11" w:type="first"/>
          <w:headerReference r:id="rId6" w:type="default"/>
          <w:footerReference r:id="rId9" w:type="default"/>
          <w:headerReference r:id="rId7" w:type="even"/>
          <w:footerReference r:id="rId10" w:type="even"/>
          <w:pgSz w:w="11906" w:h="16838"/>
          <w:pgMar w:top="2098" w:right="1474" w:bottom="1985" w:left="1588" w:header="851" w:footer="1588" w:gutter="0"/>
          <w:cols w:space="720" w:num="1"/>
          <w:titlePg/>
          <w:docGrid w:type="linesAndChars" w:linePitch="579" w:charSpace="0"/>
        </w:sectPr>
      </w:pPr>
    </w:p>
    <w:p>
      <w:pPr>
        <w:pStyle w:val="3"/>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ascii="Times New Roman" w:hAnsi="Times New Roman" w:eastAsia="黑体" w:cstheme="minorBidi"/>
          <w:bCs w:val="0"/>
          <w:kern w:val="2"/>
          <w:sz w:val="32"/>
          <w:szCs w:val="32"/>
          <w:highlight w:val="none"/>
          <w:lang w:val="en-US" w:eastAsia="zh-CN" w:bidi="ar-SA"/>
        </w:rPr>
      </w:pPr>
      <w:r>
        <w:rPr>
          <w:rFonts w:ascii="Times New Roman" w:hAnsi="Times New Roman" w:eastAsia="黑体" w:cstheme="minorBidi"/>
          <w:bCs w:val="0"/>
          <w:kern w:val="2"/>
          <w:sz w:val="32"/>
          <w:szCs w:val="32"/>
          <w:highlight w:val="none"/>
          <w:lang w:val="en-US" w:eastAsia="zh-CN" w:bidi="ar-SA"/>
        </w:rPr>
        <w:t>一、基本情况</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3"/>
        <w:textAlignment w:val="auto"/>
        <w:rPr>
          <w:rFonts w:ascii="Times New Roman" w:hAnsi="Times New Roman" w:eastAsia="楷体_GB2312"/>
          <w:b/>
          <w:sz w:val="32"/>
          <w:szCs w:val="32"/>
          <w:highlight w:val="none"/>
        </w:rPr>
      </w:pPr>
      <w:r>
        <w:rPr>
          <w:rFonts w:ascii="Times New Roman" w:hAnsi="Times New Roman" w:eastAsia="楷体_GB2312"/>
          <w:b/>
          <w:sz w:val="32"/>
          <w:szCs w:val="32"/>
          <w:highlight w:val="none"/>
        </w:rPr>
        <w:t>（一）单位基本情况</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湖南省兽药饲料监察所主要承担农业部门和有关部门指定的畜禽等动物性产品及兽药、饲料产品质量的监督抽查检验、残留物质分析检验、优质产品的评选和复查检验；受农业部门或有关部门的委托，对实施生产许可证和质量认证的畜禽等动物性产品及兽药、饲料产品进行检验，以及对重要新产品、新品种投产和科研成果鉴定检验；承担畜禽等动物性产品及兽药、饲料产品质量考核检验、产品质量分等分级检验；承担畜禽等动物性产品及兽药、饲料产品质量仲裁检验和委托检验；对省内同类产品质量检验机构进行技术指导和人员培训；负责研究新的检验技术和方法，承担或参与国家标准、行业标准的制修订和有关标准试验验证工作。</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机构情况，湖南省兽药饲料监察所是隶属于湖南省农业农村厅的财政全额拨款正处级二级预算单位，单位内设检验一室、检验二室、检验三室、业务办公室、综合科（人事科）、财务科。</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人员情况，2024年末有在职干部职工18人、退休人员12人。</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3"/>
        <w:textAlignment w:val="auto"/>
        <w:rPr>
          <w:rFonts w:ascii="Times New Roman" w:hAnsi="Times New Roman" w:eastAsia="楷体_GB2312"/>
          <w:b/>
          <w:sz w:val="32"/>
          <w:szCs w:val="32"/>
          <w:highlight w:val="none"/>
        </w:rPr>
      </w:pPr>
      <w:r>
        <w:rPr>
          <w:rFonts w:ascii="Times New Roman" w:hAnsi="Times New Roman" w:eastAsia="楷体_GB2312"/>
          <w:b/>
          <w:sz w:val="32"/>
          <w:szCs w:val="32"/>
          <w:highlight w:val="none"/>
        </w:rPr>
        <w:t>（二）单位年度整体支出绩效目标，省级专项资金绩效目标、其他项目支出绩效目标</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本单位年度整体支出绩效目标主要为：坚持“质量第一、科学公正、准确高效”的质量方针，根据各级畜牧水产管理部门和兽药、饲料及畜产品生产经营企业不断增长的质量要求，为各级畜牧水产行政执法及兽药、饲料、畜禽产品生产经营活动提供及时、科学的技术支撑。</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省级专项资金绩效目标</w:t>
      </w:r>
      <w:r>
        <w:rPr>
          <w:rFonts w:hint="eastAsia" w:ascii="Times New Roman" w:hAnsi="Times New Roman" w:eastAsia="仿宋_GB2312" w:cs="Times New Roman"/>
          <w:kern w:val="2"/>
          <w:sz w:val="32"/>
          <w:szCs w:val="32"/>
          <w:highlight w:val="none"/>
          <w:lang w:val="en-US" w:eastAsia="zh-CN" w:bidi="ar-SA"/>
        </w:rPr>
        <w:t>主要为：</w:t>
      </w:r>
      <w:r>
        <w:rPr>
          <w:rFonts w:hint="default" w:ascii="Times New Roman" w:hAnsi="Times New Roman" w:eastAsia="仿宋_GB2312" w:cs="Times New Roman"/>
          <w:kern w:val="2"/>
          <w:sz w:val="32"/>
          <w:szCs w:val="32"/>
          <w:highlight w:val="none"/>
          <w:lang w:val="en-US" w:eastAsia="zh-CN" w:bidi="ar-SA"/>
        </w:rPr>
        <w:t>完成全省兽药、兽药残留、饲料、生鲜乳、屠宰环节畜禽产品质量安全监测，细菌耐药性种类监测，兽药企业GMP认证，有关检验方法学及相关研究</w:t>
      </w:r>
      <w:r>
        <w:rPr>
          <w:rFonts w:hint="eastAsia" w:ascii="Times New Roman" w:hAnsi="Times New Roman" w:eastAsia="仿宋_GB2312" w:cs="Times New Roman"/>
          <w:kern w:val="2"/>
          <w:sz w:val="32"/>
          <w:szCs w:val="32"/>
          <w:highlight w:val="none"/>
          <w:lang w:val="en-US" w:eastAsia="zh-CN" w:bidi="ar-SA"/>
        </w:rPr>
        <w:t>。</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0"/>
        <w:textAlignment w:val="auto"/>
        <w:rPr>
          <w:rFonts w:ascii="Times New Roman" w:hAnsi="Times New Roman" w:eastAsia="黑体"/>
          <w:sz w:val="32"/>
          <w:szCs w:val="32"/>
          <w:highlight w:val="none"/>
        </w:rPr>
      </w:pPr>
      <w:r>
        <w:rPr>
          <w:rFonts w:ascii="Times New Roman" w:hAnsi="Times New Roman" w:eastAsia="黑体"/>
          <w:sz w:val="32"/>
          <w:szCs w:val="32"/>
          <w:highlight w:val="none"/>
        </w:rPr>
        <w:t>二、一般公共预算支出情况</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3"/>
        <w:textAlignment w:val="auto"/>
        <w:rPr>
          <w:rFonts w:ascii="Times New Roman" w:hAnsi="Times New Roman" w:eastAsia="楷体_GB2312" w:cs="Times New Roman"/>
          <w:b/>
          <w:kern w:val="2"/>
          <w:sz w:val="32"/>
          <w:szCs w:val="32"/>
          <w:highlight w:val="none"/>
          <w:lang w:val="en-US" w:eastAsia="zh-CN" w:bidi="ar-SA"/>
        </w:rPr>
      </w:pPr>
      <w:r>
        <w:rPr>
          <w:rFonts w:ascii="Times New Roman" w:hAnsi="Times New Roman" w:eastAsia="楷体_GB2312" w:cs="Times New Roman"/>
          <w:b/>
          <w:kern w:val="2"/>
          <w:sz w:val="32"/>
          <w:szCs w:val="32"/>
          <w:highlight w:val="none"/>
          <w:lang w:val="en-US" w:eastAsia="zh-CN" w:bidi="ar-SA"/>
        </w:rPr>
        <w:t>（一）基本支出情况</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3"/>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2024年度一般公共预算基本支出636.92万元，其中：人员经费607.02万元，占基本支出的95.30%，主要包括基本工资、津贴补贴、伙食补助费、绩效工资、机关事业单位基本养老保险缴费、住房公积金、其他工资福利支出、奖励金、其他对个人和家庭的补助支出等。公用经费29.90万元，占基本支出的4.70%，主要包括办公费、工会经费、其他交通费用、其他商品和服务支出等。</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3"/>
        <w:textAlignment w:val="auto"/>
        <w:rPr>
          <w:rFonts w:ascii="Times New Roman" w:hAnsi="Times New Roman" w:eastAsia="楷体_GB2312"/>
          <w:b/>
          <w:sz w:val="32"/>
          <w:szCs w:val="32"/>
          <w:highlight w:val="none"/>
        </w:rPr>
      </w:pPr>
      <w:r>
        <w:rPr>
          <w:rFonts w:ascii="Times New Roman" w:hAnsi="Times New Roman" w:eastAsia="楷体_GB2312"/>
          <w:b/>
          <w:sz w:val="32"/>
          <w:szCs w:val="32"/>
          <w:highlight w:val="none"/>
        </w:rPr>
        <w:t>（二）项目支出情况</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2024年度专项资金共安排资金1109.12万元，使用1102.62万元。省级专项资金安排420.00万元，其中主要有：现代农业发展专项420万元；其他项目安排资金689.12万元，其中主要有：省级市场监督管理专项4.92万元、动植物保护能力提升工程项目611.92万元、中央渔业油补资金60.00万元、现代农业发展专项11.80万元。</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2024年度省级专项资金分配安排现代农业发展专项420万元，使用416.57万元，支出率99.18%，只要用于兽药、饲料、畜禽产品、生鲜乳等的监督抽查、残留监控、风险监测、报批文复核检验、委托检验等七大类18小类任务的样品抽取7626批次。主要有完成畜禽产品质量安全监测3877批次，兽药质量监测369批次，兽药残留监测101批次，兽药办批文复核检验1053批次，饲料质量安全监测496批次，生鲜乳质量安全监测60批次，细菌耐药性监测940批次。全年共派出148人次参加国家和省兽药GMP、饲料生产许可现场检查、农产品检验检测机构现场考核评审、无疫小区建设、“双随机一公开”检验检测机构飞行检查、检验检测机构培训等。通过开展兽药、饲料、兽药残留及畜禽产品的质量安全监测和科研工作，完成各项工作任务，为主管部门、各级畜牧水产行政执法及兽药、饲料、畜禽产品生产经营活动提供及时、科学的技术支撑。</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市场监督管理专项收入4.92万元，支出4.67万元。项目主要用于兽药饲料中非法添加物快速筛查方法学研究与应用，以建立兽药饲料中非法添加物快速筛查方法和标准，实现对兽药饲料中药物进行快捷、准确和全面的筛查，为兽药饲料及动物源性食品安全监管提供技术支撑。</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动植物保护能力提升工程项目专项收入611.92万元，支出611.92万元。项目主要用于湖南省兽药质量及兽药残留检测实验室改建，改造检验检测实验室，购置相关仪器设备16台（套）。项目已经完成全部建设内容。</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中央渔业油补资金项目收入60.00万元，支出57.18万元。项目主要用于赴7个重点地市的20多个县区的150多个水产养殖场、兽药经营店、饲料经营店、渔具经营店抽取了595个水产用兽药、饲料、饵料及水质改良剂、底泥改良剂等产品，进行非法添加的筛查确证。</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0"/>
        <w:textAlignment w:val="auto"/>
        <w:rPr>
          <w:rFonts w:ascii="Times New Roman" w:hAnsi="Times New Roman" w:eastAsia="黑体"/>
          <w:sz w:val="32"/>
          <w:szCs w:val="32"/>
          <w:highlight w:val="none"/>
        </w:rPr>
      </w:pPr>
      <w:r>
        <w:rPr>
          <w:rFonts w:ascii="Times New Roman" w:hAnsi="Times New Roman" w:eastAsia="黑体"/>
          <w:sz w:val="32"/>
          <w:szCs w:val="32"/>
          <w:highlight w:val="none"/>
        </w:rPr>
        <w:t>三、政府性基金预算支出情况</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本单位无政府性基金安排的支出。</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0"/>
        <w:textAlignment w:val="auto"/>
        <w:rPr>
          <w:rFonts w:ascii="Times New Roman" w:hAnsi="Times New Roman" w:eastAsia="黑体"/>
          <w:sz w:val="32"/>
          <w:szCs w:val="32"/>
          <w:highlight w:val="none"/>
        </w:rPr>
      </w:pPr>
      <w:r>
        <w:rPr>
          <w:rFonts w:ascii="Times New Roman" w:hAnsi="Times New Roman" w:eastAsia="黑体"/>
          <w:sz w:val="32"/>
          <w:szCs w:val="32"/>
          <w:highlight w:val="none"/>
        </w:rPr>
        <w:t>四、国有资本经营预算支出情况</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本单位无国有资本经营安排的支出。</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0"/>
        <w:textAlignment w:val="auto"/>
        <w:rPr>
          <w:rFonts w:ascii="Times New Roman" w:hAnsi="Times New Roman" w:eastAsia="黑体"/>
          <w:sz w:val="32"/>
          <w:szCs w:val="32"/>
          <w:highlight w:val="none"/>
        </w:rPr>
      </w:pPr>
      <w:r>
        <w:rPr>
          <w:rFonts w:ascii="Times New Roman" w:hAnsi="Times New Roman" w:eastAsia="黑体"/>
          <w:sz w:val="32"/>
          <w:szCs w:val="32"/>
          <w:highlight w:val="none"/>
        </w:rPr>
        <w:t>五、社会保险基金预算支出情况</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本单位无社会保险基金安排的支出。</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0"/>
        <w:textAlignment w:val="auto"/>
        <w:rPr>
          <w:rFonts w:ascii="Times New Roman" w:hAnsi="Times New Roman" w:eastAsia="黑体"/>
          <w:sz w:val="32"/>
          <w:szCs w:val="32"/>
          <w:highlight w:val="none"/>
        </w:rPr>
      </w:pPr>
      <w:r>
        <w:rPr>
          <w:rFonts w:ascii="Times New Roman" w:hAnsi="Times New Roman" w:eastAsia="黑体"/>
          <w:sz w:val="32"/>
          <w:szCs w:val="32"/>
          <w:highlight w:val="none"/>
        </w:rPr>
        <w:t>六、部门整体支出绩效情况</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2024年度本单位进一步规范管理，建立健全各项管理制度，组织修订了差旅费报销制度、固定资产处置流程、公务租车报账依据及电子卖场采购规定等制度，为工作稳定有序地开展提供了有力的制度保障；同时认真贯彻《公共机构节能条例》积极推动单位节能降耗工作；按照“精打细算、勤俭节约、过紧日子”的原则，严格控制运行成本，“三公”经费财政拨款支出较上年有下降。2024年部门财政拨款收入年初预算1,153.58万元，其中基本支出预算716.38万元，实际支出678.80万元，预算执行率为94.75%，单位在职人员数18人，编制数25人，控制率为72%，在职人员在编制控制范围内。</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2024年度本单位整体支出绩效主要指标有：1.畜禽产品检测任务监督抽查3210批次；2.兽药及兽药残留检测任务1280批次；3.饲料检测任务400批次；4.完成下达的兽药企业信息采集率任务；5.检测参数完成率100%；6.检测结果准确率100%；7.兽药、饲料检测等按时完成率100%；8.兽药、饲料畜产品质量安全监管检测时效完成率100%；9.规定时间内完成检测任务结果上报完成率100%；10.兽药报批及批签发通过率大于95%等。以上指标本单位均已完成，其中：畜禽产品检测任务监督抽查完成3877批次；兽药及兽药残留检测任务完成1523批次；饲料检测任务完成496批次；兽药报批及批签发通过率达到了100%。</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2024年度，本单位坚持“质量第一、科学公正、准确高效”的质量方针，根据各级畜牧水产管理部门和兽药、饲料及畜产品生产经营企业不断增长的质量要求，为各级畜牧水产行政执法及兽药、饲料、畜禽产品生产经营活动提供及时、科学的技术支撑。</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sz w:val="32"/>
          <w:szCs w:val="32"/>
          <w:highlight w:val="none"/>
          <w:lang w:val="en-US" w:eastAsia="zh-CN"/>
        </w:rPr>
        <w:t>1.</w:t>
      </w:r>
      <w:r>
        <w:rPr>
          <w:rFonts w:hint="eastAsia" w:ascii="楷体_GB2312" w:hAnsi="楷体_GB2312" w:eastAsia="楷体_GB2312" w:cs="楷体_GB2312"/>
          <w:b/>
          <w:sz w:val="32"/>
          <w:szCs w:val="32"/>
          <w:highlight w:val="none"/>
        </w:rPr>
        <w:t>检验监测工作</w:t>
      </w:r>
      <w:r>
        <w:rPr>
          <w:rFonts w:hint="eastAsia" w:ascii="楷体_GB2312" w:hAnsi="楷体_GB2312" w:eastAsia="楷体_GB2312" w:cs="楷体_GB2312"/>
          <w:b/>
          <w:sz w:val="32"/>
          <w:szCs w:val="32"/>
          <w:highlight w:val="none"/>
          <w:lang w:eastAsia="zh-CN"/>
        </w:rPr>
        <w:t>。</w:t>
      </w:r>
      <w:r>
        <w:rPr>
          <w:rFonts w:hint="eastAsia" w:ascii="Times New Roman" w:hAnsi="Times New Roman" w:eastAsia="仿宋_GB2312" w:cs="Times New Roman"/>
          <w:kern w:val="2"/>
          <w:sz w:val="32"/>
          <w:szCs w:val="32"/>
          <w:highlight w:val="none"/>
          <w:lang w:val="en-US" w:eastAsia="zh-CN" w:bidi="ar-SA"/>
        </w:rPr>
        <w:t>完成兽药、饲料、畜禽产品、生鲜乳等的监督抽查、残留监控、风险监测、报批文复核检验、委托检验等七大类18小类任务的样品抽取7626批次。畜禽产品质量安全监测3877批次，检出不合格样品13批次，合格率为99.7%。兽药质量监测369批次，其中不合格13批次，合格率为96.5%。兽药残留监测101批次。合格率100%。兽药办批文复核检验1053批次。合格率100%。饲料质量安全监测496批次。包括饲料质量安全监督435批次，合格率为100%。饲料质量安全风险预警监测61批次。生鲜乳质量安全监测60批次。合格率100%。细菌耐药性监测940批次。分离、鉴定细菌：大肠杆菌254株、肠球菌200株、沙门氏菌+黄色葡萄球菌66株、弯曲杆菌38株（弯曲杆菌的任务数是5株）。赴7个重点地市的20多个县区的150多个水产养殖场、兽药经营店、饲料经营店、渔具经营店抽取了595个水产用兽药、饲料、饵料及水质改良剂、底泥改良剂等产品，进行非法添加的筛查确证。共筛查出51个问题样品（含疑似）。</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sz w:val="32"/>
          <w:szCs w:val="32"/>
          <w:highlight w:val="none"/>
          <w:lang w:val="en-US" w:eastAsia="zh-CN"/>
        </w:rPr>
        <w:t>2.服务行业工作。</w:t>
      </w:r>
      <w:r>
        <w:rPr>
          <w:rFonts w:hint="eastAsia" w:ascii="Times New Roman" w:hAnsi="Times New Roman" w:eastAsia="仿宋_GB2312" w:cs="Times New Roman"/>
          <w:kern w:val="2"/>
          <w:sz w:val="32"/>
          <w:szCs w:val="32"/>
          <w:highlight w:val="none"/>
          <w:lang w:val="en-US" w:eastAsia="zh-CN" w:bidi="ar-SA"/>
        </w:rPr>
        <w:t>派出专家参与行业管理。全年共派出148人次参加国家和省兽药GMP、饲料生产许可现场检查、农产品检验检测机构现场考核评审、无疫小区建设、“双随机一公开”检验检测机构飞行检查、检验检测机构培训等。服务援疆大业。选派1名专业技术骨干参与柔性援疆，并先后担任“小组团”的副团队长、团队长，指导和帮助吐鲁番市农检中心顺利通过了“双认证”。支持服务检测体系。组织跟班培训，培训市县质检人员、饲料兽药生产企业检验人员及高校学员48人次。“绿色通道”助力企业高质量发展。2023年，本单位为服务行业高质量发展，开辟了面向全省的特殊检验“绿色通道”。2024全年共检验135批次，包含兽药委托检验101批次，饲料产品委托检验23批次，畜禽产品委托检验11批次。指导并推动省兽药行业大力发展新质生产力。</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sz w:val="32"/>
          <w:szCs w:val="32"/>
          <w:highlight w:val="none"/>
          <w:lang w:val="en-US" w:eastAsia="zh-CN"/>
        </w:rPr>
        <w:t>3.其他工作。</w:t>
      </w:r>
      <w:r>
        <w:rPr>
          <w:rFonts w:hint="eastAsia" w:ascii="Times New Roman" w:hAnsi="Times New Roman" w:eastAsia="仿宋_GB2312" w:cs="Times New Roman"/>
          <w:kern w:val="2"/>
          <w:sz w:val="32"/>
          <w:szCs w:val="32"/>
          <w:highlight w:val="none"/>
          <w:lang w:val="en-US" w:eastAsia="zh-CN" w:bidi="ar-SA"/>
        </w:rPr>
        <w:t>组织全省32家农产品（畜禽产品）兽药和违禁添加物残留测定能力验证初验和复验工作。全年参加农业农村部、省市场监督管理局等部门组织的有关兽药、畜产品及生鲜乳能力验证6次18项，结果均一次性通过。精心准备迎接省厅组织的监测质量评估和省市场监管局质量复核工作。省厅和省市场监管局分别于8月和11月外聘专家通过查阅资料、现场检查、座谈交流等方式，对本单位的资质能力、体系运行、质量控制、检测工作和档案资料等内容进行了评估，获得了专家们的一致好评。承担农业农村部动物源细菌耐药性监测重点实验室开放课题“多西环素对鸡肠道菌群的影响及其耐药性产生规律的研究”，完成《饲料中141种兽药及相关化学品的含量测定 液相色谱串联质谱法》湖南省地方标准的报批稿。参与制定《饲料添加剂 氨基酸锰络合物》国家团体标准4项。在《现代畜牧科技》、《畜牧业环境》等发表论文7篇。</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0"/>
        <w:textAlignment w:val="auto"/>
        <w:rPr>
          <w:rFonts w:ascii="Times New Roman" w:hAnsi="Times New Roman" w:eastAsia="黑体"/>
          <w:sz w:val="32"/>
          <w:szCs w:val="32"/>
          <w:highlight w:val="none"/>
        </w:rPr>
      </w:pPr>
      <w:r>
        <w:rPr>
          <w:rFonts w:ascii="Times New Roman" w:hAnsi="Times New Roman" w:eastAsia="黑体"/>
          <w:sz w:val="32"/>
          <w:szCs w:val="32"/>
          <w:highlight w:val="none"/>
        </w:rPr>
        <w:t>七、存在的问题及原因分析</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本单位绩效目标执行情况较好，但有“带动兽药行业收入增长”这一指标因无法取得详实数据，造成无法准确进行计量。</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0"/>
        <w:textAlignment w:val="auto"/>
        <w:rPr>
          <w:rFonts w:ascii="Times New Roman" w:hAnsi="Times New Roman" w:eastAsia="黑体"/>
          <w:sz w:val="32"/>
          <w:szCs w:val="32"/>
          <w:highlight w:val="none"/>
        </w:rPr>
      </w:pPr>
      <w:r>
        <w:rPr>
          <w:rFonts w:ascii="Times New Roman" w:hAnsi="Times New Roman" w:eastAsia="黑体"/>
          <w:sz w:val="32"/>
          <w:szCs w:val="32"/>
          <w:highlight w:val="none"/>
        </w:rPr>
        <w:t>八、下一步改进措施</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为进一步改进和提高绩效管理工作，本单位将实施以下三项改进措施：</w:t>
      </w:r>
    </w:p>
    <w:p>
      <w:pPr>
        <w:keepNext w:val="0"/>
        <w:keepLines w:val="0"/>
        <w:pageBreakBefore w:val="0"/>
        <w:widowControl w:val="0"/>
        <w:shd w:val="clear"/>
        <w:kinsoku/>
        <w:wordWrap/>
        <w:overflowPunct/>
        <w:topLinePunct w:val="0"/>
        <w:autoSpaceDE/>
        <w:autoSpaceDN/>
        <w:bidi w:val="0"/>
        <w:adjustRightInd/>
        <w:spacing w:line="580" w:lineRule="atLeast"/>
        <w:ind w:left="0" w:leftChars="0"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sz w:val="32"/>
          <w:szCs w:val="32"/>
          <w:highlight w:val="none"/>
          <w:lang w:val="en-US" w:eastAsia="zh-CN"/>
        </w:rPr>
        <w:t>1.强化预算绩效管理，建立健全绩效管理机制。</w:t>
      </w:r>
      <w:r>
        <w:rPr>
          <w:rFonts w:hint="eastAsia" w:ascii="Times New Roman" w:hAnsi="Times New Roman" w:eastAsia="仿宋_GB2312" w:cs="Times New Roman"/>
          <w:kern w:val="2"/>
          <w:sz w:val="32"/>
          <w:szCs w:val="32"/>
          <w:highlight w:val="none"/>
          <w:lang w:val="en-US" w:eastAsia="zh-CN" w:bidi="ar-SA"/>
        </w:rPr>
        <w:t>深入贯彻落实预算绩效管理相关政策精神，加强预算绩效管理工作组织领导，进一步提高思想认识，不断提升预算绩效管理水平，切实提高财政资金使用效益。</w:t>
      </w:r>
    </w:p>
    <w:p>
      <w:pPr>
        <w:keepNext w:val="0"/>
        <w:keepLines w:val="0"/>
        <w:pageBreakBefore w:val="0"/>
        <w:widowControl w:val="0"/>
        <w:shd w:val="clear"/>
        <w:kinsoku/>
        <w:wordWrap/>
        <w:overflowPunct/>
        <w:topLinePunct w:val="0"/>
        <w:autoSpaceDE/>
        <w:autoSpaceDN/>
        <w:bidi w:val="0"/>
        <w:adjustRightInd/>
        <w:spacing w:line="580" w:lineRule="atLeast"/>
        <w:ind w:left="0" w:leftChars="0" w:firstLine="640" w:firstLineChars="20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sz w:val="32"/>
          <w:szCs w:val="32"/>
          <w:highlight w:val="none"/>
          <w:lang w:val="en-US" w:eastAsia="zh-CN"/>
        </w:rPr>
        <w:t>2.规范绩效目标编制，提升绩效目标编制质量。</w:t>
      </w:r>
      <w:r>
        <w:rPr>
          <w:rFonts w:hint="eastAsia" w:ascii="Times New Roman" w:hAnsi="Times New Roman" w:eastAsia="仿宋_GB2312" w:cs="Times New Roman"/>
          <w:kern w:val="2"/>
          <w:sz w:val="32"/>
          <w:szCs w:val="32"/>
          <w:highlight w:val="none"/>
          <w:lang w:val="en-US" w:eastAsia="zh-CN" w:bidi="ar-SA"/>
        </w:rPr>
        <w:t>应结合单位职责、项目实施实际，分解细化工作要求，科学设置绩效目标和相关指标。规范绩效目标编制，确保绩效目标与单位整体战略和年度工作计划相衔接，具有可衡量性、可实现性和时效性。</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sz w:val="32"/>
          <w:szCs w:val="32"/>
          <w:highlight w:val="none"/>
          <w:lang w:val="en-US" w:eastAsia="zh-CN"/>
        </w:rPr>
        <w:t>3.加强绩效自评工作，提高自评报告质量。</w:t>
      </w:r>
      <w:r>
        <w:rPr>
          <w:rFonts w:hint="eastAsia" w:ascii="Times New Roman" w:hAnsi="Times New Roman" w:eastAsia="仿宋_GB2312" w:cs="Times New Roman"/>
          <w:kern w:val="2"/>
          <w:sz w:val="32"/>
          <w:szCs w:val="32"/>
          <w:highlight w:val="none"/>
          <w:lang w:val="en-US" w:eastAsia="zh-CN" w:bidi="ar-SA"/>
        </w:rPr>
        <w:t>建立健全项目和政策绩效自评工作机制，加快项目和政策绩效自评全覆盖。如实反映绩效目标实现结果，对绩效目标未达成或目标制定明显不合理的，要作出说明并提出改进措施。</w:t>
      </w:r>
    </w:p>
    <w:p>
      <w:pPr>
        <w:pStyle w:val="21"/>
        <w:keepNext w:val="0"/>
        <w:keepLines w:val="0"/>
        <w:pageBreakBefore w:val="0"/>
        <w:widowControl w:val="0"/>
        <w:shd w:val="clear"/>
        <w:kinsoku/>
        <w:wordWrap/>
        <w:overflowPunct/>
        <w:topLinePunct w:val="0"/>
        <w:autoSpaceDE/>
        <w:autoSpaceDN/>
        <w:bidi w:val="0"/>
        <w:adjustRightInd/>
        <w:snapToGrid w:val="0"/>
        <w:spacing w:line="580" w:lineRule="atLeast"/>
        <w:ind w:firstLine="640"/>
        <w:textAlignment w:val="auto"/>
        <w:rPr>
          <w:rFonts w:ascii="Times New Roman" w:hAnsi="Times New Roman" w:eastAsia="黑体"/>
          <w:sz w:val="32"/>
          <w:szCs w:val="32"/>
          <w:highlight w:val="none"/>
        </w:rPr>
      </w:pPr>
      <w:r>
        <w:rPr>
          <w:rFonts w:ascii="Times New Roman" w:hAnsi="Times New Roman" w:eastAsia="黑体"/>
          <w:sz w:val="32"/>
          <w:szCs w:val="32"/>
          <w:highlight w:val="none"/>
        </w:rPr>
        <w:t>九、绩效自评结果拟应用和公开情况</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本单位拟对绩效自评结果进行一下几个方面进行应用。</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1.建立问题整改落实机制，对自评中发现的问题进行逐一梳理和分析，制定具体的整改措施和时间表，确保问题得到有效解决。</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2.将自评结果作为加强预算管理、完善政策和改进管理的重要依据，进一步优化预算编制和执行流程，提高预算资金使用效率。</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3.强化绩效评价结果的约束，建立评价结果与下一年度预算安排和项目调整挂钩机制，保障好项目良好执行。</w:t>
      </w:r>
    </w:p>
    <w:p>
      <w:pPr>
        <w:keepNext w:val="0"/>
        <w:keepLines w:val="0"/>
        <w:pageBreakBefore w:val="0"/>
        <w:widowControl w:val="0"/>
        <w:shd w:val="clear"/>
        <w:kinsoku/>
        <w:wordWrap/>
        <w:overflowPunct/>
        <w:topLinePunct w:val="0"/>
        <w:autoSpaceDE/>
        <w:autoSpaceDN/>
        <w:bidi w:val="0"/>
        <w:adjustRightInd/>
        <w:spacing w:line="580" w:lineRule="atLeast"/>
        <w:ind w:firstLine="640"/>
        <w:textAlignment w:val="auto"/>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通过绩效自评工作进一步提升事业单位财政资金使用效益和管理水平。</w:t>
      </w:r>
    </w:p>
    <w:p>
      <w:pPr>
        <w:shd w:val="clear"/>
        <w:spacing w:line="570" w:lineRule="atLeast"/>
        <w:ind w:firstLine="640"/>
        <w:rPr>
          <w:rFonts w:hint="eastAsia" w:ascii="Times New Roman" w:hAnsi="Times New Roman" w:eastAsia="仿宋_GB2312" w:cs="Times New Roman"/>
          <w:kern w:val="2"/>
          <w:sz w:val="32"/>
          <w:szCs w:val="32"/>
          <w:highlight w:val="none"/>
          <w:lang w:val="en-US" w:eastAsia="zh-CN" w:bidi="ar-SA"/>
        </w:rPr>
      </w:pPr>
    </w:p>
    <w:p>
      <w:pPr>
        <w:shd w:val="clear"/>
        <w:rPr>
          <w:rFonts w:ascii="Times New Roman" w:hAnsi="Times New Roman" w:cs="Times New Roman"/>
          <w:sz w:val="72"/>
          <w:szCs w:val="72"/>
          <w:highlight w:val="none"/>
        </w:rPr>
      </w:pPr>
      <w:r>
        <w:rPr>
          <w:rFonts w:ascii="Times New Roman" w:hAnsi="Times New Roman" w:cs="Times New Roman"/>
          <w:sz w:val="72"/>
          <w:szCs w:val="72"/>
          <w:highlight w:val="none"/>
        </w:rPr>
        <w:br w:type="page"/>
      </w:r>
    </w:p>
    <w:p>
      <w:pPr>
        <w:pStyle w:val="3"/>
        <w:shd w:val="clear"/>
        <w:ind w:firstLine="0" w:firstLineChars="0"/>
      </w:pPr>
      <w:r>
        <w:t>附件1</w:t>
      </w:r>
    </w:p>
    <w:p>
      <w:pPr>
        <w:pStyle w:val="2"/>
        <w:shd w:val="clear"/>
        <w:spacing w:before="144" w:beforeLines="25" w:after="144" w:afterLines="25" w:line="500" w:lineRule="exact"/>
        <w:rPr>
          <w:sz w:val="36"/>
          <w:szCs w:val="36"/>
        </w:rPr>
      </w:pPr>
      <w:r>
        <w:rPr>
          <w:sz w:val="36"/>
          <w:szCs w:val="36"/>
        </w:rPr>
        <w:t>部门整体支出绩效评价基础数据表</w:t>
      </w:r>
    </w:p>
    <w:tbl>
      <w:tblPr>
        <w:tblStyle w:val="10"/>
        <w:tblW w:w="9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5"/>
        <w:gridCol w:w="1038"/>
        <w:gridCol w:w="992"/>
        <w:gridCol w:w="1108"/>
        <w:gridCol w:w="1111"/>
        <w:gridCol w:w="969"/>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财政供养人员情况</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编制数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2024年实际在职人数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25</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18</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经费控制情况</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2023年决算数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2024年预算数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2024年决算数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三公经费</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2.05</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5.00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w:t>
            </w:r>
            <w:r>
              <w:rPr>
                <w:rFonts w:hint="eastAsia" w:ascii="仿宋_GB2312" w:hAnsi="仿宋_GB2312" w:eastAsia="仿宋_GB2312" w:cs="仿宋_GB2312"/>
                <w:kern w:val="0"/>
                <w:sz w:val="21"/>
                <w:szCs w:val="21"/>
                <w:lang w:val="en-US" w:eastAsia="zh-CN"/>
              </w:rPr>
              <w:t xml:space="preserve"> </w:t>
            </w:r>
            <w:r>
              <w:rPr>
                <w:rFonts w:hint="eastAsia" w:ascii="仿宋_GB2312" w:hAnsi="仿宋_GB2312" w:eastAsia="仿宋_GB2312" w:cs="仿宋_GB2312"/>
                <w:kern w:val="0"/>
                <w:sz w:val="21"/>
                <w:szCs w:val="21"/>
              </w:rPr>
              <w:t>1、公务用车购置和维护经费</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1.87</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其中：公车购置</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0.00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公车运行维护</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1.87</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2、出国经费</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0.00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3、公务接待</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0.18</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2.00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项目支出：</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lang w:val="en-US" w:eastAsia="zh-CN"/>
              </w:rPr>
              <w:t>610.08</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1109.12</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1102.62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1、业务工作经费</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0.00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0.00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2、运行维护经费</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0.00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0.00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left="0" w:leftChars="0" w:firstLine="210" w:firstLineChars="100"/>
              <w:jc w:val="left"/>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rPr>
              <w:t>3、省级专项资金</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lang w:val="en-US" w:eastAsia="zh-CN"/>
              </w:rPr>
              <w:t>468.20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437.20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433.52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420"/>
              <w:jc w:val="left"/>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rPr>
              <w:t>现代农业发展</w:t>
            </w:r>
            <w:r>
              <w:rPr>
                <w:rFonts w:hint="eastAsia" w:ascii="仿宋_GB2312" w:hAnsi="仿宋_GB2312" w:eastAsia="仿宋_GB2312" w:cs="仿宋_GB2312"/>
                <w:kern w:val="0"/>
                <w:sz w:val="21"/>
                <w:szCs w:val="21"/>
                <w:highlight w:val="none"/>
                <w:lang w:val="en-US" w:eastAsia="zh-CN"/>
              </w:rPr>
              <w:t>专项</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sz w:val="21"/>
                <w:szCs w:val="21"/>
                <w:highlight w:val="none"/>
                <w:lang w:val="en-US" w:eastAsia="zh-CN"/>
              </w:rPr>
              <w:t>468.20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437.20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433.52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left="0" w:leftChars="0" w:firstLine="210" w:firstLineChars="10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4、其他事业类发展资金</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default" w:ascii="仿宋_GB2312" w:hAnsi="仿宋_GB2312" w:eastAsia="仿宋_GB2312" w:cs="仿宋_GB2312"/>
                <w:kern w:val="0"/>
                <w:sz w:val="21"/>
                <w:szCs w:val="21"/>
                <w:lang w:val="en-US"/>
              </w:rPr>
            </w:pPr>
            <w:r>
              <w:rPr>
                <w:rFonts w:hint="eastAsia" w:ascii="仿宋_GB2312" w:hAnsi="仿宋_GB2312" w:cs="仿宋_GB2312"/>
                <w:kern w:val="0"/>
                <w:sz w:val="21"/>
                <w:szCs w:val="21"/>
                <w:lang w:val="en-US" w:eastAsia="zh-CN"/>
              </w:rPr>
              <w:t>141.88</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default"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671.92</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default"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669.10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公用经费</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42.06</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34.17</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rPr>
              <w:t>29.9</w:t>
            </w:r>
            <w:r>
              <w:rPr>
                <w:rFonts w:hint="eastAsia" w:ascii="仿宋_GB2312" w:hAnsi="仿宋_GB2312" w:eastAsia="仿宋_GB2312" w:cs="仿宋_GB2312"/>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其中：办公费</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1.00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0.50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水费、电费、差旅费</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0.00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0.00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会议费、培训费</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0.00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0.00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政府采购金额</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611.92</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854.44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部门基本支出预算调整 </w:t>
            </w:r>
          </w:p>
        </w:tc>
        <w:tc>
          <w:tcPr>
            <w:tcW w:w="203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75"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楼堂馆所控制情况</w:t>
            </w:r>
            <w:r>
              <w:rPr>
                <w:rFonts w:hint="eastAsia" w:ascii="仿宋_GB2312" w:hAnsi="仿宋_GB2312" w:eastAsia="仿宋_GB2312" w:cs="仿宋_GB2312"/>
                <w:kern w:val="0"/>
                <w:sz w:val="21"/>
                <w:szCs w:val="21"/>
              </w:rPr>
              <w:br w:type="textWrapping"/>
            </w:r>
            <w:r>
              <w:rPr>
                <w:rFonts w:hint="eastAsia" w:ascii="仿宋_GB2312" w:hAnsi="仿宋_GB2312" w:eastAsia="仿宋_GB2312" w:cs="仿宋_GB2312"/>
                <w:kern w:val="0"/>
                <w:sz w:val="21"/>
                <w:szCs w:val="21"/>
              </w:rPr>
              <w:t>（2024年完工项目）</w:t>
            </w:r>
          </w:p>
        </w:tc>
        <w:tc>
          <w:tcPr>
            <w:tcW w:w="1038"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批复规模</w:t>
            </w:r>
            <w:r>
              <w:rPr>
                <w:rFonts w:hint="eastAsia" w:ascii="仿宋_GB2312" w:hAnsi="仿宋_GB2312" w:eastAsia="仿宋_GB2312" w:cs="仿宋_GB2312"/>
                <w:bCs/>
                <w:kern w:val="0"/>
                <w:sz w:val="21"/>
                <w:szCs w:val="21"/>
              </w:rPr>
              <w:br w:type="textWrapping"/>
            </w:r>
            <w:r>
              <w:rPr>
                <w:rFonts w:hint="eastAsia" w:ascii="仿宋_GB2312" w:hAnsi="仿宋_GB2312" w:eastAsia="仿宋_GB2312" w:cs="仿宋_GB2312"/>
                <w:bCs/>
                <w:kern w:val="0"/>
                <w:sz w:val="21"/>
                <w:szCs w:val="21"/>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实际</w:t>
            </w:r>
          </w:p>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规模</w:t>
            </w:r>
          </w:p>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规模</w:t>
            </w:r>
          </w:p>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控制率</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预算投资（万元）</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实际</w:t>
            </w:r>
          </w:p>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投资</w:t>
            </w:r>
          </w:p>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（万元）</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投资</w:t>
            </w:r>
          </w:p>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概算</w:t>
            </w:r>
          </w:p>
          <w:p>
            <w:pPr>
              <w:widowControl/>
              <w:shd w:val="clear"/>
              <w:adjustRightInd/>
              <w:snapToGrid/>
              <w:spacing w:line="280" w:lineRule="exact"/>
              <w:ind w:firstLine="0" w:firstLineChars="0"/>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7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left"/>
              <w:rPr>
                <w:rFonts w:hint="eastAsia" w:ascii="仿宋_GB2312" w:hAnsi="仿宋_GB2312" w:eastAsia="仿宋_GB2312" w:cs="仿宋_GB2312"/>
                <w:kern w:val="0"/>
                <w:sz w:val="21"/>
                <w:szCs w:val="21"/>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7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厉行节约保障措施</w:t>
            </w:r>
          </w:p>
        </w:tc>
        <w:tc>
          <w:tcPr>
            <w:tcW w:w="6283" w:type="dxa"/>
            <w:gridSpan w:val="6"/>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napToGrid/>
              <w:spacing w:line="280" w:lineRule="exact"/>
              <w:ind w:firstLine="0" w:firstLineChars="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w:t>
            </w:r>
          </w:p>
        </w:tc>
      </w:tr>
    </w:tbl>
    <w:p>
      <w:pPr>
        <w:shd w:val="clear"/>
        <w:adjustRightInd/>
        <w:snapToGrid/>
        <w:spacing w:line="360" w:lineRule="exact"/>
        <w:ind w:firstLine="0" w:firstLineChars="0"/>
        <w:rPr>
          <w:kern w:val="0"/>
          <w:sz w:val="22"/>
          <w:szCs w:val="22"/>
        </w:rPr>
      </w:pPr>
      <w:r>
        <w:rPr>
          <w:kern w:val="0"/>
          <w:sz w:val="22"/>
          <w:szCs w:val="22"/>
        </w:rPr>
        <w:t>说明：“项目支出”需要填报基本支出以外的所有项目支出情况，“公用经费”填报基本支出中的一般商品和服务支出。</w:t>
      </w:r>
    </w:p>
    <w:p>
      <w:pPr>
        <w:pStyle w:val="3"/>
        <w:keepNext w:val="0"/>
        <w:keepLines w:val="0"/>
        <w:pageBreakBefore w:val="0"/>
        <w:widowControl w:val="0"/>
        <w:shd w:val="clear"/>
        <w:kinsoku/>
        <w:wordWrap/>
        <w:overflowPunct/>
        <w:topLinePunct w:val="0"/>
        <w:autoSpaceDE/>
        <w:autoSpaceDN/>
        <w:bidi w:val="0"/>
        <w:adjustRightInd w:val="0"/>
        <w:snapToGrid w:val="0"/>
        <w:spacing w:line="439" w:lineRule="atLeast"/>
        <w:ind w:firstLine="0" w:firstLineChars="0"/>
        <w:textAlignment w:val="auto"/>
      </w:pPr>
      <w:r>
        <w:rPr>
          <w:kern w:val="0"/>
          <w:sz w:val="22"/>
          <w:szCs w:val="22"/>
        </w:rPr>
        <w:br w:type="page"/>
      </w:r>
      <w:r>
        <w:t>附件2</w:t>
      </w:r>
    </w:p>
    <w:p>
      <w:pPr>
        <w:pStyle w:val="2"/>
        <w:shd w:val="clear"/>
        <w:spacing w:before="144" w:beforeLines="25" w:line="500" w:lineRule="exact"/>
        <w:rPr>
          <w:sz w:val="36"/>
          <w:szCs w:val="36"/>
        </w:rPr>
      </w:pPr>
      <w:r>
        <w:rPr>
          <w:sz w:val="36"/>
          <w:szCs w:val="36"/>
        </w:rPr>
        <w:t>部门整体支出绩效自评表</w:t>
      </w:r>
    </w:p>
    <w:p>
      <w:pPr>
        <w:keepNext w:val="0"/>
        <w:keepLines w:val="0"/>
        <w:pageBreakBefore w:val="0"/>
        <w:widowControl/>
        <w:shd w:val="clear"/>
        <w:kinsoku/>
        <w:wordWrap/>
        <w:overflowPunct/>
        <w:topLinePunct w:val="0"/>
        <w:autoSpaceDE/>
        <w:autoSpaceDN/>
        <w:bidi w:val="0"/>
        <w:adjustRightInd/>
        <w:snapToGrid/>
        <w:spacing w:line="320" w:lineRule="exact"/>
        <w:ind w:firstLine="0" w:firstLineChars="0"/>
        <w:jc w:val="center"/>
        <w:textAlignment w:val="auto"/>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0"/>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875"/>
        <w:gridCol w:w="913"/>
        <w:gridCol w:w="2122"/>
        <w:gridCol w:w="423"/>
        <w:gridCol w:w="1140"/>
        <w:gridCol w:w="1140"/>
        <w:gridCol w:w="540"/>
        <w:gridCol w:w="672"/>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19"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rPr>
                <w:rFonts w:hint="eastAsia" w:eastAsia="仿宋_GB2312"/>
                <w:color w:val="000000"/>
                <w:kern w:val="0"/>
                <w:sz w:val="21"/>
                <w:szCs w:val="21"/>
                <w:lang w:eastAsia="zh-CN"/>
              </w:rPr>
            </w:pPr>
            <w:r>
              <w:rPr>
                <w:color w:val="000000"/>
                <w:kern w:val="0"/>
                <w:sz w:val="21"/>
                <w:szCs w:val="21"/>
              </w:rPr>
              <w:t>省级预算部门名称</w:t>
            </w:r>
          </w:p>
        </w:tc>
        <w:tc>
          <w:tcPr>
            <w:tcW w:w="7604" w:type="dxa"/>
            <w:gridSpan w:val="7"/>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rPr>
                <w:rFonts w:hint="eastAsia"/>
                <w:color w:val="000000"/>
                <w:kern w:val="0"/>
                <w:sz w:val="21"/>
                <w:szCs w:val="21"/>
                <w:lang w:val="en-US" w:eastAsia="zh-CN"/>
              </w:rPr>
            </w:pPr>
            <w:r>
              <w:rPr>
                <w:rFonts w:hint="eastAsia"/>
                <w:color w:val="000000"/>
                <w:kern w:val="0"/>
                <w:sz w:val="21"/>
                <w:szCs w:val="21"/>
                <w:lang w:val="en-US" w:eastAsia="zh-CN"/>
              </w:rPr>
              <w:t>湖南省兽药饲料监察所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rPr>
                <w:color w:val="000000"/>
                <w:kern w:val="0"/>
                <w:sz w:val="21"/>
                <w:szCs w:val="21"/>
              </w:rPr>
            </w:pPr>
            <w:r>
              <w:rPr>
                <w:color w:val="000000"/>
                <w:kern w:val="0"/>
                <w:sz w:val="21"/>
                <w:szCs w:val="21"/>
              </w:rPr>
              <w:t>年度预</w:t>
            </w:r>
          </w:p>
          <w:p>
            <w:pPr>
              <w:widowControl/>
              <w:shd w:val="clear"/>
              <w:adjustRightInd/>
              <w:spacing w:line="280" w:lineRule="exact"/>
              <w:ind w:firstLine="0" w:firstLineChars="0"/>
              <w:jc w:val="center"/>
              <w:rPr>
                <w:color w:val="000000"/>
                <w:kern w:val="0"/>
                <w:sz w:val="21"/>
                <w:szCs w:val="21"/>
              </w:rPr>
            </w:pPr>
            <w:r>
              <w:rPr>
                <w:color w:val="000000"/>
                <w:kern w:val="0"/>
                <w:sz w:val="21"/>
                <w:szCs w:val="21"/>
              </w:rPr>
              <w:t>算申请</w:t>
            </w:r>
            <w:r>
              <w:rPr>
                <w:color w:val="000000"/>
                <w:kern w:val="0"/>
                <w:sz w:val="21"/>
                <w:szCs w:val="21"/>
              </w:rPr>
              <w:br w:type="textWrapping"/>
            </w:r>
            <w:r>
              <w:rPr>
                <w:color w:val="000000"/>
                <w:kern w:val="0"/>
                <w:sz w:val="18"/>
                <w:szCs w:val="18"/>
              </w:rPr>
              <w:t>（万元）</w:t>
            </w:r>
          </w:p>
        </w:tc>
        <w:tc>
          <w:tcPr>
            <w:tcW w:w="178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p>
        </w:tc>
        <w:tc>
          <w:tcPr>
            <w:tcW w:w="21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sz w:val="21"/>
                <w:szCs w:val="21"/>
              </w:rPr>
              <w:t>年初</w:t>
            </w:r>
          </w:p>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sz w:val="21"/>
                <w:szCs w:val="21"/>
              </w:rPr>
              <w:t>预算数</w:t>
            </w:r>
          </w:p>
        </w:tc>
        <w:tc>
          <w:tcPr>
            <w:tcW w:w="15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sz w:val="21"/>
                <w:szCs w:val="21"/>
              </w:rPr>
              <w:t>全年预算数</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sz w:val="21"/>
                <w:szCs w:val="21"/>
              </w:rPr>
              <w:t>全年</w:t>
            </w:r>
          </w:p>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sz w:val="21"/>
                <w:szCs w:val="21"/>
              </w:rPr>
              <w:t>执行数</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sz w:val="21"/>
                <w:szCs w:val="21"/>
              </w:rPr>
              <w:t>分值</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sz w:val="21"/>
                <w:szCs w:val="21"/>
              </w:rPr>
              <w:t>执行率</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178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color w:val="000000"/>
                <w:kern w:val="0"/>
                <w:sz w:val="21"/>
                <w:szCs w:val="21"/>
              </w:rPr>
              <w:t>年度资金总额</w:t>
            </w:r>
          </w:p>
        </w:tc>
        <w:tc>
          <w:tcPr>
            <w:tcW w:w="21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rFonts w:hint="eastAsia"/>
                <w:sz w:val="21"/>
                <w:szCs w:val="21"/>
              </w:rPr>
              <w:t xml:space="preserve">1153.58 </w:t>
            </w:r>
          </w:p>
        </w:tc>
        <w:tc>
          <w:tcPr>
            <w:tcW w:w="15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rFonts w:hint="eastAsia"/>
                <w:sz w:val="21"/>
                <w:szCs w:val="21"/>
              </w:rPr>
              <w:t xml:space="preserve">1825.50 </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rFonts w:hint="eastAsia"/>
                <w:sz w:val="21"/>
                <w:szCs w:val="21"/>
              </w:rPr>
              <w:t xml:space="preserve">1739.54 </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sz w:val="21"/>
                <w:szCs w:val="21"/>
              </w:rPr>
            </w:pPr>
            <w:r>
              <w:rPr>
                <w:sz w:val="21"/>
                <w:szCs w:val="21"/>
              </w:rPr>
              <w:t>10</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tabs>
                <w:tab w:val="left" w:pos="640"/>
              </w:tabs>
              <w:kinsoku/>
              <w:wordWrap/>
              <w:overflowPunct/>
              <w:topLinePunct w:val="0"/>
              <w:autoSpaceDE/>
              <w:autoSpaceDN/>
              <w:bidi w:val="0"/>
              <w:adjustRightInd/>
              <w:snapToGrid w:val="0"/>
              <w:spacing w:line="240" w:lineRule="atLeast"/>
              <w:ind w:firstLine="0" w:firstLineChars="0"/>
              <w:jc w:val="center"/>
              <w:textAlignment w:val="auto"/>
              <w:rPr>
                <w:rFonts w:hint="default" w:eastAsia="仿宋_GB2312"/>
                <w:sz w:val="21"/>
                <w:szCs w:val="21"/>
                <w:lang w:val="en-US" w:eastAsia="zh-CN"/>
              </w:rPr>
            </w:pPr>
            <w:r>
              <w:rPr>
                <w:rFonts w:hint="eastAsia"/>
                <w:sz w:val="21"/>
                <w:szCs w:val="21"/>
                <w:lang w:val="en-US" w:eastAsia="zh-CN"/>
              </w:rPr>
              <w:t>95%</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val="0"/>
              <w:spacing w:line="240" w:lineRule="atLeast"/>
              <w:ind w:firstLine="0" w:firstLineChars="0"/>
              <w:jc w:val="center"/>
              <w:textAlignment w:val="auto"/>
              <w:rPr>
                <w:rFonts w:hint="default" w:eastAsia="仿宋_GB2312"/>
                <w:sz w:val="21"/>
                <w:szCs w:val="21"/>
                <w:lang w:val="en-US" w:eastAsia="zh-CN"/>
              </w:rPr>
            </w:pPr>
            <w:r>
              <w:rPr>
                <w:rFonts w:hint="eastAsia"/>
                <w:sz w:val="21"/>
                <w:szCs w:val="21"/>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5473"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color w:val="000000"/>
                <w:kern w:val="0"/>
                <w:sz w:val="21"/>
                <w:szCs w:val="21"/>
              </w:rPr>
              <w:t>按收入性质分：</w:t>
            </w:r>
          </w:p>
        </w:tc>
        <w:tc>
          <w:tcPr>
            <w:tcW w:w="3919"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color w:val="000000"/>
                <w:kern w:val="0"/>
                <w:sz w:val="21"/>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5473"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color w:val="000000"/>
                <w:kern w:val="0"/>
                <w:sz w:val="21"/>
                <w:szCs w:val="21"/>
              </w:rPr>
              <w:t xml:space="preserve"> </w:t>
            </w:r>
            <w:r>
              <w:rPr>
                <w:rFonts w:hint="eastAsia"/>
                <w:color w:val="000000"/>
                <w:kern w:val="0"/>
                <w:sz w:val="21"/>
                <w:szCs w:val="21"/>
                <w:lang w:val="en-US" w:eastAsia="zh-CN"/>
              </w:rPr>
              <w:t xml:space="preserve"> </w:t>
            </w:r>
            <w:r>
              <w:rPr>
                <w:color w:val="000000"/>
                <w:kern w:val="0"/>
                <w:sz w:val="21"/>
                <w:szCs w:val="21"/>
              </w:rPr>
              <w:t xml:space="preserve"> 其中： </w:t>
            </w:r>
            <w:r>
              <w:rPr>
                <w:rFonts w:hint="eastAsia"/>
                <w:color w:val="000000"/>
                <w:kern w:val="0"/>
                <w:sz w:val="21"/>
                <w:szCs w:val="21"/>
                <w:lang w:val="en-US" w:eastAsia="zh-CN"/>
              </w:rPr>
              <w:t xml:space="preserve"> </w:t>
            </w:r>
            <w:r>
              <w:rPr>
                <w:color w:val="000000"/>
                <w:kern w:val="0"/>
                <w:sz w:val="21"/>
                <w:szCs w:val="21"/>
              </w:rPr>
              <w:t xml:space="preserve"> 一般公共预算：</w:t>
            </w:r>
            <w:r>
              <w:rPr>
                <w:rFonts w:hint="eastAsia"/>
                <w:sz w:val="21"/>
                <w:szCs w:val="21"/>
              </w:rPr>
              <w:t xml:space="preserve">1825.50 </w:t>
            </w:r>
          </w:p>
        </w:tc>
        <w:tc>
          <w:tcPr>
            <w:tcW w:w="3919"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rFonts w:hint="default" w:eastAsia="仿宋_GB2312"/>
                <w:color w:val="000000"/>
                <w:kern w:val="0"/>
                <w:sz w:val="21"/>
                <w:szCs w:val="21"/>
                <w:lang w:val="en-US" w:eastAsia="zh-CN"/>
              </w:rPr>
            </w:pPr>
            <w:r>
              <w:rPr>
                <w:color w:val="000000"/>
                <w:kern w:val="0"/>
                <w:sz w:val="21"/>
                <w:szCs w:val="21"/>
              </w:rPr>
              <w:t>其中：基本支出：</w:t>
            </w:r>
            <w:r>
              <w:rPr>
                <w:rFonts w:hint="eastAsia"/>
                <w:color w:val="000000"/>
                <w:kern w:val="0"/>
                <w:sz w:val="21"/>
                <w:szCs w:val="21"/>
                <w:lang w:val="en-US" w:eastAsia="zh-CN"/>
              </w:rPr>
              <w:t>636.92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5473"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1260" w:firstLineChars="600"/>
              <w:jc w:val="left"/>
              <w:textAlignment w:val="auto"/>
              <w:rPr>
                <w:color w:val="000000"/>
                <w:kern w:val="0"/>
                <w:sz w:val="21"/>
                <w:szCs w:val="21"/>
              </w:rPr>
            </w:pPr>
            <w:r>
              <w:rPr>
                <w:color w:val="000000"/>
                <w:kern w:val="0"/>
                <w:sz w:val="21"/>
                <w:szCs w:val="21"/>
              </w:rPr>
              <w:t>政府性基金拨款：</w:t>
            </w:r>
          </w:p>
        </w:tc>
        <w:tc>
          <w:tcPr>
            <w:tcW w:w="3919"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630" w:firstLineChars="300"/>
              <w:jc w:val="left"/>
              <w:textAlignment w:val="auto"/>
              <w:rPr>
                <w:color w:val="000000"/>
                <w:kern w:val="0"/>
                <w:sz w:val="21"/>
                <w:szCs w:val="21"/>
              </w:rPr>
            </w:pPr>
            <w:r>
              <w:rPr>
                <w:color w:val="000000"/>
                <w:kern w:val="0"/>
                <w:sz w:val="21"/>
                <w:szCs w:val="21"/>
              </w:rPr>
              <w:t>项目支出：</w:t>
            </w:r>
            <w:r>
              <w:rPr>
                <w:rFonts w:hint="eastAsia"/>
                <w:color w:val="000000"/>
                <w:kern w:val="0"/>
                <w:sz w:val="21"/>
                <w:szCs w:val="21"/>
              </w:rPr>
              <w:t>1102.62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5473"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color w:val="000000"/>
                <w:kern w:val="0"/>
                <w:sz w:val="21"/>
                <w:szCs w:val="21"/>
              </w:rPr>
              <w:t>纳入专户管理的非税收入拨款：</w:t>
            </w:r>
          </w:p>
        </w:tc>
        <w:tc>
          <w:tcPr>
            <w:tcW w:w="3919"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5473"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1890" w:firstLineChars="900"/>
              <w:jc w:val="left"/>
              <w:textAlignment w:val="auto"/>
              <w:rPr>
                <w:color w:val="000000"/>
                <w:kern w:val="0"/>
                <w:sz w:val="21"/>
                <w:szCs w:val="21"/>
              </w:rPr>
            </w:pPr>
            <w:r>
              <w:rPr>
                <w:color w:val="000000"/>
                <w:kern w:val="0"/>
                <w:sz w:val="21"/>
                <w:szCs w:val="21"/>
              </w:rPr>
              <w:t>其他资金：</w:t>
            </w:r>
          </w:p>
        </w:tc>
        <w:tc>
          <w:tcPr>
            <w:tcW w:w="3919"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1"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rPr>
                <w:color w:val="000000"/>
                <w:kern w:val="0"/>
                <w:sz w:val="21"/>
                <w:szCs w:val="21"/>
              </w:rPr>
            </w:pPr>
            <w:r>
              <w:rPr>
                <w:color w:val="000000"/>
                <w:kern w:val="0"/>
                <w:sz w:val="21"/>
                <w:szCs w:val="21"/>
              </w:rPr>
              <w:t>年度总体目标</w:t>
            </w:r>
          </w:p>
        </w:tc>
        <w:tc>
          <w:tcPr>
            <w:tcW w:w="5473"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预期目标</w:t>
            </w:r>
          </w:p>
        </w:tc>
        <w:tc>
          <w:tcPr>
            <w:tcW w:w="3919"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5473"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right="-69" w:rightChars="-33" w:firstLine="0" w:firstLineChars="0"/>
              <w:jc w:val="left"/>
              <w:textAlignment w:val="auto"/>
              <w:rPr>
                <w:color w:val="000000"/>
                <w:kern w:val="0"/>
                <w:sz w:val="21"/>
                <w:szCs w:val="21"/>
              </w:rPr>
            </w:pPr>
            <w:r>
              <w:rPr>
                <w:rFonts w:hint="eastAsia"/>
                <w:color w:val="000000"/>
                <w:kern w:val="0"/>
                <w:sz w:val="21"/>
                <w:szCs w:val="21"/>
              </w:rPr>
              <w:t>坚持“质量第一、科学公正、准确高效”的质量方针，根据各级畜牧水产管理部门和兽药、饲料及畜产品生产经营企业不断增长的质量要求，为各级畜牧水产行政执法及兽药、饲料、畜禽产品生产经营活动提供及时、科学的技术支撑。</w:t>
            </w:r>
          </w:p>
        </w:tc>
        <w:tc>
          <w:tcPr>
            <w:tcW w:w="3919"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基本完成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rPr>
                <w:color w:val="000000"/>
                <w:kern w:val="0"/>
                <w:sz w:val="21"/>
                <w:szCs w:val="21"/>
              </w:rPr>
            </w:pPr>
            <w:r>
              <w:rPr>
                <w:color w:val="000000"/>
                <w:kern w:val="0"/>
                <w:sz w:val="21"/>
                <w:szCs w:val="21"/>
              </w:rPr>
              <w:t>绩</w:t>
            </w:r>
          </w:p>
          <w:p>
            <w:pPr>
              <w:widowControl/>
              <w:shd w:val="clear"/>
              <w:adjustRightInd/>
              <w:spacing w:line="280" w:lineRule="exact"/>
              <w:ind w:firstLine="0" w:firstLineChars="0"/>
              <w:jc w:val="center"/>
              <w:rPr>
                <w:color w:val="000000"/>
                <w:kern w:val="0"/>
                <w:sz w:val="21"/>
                <w:szCs w:val="21"/>
              </w:rPr>
            </w:pPr>
            <w:r>
              <w:rPr>
                <w:color w:val="000000"/>
                <w:kern w:val="0"/>
                <w:sz w:val="21"/>
                <w:szCs w:val="21"/>
              </w:rPr>
              <w:t>效</w:t>
            </w:r>
          </w:p>
          <w:p>
            <w:pPr>
              <w:widowControl/>
              <w:shd w:val="clear"/>
              <w:adjustRightInd/>
              <w:spacing w:line="280" w:lineRule="exact"/>
              <w:ind w:firstLine="0" w:firstLineChars="0"/>
              <w:jc w:val="center"/>
              <w:rPr>
                <w:color w:val="000000"/>
                <w:kern w:val="0"/>
                <w:sz w:val="21"/>
                <w:szCs w:val="21"/>
              </w:rPr>
            </w:pPr>
            <w:r>
              <w:rPr>
                <w:color w:val="000000"/>
                <w:kern w:val="0"/>
                <w:sz w:val="21"/>
                <w:szCs w:val="21"/>
              </w:rPr>
              <w:t>指</w:t>
            </w:r>
          </w:p>
          <w:p>
            <w:pPr>
              <w:widowControl/>
              <w:shd w:val="clear"/>
              <w:adjustRightInd/>
              <w:spacing w:line="280" w:lineRule="exact"/>
              <w:ind w:firstLine="0" w:firstLineChars="0"/>
              <w:jc w:val="center"/>
              <w:rPr>
                <w:color w:val="000000"/>
                <w:kern w:val="0"/>
                <w:sz w:val="21"/>
                <w:szCs w:val="21"/>
              </w:rPr>
            </w:pPr>
            <w:r>
              <w:rPr>
                <w:color w:val="000000"/>
                <w:kern w:val="0"/>
                <w:sz w:val="21"/>
                <w:szCs w:val="21"/>
              </w:rPr>
              <w:t>标</w:t>
            </w:r>
          </w:p>
        </w:tc>
        <w:tc>
          <w:tcPr>
            <w:tcW w:w="8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一级</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指标</w:t>
            </w:r>
          </w:p>
        </w:tc>
        <w:tc>
          <w:tcPr>
            <w:tcW w:w="91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二级</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指标</w:t>
            </w: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三级指标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年度</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指标值</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实际</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完成值</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分值</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得分</w:t>
            </w:r>
          </w:p>
        </w:tc>
        <w:tc>
          <w:tcPr>
            <w:tcW w:w="15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偏差原因分析</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产出</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指标</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18"/>
                <w:szCs w:val="18"/>
              </w:rPr>
              <w:t>(50分)</w:t>
            </w:r>
          </w:p>
        </w:tc>
        <w:tc>
          <w:tcPr>
            <w:tcW w:w="913"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数量</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指标</w:t>
            </w: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畜禽产品检测任务监督抽查批次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3210批次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default" w:eastAsia="仿宋_GB2312"/>
                <w:color w:val="000000"/>
                <w:kern w:val="0"/>
                <w:sz w:val="21"/>
                <w:szCs w:val="21"/>
                <w:lang w:val="en-US" w:eastAsia="zh-CN"/>
              </w:rPr>
            </w:pPr>
            <w:r>
              <w:rPr>
                <w:rFonts w:hint="eastAsia"/>
                <w:color w:val="000000"/>
                <w:kern w:val="0"/>
                <w:sz w:val="21"/>
                <w:szCs w:val="21"/>
                <w:lang w:val="en-US" w:eastAsia="zh-CN"/>
              </w:rPr>
              <w:t>3877批次</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兽药及兽药残留检测任务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default" w:eastAsia="仿宋_GB2312"/>
                <w:color w:val="000000"/>
                <w:kern w:val="0"/>
                <w:sz w:val="21"/>
                <w:szCs w:val="21"/>
                <w:lang w:val="en-US" w:eastAsia="zh-CN"/>
              </w:rPr>
            </w:pPr>
            <w:r>
              <w:rPr>
                <w:rFonts w:hint="eastAsia"/>
                <w:color w:val="000000"/>
                <w:kern w:val="0"/>
                <w:sz w:val="21"/>
                <w:szCs w:val="21"/>
              </w:rPr>
              <w:t>1280</w:t>
            </w:r>
            <w:r>
              <w:rPr>
                <w:rFonts w:hint="eastAsia"/>
                <w:color w:val="000000"/>
                <w:kern w:val="0"/>
                <w:sz w:val="21"/>
                <w:szCs w:val="21"/>
                <w:lang w:val="en-US" w:eastAsia="zh-CN"/>
              </w:rPr>
              <w:t>批次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default" w:eastAsia="仿宋_GB2312"/>
                <w:color w:val="000000"/>
                <w:kern w:val="0"/>
                <w:sz w:val="21"/>
                <w:szCs w:val="21"/>
                <w:lang w:val="en-US" w:eastAsia="zh-CN"/>
              </w:rPr>
            </w:pPr>
            <w:r>
              <w:rPr>
                <w:rFonts w:hint="eastAsia"/>
                <w:color w:val="000000"/>
                <w:kern w:val="0"/>
                <w:sz w:val="21"/>
                <w:szCs w:val="21"/>
                <w:lang w:val="en-US" w:eastAsia="zh-CN"/>
              </w:rPr>
              <w:t>1523批次</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default" w:eastAsia="仿宋_GB2312"/>
                <w:color w:val="000000"/>
                <w:kern w:val="0"/>
                <w:sz w:val="21"/>
                <w:szCs w:val="21"/>
                <w:lang w:val="en-US" w:eastAsia="zh-CN"/>
              </w:rPr>
            </w:pPr>
            <w:r>
              <w:rPr>
                <w:rFonts w:hint="eastAsia"/>
                <w:color w:val="000000"/>
                <w:kern w:val="0"/>
                <w:sz w:val="21"/>
                <w:szCs w:val="21"/>
                <w:lang w:val="en-US" w:eastAsia="zh-CN"/>
              </w:rPr>
              <w:t>5</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饲料检测任务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default" w:eastAsia="仿宋_GB2312"/>
                <w:color w:val="000000"/>
                <w:kern w:val="0"/>
                <w:sz w:val="21"/>
                <w:szCs w:val="21"/>
                <w:lang w:val="en-US" w:eastAsia="zh-CN"/>
              </w:rPr>
            </w:pPr>
            <w:r>
              <w:rPr>
                <w:rFonts w:hint="eastAsia"/>
                <w:color w:val="000000"/>
                <w:kern w:val="0"/>
                <w:sz w:val="21"/>
                <w:szCs w:val="21"/>
                <w:lang w:val="en-US" w:eastAsia="zh-CN"/>
              </w:rPr>
              <w:t>400批次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rPr>
              <w:t>496</w:t>
            </w:r>
            <w:r>
              <w:rPr>
                <w:rFonts w:hint="eastAsia"/>
                <w:color w:val="000000"/>
                <w:kern w:val="0"/>
                <w:sz w:val="21"/>
                <w:szCs w:val="21"/>
                <w:lang w:val="en-US" w:eastAsia="zh-CN"/>
              </w:rPr>
              <w:t>批次</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质量</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指标</w:t>
            </w: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兽药企业信息采集率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检测参数完成率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检测结果准确率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时效</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指标</w:t>
            </w: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兽药、饲料检测等按时完成率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兽药、饲料畜产品质量安全监管检测时效</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规定时间内完成检测任务结果上报</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成本</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指标</w:t>
            </w: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控制在预算范围内</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完成</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完成</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效益</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指标</w:t>
            </w:r>
          </w:p>
          <w:p>
            <w:pPr>
              <w:keepNext w:val="0"/>
              <w:keepLines w:val="0"/>
              <w:pageBreakBefore w:val="0"/>
              <w:widowControl/>
              <w:shd w:val="clear"/>
              <w:kinsoku/>
              <w:wordWrap/>
              <w:overflowPunct/>
              <w:topLinePunct w:val="0"/>
              <w:autoSpaceDE/>
              <w:autoSpaceDN/>
              <w:bidi w:val="0"/>
              <w:adjustRightInd/>
              <w:snapToGrid w:val="0"/>
              <w:spacing w:line="240" w:lineRule="atLeast"/>
              <w:ind w:left="0" w:leftChars="0" w:firstLine="0" w:firstLineChars="0"/>
              <w:jc w:val="left"/>
              <w:textAlignment w:val="auto"/>
              <w:rPr>
                <w:color w:val="000000"/>
                <w:kern w:val="0"/>
                <w:sz w:val="21"/>
                <w:szCs w:val="21"/>
              </w:rPr>
            </w:pPr>
            <w:r>
              <w:rPr>
                <w:color w:val="000000"/>
                <w:kern w:val="0"/>
                <w:sz w:val="18"/>
                <w:szCs w:val="18"/>
              </w:rPr>
              <w:t>（30分）</w:t>
            </w:r>
          </w:p>
        </w:tc>
        <w:tc>
          <w:tcPr>
            <w:tcW w:w="913"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经济效</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益指标</w:t>
            </w: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带动兽药行业收入增长</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有所提高</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有所提高</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3</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rFonts w:hint="default" w:eastAsia="仿宋_GB2312"/>
                <w:color w:val="000000"/>
                <w:kern w:val="0"/>
                <w:sz w:val="21"/>
                <w:szCs w:val="21"/>
                <w:lang w:val="en-US" w:eastAsia="zh-CN"/>
              </w:rPr>
            </w:pPr>
            <w:r>
              <w:rPr>
                <w:rFonts w:hint="eastAsia"/>
                <w:color w:val="000000"/>
                <w:kern w:val="0"/>
                <w:sz w:val="21"/>
                <w:szCs w:val="21"/>
                <w:lang w:val="en-US" w:eastAsia="zh-CN"/>
              </w:rPr>
              <w:t>该指标无法取得详实数据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兽药报批及批签发通过率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≧95%</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default" w:eastAsia="仿宋_GB2312"/>
                <w:color w:val="000000"/>
                <w:kern w:val="0"/>
                <w:sz w:val="21"/>
                <w:szCs w:val="21"/>
                <w:lang w:val="en-US" w:eastAsia="zh-CN"/>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3</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3</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社会效</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益指标</w:t>
            </w: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兽药企业认证完成率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4</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4</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畜禽产品质量检测完成率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4</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4</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生态效</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益指标</w:t>
            </w: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省内养殖场、屠宰场采样</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4</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4</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药物残留检测指标完成率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4</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4</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可持续影响指标</w:t>
            </w: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检验方法学及相关研究</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4</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4</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91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技术人员业务技术培训覆盖率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4</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4</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93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c>
          <w:tcPr>
            <w:tcW w:w="8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满意度</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指标</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18"/>
                <w:szCs w:val="18"/>
              </w:rPr>
              <w:t>（10分）</w:t>
            </w:r>
          </w:p>
        </w:tc>
        <w:tc>
          <w:tcPr>
            <w:tcW w:w="91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服务对象满意度指标</w:t>
            </w:r>
          </w:p>
        </w:tc>
        <w:tc>
          <w:tcPr>
            <w:tcW w:w="254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服务对象满意度</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≧90%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≧90%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6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544" w:type="dxa"/>
            <w:gridSpan w:val="7"/>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rPr>
                <w:color w:val="000000"/>
                <w:kern w:val="0"/>
                <w:sz w:val="21"/>
                <w:szCs w:val="21"/>
              </w:rPr>
            </w:pPr>
            <w:r>
              <w:rPr>
                <w:color w:val="000000"/>
                <w:kern w:val="0"/>
                <w:sz w:val="21"/>
                <w:szCs w:val="21"/>
              </w:rPr>
              <w:t>总分</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rPr>
                <w:color w:val="000000"/>
                <w:kern w:val="0"/>
                <w:sz w:val="21"/>
                <w:szCs w:val="21"/>
              </w:rPr>
            </w:pPr>
            <w:r>
              <w:rPr>
                <w:color w:val="000000"/>
                <w:kern w:val="0"/>
                <w:sz w:val="21"/>
                <w:szCs w:val="21"/>
              </w:rPr>
              <w:t>100</w:t>
            </w:r>
          </w:p>
        </w:tc>
        <w:tc>
          <w:tcPr>
            <w:tcW w:w="672"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98.5</w:t>
            </w:r>
          </w:p>
        </w:tc>
        <w:tc>
          <w:tcPr>
            <w:tcW w:w="1567"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rPr>
                <w:color w:val="000000"/>
                <w:kern w:val="0"/>
                <w:sz w:val="21"/>
                <w:szCs w:val="21"/>
              </w:rPr>
            </w:pPr>
          </w:p>
        </w:tc>
      </w:tr>
    </w:tbl>
    <w:p>
      <w:pPr>
        <w:pStyle w:val="3"/>
        <w:keepNext w:val="0"/>
        <w:keepLines w:val="0"/>
        <w:pageBreakBefore w:val="0"/>
        <w:widowControl w:val="0"/>
        <w:shd w:val="clear"/>
        <w:kinsoku/>
        <w:wordWrap/>
        <w:overflowPunct/>
        <w:topLinePunct w:val="0"/>
        <w:autoSpaceDE/>
        <w:autoSpaceDN/>
        <w:bidi w:val="0"/>
        <w:adjustRightInd w:val="0"/>
        <w:snapToGrid w:val="0"/>
        <w:spacing w:line="459" w:lineRule="atLeast"/>
        <w:ind w:firstLine="0" w:firstLineChars="0"/>
        <w:textAlignment w:val="auto"/>
      </w:pPr>
      <w:r>
        <w:br w:type="page"/>
      </w:r>
      <w:r>
        <w:t>附件3</w:t>
      </w:r>
    </w:p>
    <w:p>
      <w:pPr>
        <w:pStyle w:val="2"/>
        <w:keepNext w:val="0"/>
        <w:keepLines w:val="0"/>
        <w:pageBreakBefore w:val="0"/>
        <w:widowControl w:val="0"/>
        <w:shd w:val="clear"/>
        <w:kinsoku/>
        <w:wordWrap/>
        <w:overflowPunct/>
        <w:topLinePunct w:val="0"/>
        <w:autoSpaceDE/>
        <w:autoSpaceDN/>
        <w:bidi w:val="0"/>
        <w:adjustRightInd w:val="0"/>
        <w:snapToGrid w:val="0"/>
        <w:spacing w:line="500" w:lineRule="exact"/>
        <w:textAlignment w:val="auto"/>
        <w:rPr>
          <w:sz w:val="36"/>
          <w:szCs w:val="36"/>
        </w:rPr>
      </w:pPr>
      <w:r>
        <w:rPr>
          <w:sz w:val="36"/>
          <w:szCs w:val="36"/>
        </w:rPr>
        <w:t>项目支出支出绩效自评表</w:t>
      </w:r>
    </w:p>
    <w:p>
      <w:pPr>
        <w:keepNext w:val="0"/>
        <w:keepLines w:val="0"/>
        <w:pageBreakBefore w:val="0"/>
        <w:widowControl/>
        <w:shd w:val="clear"/>
        <w:kinsoku/>
        <w:wordWrap/>
        <w:overflowPunct/>
        <w:topLinePunct w:val="0"/>
        <w:autoSpaceDE/>
        <w:autoSpaceDN/>
        <w:bidi w:val="0"/>
        <w:adjustRightInd/>
        <w:snapToGrid/>
        <w:spacing w:line="320" w:lineRule="exact"/>
        <w:ind w:firstLine="0" w:firstLineChars="0"/>
        <w:jc w:val="center"/>
        <w:textAlignment w:val="auto"/>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0"/>
        <w:tblW w:w="10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885"/>
        <w:gridCol w:w="900"/>
        <w:gridCol w:w="830"/>
        <w:gridCol w:w="1720"/>
        <w:gridCol w:w="1140"/>
        <w:gridCol w:w="1140"/>
        <w:gridCol w:w="540"/>
        <w:gridCol w:w="660"/>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3"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项目支出名称</w:t>
            </w:r>
          </w:p>
        </w:tc>
        <w:tc>
          <w:tcPr>
            <w:tcW w:w="8580" w:type="dxa"/>
            <w:gridSpan w:val="8"/>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rFonts w:hint="eastAsia"/>
                <w:color w:val="000000"/>
                <w:kern w:val="0"/>
                <w:sz w:val="21"/>
                <w:szCs w:val="21"/>
              </w:rPr>
            </w:pPr>
            <w:r>
              <w:rPr>
                <w:rFonts w:hint="eastAsia"/>
                <w:color w:val="000000"/>
                <w:kern w:val="0"/>
                <w:sz w:val="21"/>
                <w:szCs w:val="21"/>
              </w:rPr>
              <w:t>现代农业发展专项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03"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rFonts w:hint="eastAsia" w:eastAsia="仿宋_GB2312"/>
                <w:color w:val="000000"/>
                <w:kern w:val="0"/>
                <w:sz w:val="21"/>
                <w:szCs w:val="21"/>
                <w:lang w:eastAsia="zh-CN"/>
              </w:rPr>
            </w:pPr>
            <w:r>
              <w:rPr>
                <w:color w:val="000000"/>
                <w:kern w:val="0"/>
                <w:sz w:val="21"/>
                <w:szCs w:val="21"/>
              </w:rPr>
              <w:t>主管部门</w:t>
            </w:r>
          </w:p>
        </w:tc>
        <w:tc>
          <w:tcPr>
            <w:tcW w:w="4590"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rFonts w:hint="eastAsia"/>
                <w:color w:val="000000"/>
                <w:kern w:val="0"/>
                <w:sz w:val="21"/>
                <w:szCs w:val="21"/>
                <w:lang w:val="en-US" w:eastAsia="zh-CN"/>
              </w:rPr>
            </w:pPr>
            <w:r>
              <w:rPr>
                <w:rFonts w:hint="eastAsia"/>
                <w:color w:val="000000"/>
                <w:kern w:val="0"/>
                <w:sz w:val="21"/>
                <w:szCs w:val="21"/>
                <w:lang w:val="en-US" w:eastAsia="zh-CN"/>
              </w:rPr>
              <w:t>湖南省农业农村厅</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2850"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rFonts w:hint="eastAsia" w:eastAsia="仿宋_GB2312"/>
                <w:color w:val="000000"/>
                <w:kern w:val="0"/>
                <w:sz w:val="21"/>
                <w:szCs w:val="21"/>
                <w:lang w:eastAsia="zh-CN"/>
              </w:rPr>
            </w:pPr>
            <w:r>
              <w:rPr>
                <w:rFonts w:hint="eastAsia"/>
                <w:color w:val="000000"/>
                <w:kern w:val="0"/>
                <w:sz w:val="21"/>
                <w:szCs w:val="21"/>
                <w:lang w:val="en-US" w:eastAsia="zh-CN"/>
              </w:rPr>
              <w:t>湖南省兽药饲料监察所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eastAsia="仿宋_GB2312"/>
                <w:color w:val="000000"/>
                <w:kern w:val="0"/>
                <w:sz w:val="21"/>
                <w:szCs w:val="21"/>
                <w:lang w:eastAsia="zh-CN"/>
              </w:rPr>
            </w:pPr>
            <w:r>
              <w:rPr>
                <w:color w:val="000000"/>
                <w:kern w:val="0"/>
                <w:sz w:val="21"/>
                <w:szCs w:val="21"/>
              </w:rPr>
              <w:t>项目资金</w:t>
            </w:r>
            <w:r>
              <w:rPr>
                <w:color w:val="000000"/>
                <w:kern w:val="0"/>
                <w:sz w:val="21"/>
                <w:szCs w:val="21"/>
              </w:rPr>
              <w:br w:type="textWrapping"/>
            </w:r>
            <w:r>
              <w:rPr>
                <w:rFonts w:hint="eastAsia"/>
                <w:color w:val="000000"/>
                <w:kern w:val="0"/>
                <w:sz w:val="21"/>
                <w:szCs w:val="21"/>
                <w:lang w:val="en-US" w:eastAsia="zh-CN"/>
              </w:rPr>
              <w:t>(</w:t>
            </w:r>
            <w:r>
              <w:rPr>
                <w:color w:val="000000"/>
                <w:kern w:val="0"/>
                <w:sz w:val="21"/>
                <w:szCs w:val="21"/>
              </w:rPr>
              <w:t>万元</w:t>
            </w:r>
            <w:r>
              <w:rPr>
                <w:rFonts w:hint="eastAsia"/>
                <w:color w:val="000000"/>
                <w:kern w:val="0"/>
                <w:sz w:val="21"/>
                <w:szCs w:val="21"/>
                <w:lang w:val="en-US" w:eastAsia="zh-CN"/>
              </w:rPr>
              <w:t>)</w:t>
            </w:r>
          </w:p>
        </w:tc>
        <w:tc>
          <w:tcPr>
            <w:tcW w:w="2615"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eastAsia="仿宋_GB2312"/>
                <w:color w:val="000000"/>
                <w:kern w:val="0"/>
                <w:sz w:val="21"/>
                <w:szCs w:val="21"/>
                <w:lang w:eastAsia="zh-CN"/>
              </w:rPr>
            </w:pPr>
            <w:r>
              <w:rPr>
                <w:color w:val="000000"/>
                <w:kern w:val="0"/>
                <w:sz w:val="21"/>
                <w:szCs w:val="21"/>
              </w:rPr>
              <w:t>　</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eastAsia="仿宋_GB2312"/>
                <w:color w:val="000000"/>
                <w:kern w:val="0"/>
                <w:sz w:val="18"/>
                <w:szCs w:val="18"/>
                <w:lang w:val="en-US" w:eastAsia="zh-CN" w:bidi="ar-SA"/>
              </w:rPr>
            </w:pPr>
            <w:r>
              <w:rPr>
                <w:color w:val="000000"/>
                <w:kern w:val="0"/>
                <w:sz w:val="18"/>
                <w:szCs w:val="18"/>
              </w:rPr>
              <w:t>年初预算数</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18"/>
                <w:szCs w:val="18"/>
              </w:rPr>
            </w:pPr>
            <w:r>
              <w:rPr>
                <w:color w:val="000000"/>
                <w:kern w:val="0"/>
                <w:sz w:val="18"/>
                <w:szCs w:val="18"/>
              </w:rPr>
              <w:t>全年预算数</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hd w:val="clear"/>
              <w:adjustRightInd/>
              <w:spacing w:line="280" w:lineRule="exact"/>
              <w:ind w:firstLine="0" w:firstLineChars="0"/>
              <w:jc w:val="center"/>
              <w:textAlignment w:val="center"/>
              <w:rPr>
                <w:sz w:val="18"/>
                <w:szCs w:val="18"/>
              </w:rPr>
            </w:pPr>
            <w:r>
              <w:rPr>
                <w:sz w:val="18"/>
                <w:szCs w:val="18"/>
              </w:rPr>
              <w:t>全年执行数</w:t>
            </w:r>
          </w:p>
        </w:tc>
        <w:tc>
          <w:tcPr>
            <w:tcW w:w="540" w:type="dxa"/>
            <w:tcBorders>
              <w:top w:val="single" w:color="auto" w:sz="4" w:space="0"/>
              <w:left w:val="single" w:color="auto" w:sz="4" w:space="0"/>
              <w:bottom w:val="single" w:color="auto" w:sz="4" w:space="0"/>
              <w:right w:val="single" w:color="auto" w:sz="4" w:space="0"/>
            </w:tcBorders>
            <w:noWrap w:val="0"/>
            <w:vAlign w:val="center"/>
          </w:tcPr>
          <w:p>
            <w:pPr>
              <w:shd w:val="clear"/>
              <w:adjustRightInd/>
              <w:spacing w:line="280" w:lineRule="exact"/>
              <w:ind w:firstLine="0" w:firstLineChars="0"/>
              <w:jc w:val="center"/>
              <w:textAlignment w:val="center"/>
              <w:rPr>
                <w:sz w:val="18"/>
                <w:szCs w:val="18"/>
              </w:rPr>
            </w:pPr>
            <w:r>
              <w:rPr>
                <w:spacing w:val="-23"/>
                <w:sz w:val="18"/>
                <w:szCs w:val="18"/>
              </w:rPr>
              <w:t>分值</w:t>
            </w:r>
          </w:p>
        </w:tc>
        <w:tc>
          <w:tcPr>
            <w:tcW w:w="660" w:type="dxa"/>
            <w:tcBorders>
              <w:top w:val="single" w:color="auto" w:sz="4" w:space="0"/>
              <w:left w:val="single" w:color="auto" w:sz="4" w:space="0"/>
              <w:bottom w:val="single" w:color="auto" w:sz="4" w:space="0"/>
              <w:right w:val="single" w:color="auto" w:sz="4" w:space="0"/>
            </w:tcBorders>
            <w:noWrap w:val="0"/>
            <w:vAlign w:val="center"/>
          </w:tcPr>
          <w:p>
            <w:pPr>
              <w:shd w:val="clear"/>
              <w:adjustRightInd/>
              <w:spacing w:line="280" w:lineRule="exact"/>
              <w:ind w:firstLine="0" w:firstLineChars="0"/>
              <w:jc w:val="center"/>
              <w:textAlignment w:val="center"/>
              <w:rPr>
                <w:sz w:val="18"/>
                <w:szCs w:val="18"/>
              </w:rPr>
            </w:pPr>
            <w:r>
              <w:rPr>
                <w:rFonts w:ascii="Times New Roman" w:hAnsi="Times New Roman" w:cs="Times New Roman"/>
                <w:spacing w:val="-23"/>
                <w:sz w:val="18"/>
                <w:szCs w:val="18"/>
              </w:rPr>
              <w:t>执行率</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shd w:val="clea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2615"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color w:val="000000"/>
                <w:kern w:val="0"/>
                <w:sz w:val="21"/>
                <w:szCs w:val="21"/>
              </w:rPr>
              <w:t>年度资金总额</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420.00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437.20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433.52</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99%</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2615"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210" w:firstLineChars="100"/>
              <w:jc w:val="both"/>
              <w:textAlignment w:val="center"/>
              <w:rPr>
                <w:rFonts w:hint="default" w:eastAsia="仿宋_GB2312"/>
                <w:color w:val="000000"/>
                <w:kern w:val="0"/>
                <w:sz w:val="21"/>
                <w:szCs w:val="21"/>
                <w:lang w:val="en-US" w:eastAsia="zh-CN" w:bidi="ar-SA"/>
              </w:rPr>
            </w:pPr>
            <w:r>
              <w:rPr>
                <w:color w:val="000000"/>
                <w:kern w:val="0"/>
                <w:sz w:val="21"/>
                <w:szCs w:val="21"/>
              </w:rPr>
              <w:t>其中：当年财政拨款　</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420.00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420.00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416.57</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2615"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840" w:firstLineChars="400"/>
              <w:jc w:val="both"/>
              <w:textAlignment w:val="center"/>
              <w:rPr>
                <w:rFonts w:hint="default" w:eastAsia="仿宋_GB2312"/>
                <w:color w:val="000000"/>
                <w:kern w:val="0"/>
                <w:sz w:val="21"/>
                <w:szCs w:val="21"/>
                <w:lang w:val="en-US" w:eastAsia="zh-CN"/>
              </w:rPr>
            </w:pPr>
            <w:r>
              <w:rPr>
                <w:color w:val="000000"/>
                <w:kern w:val="0"/>
                <w:sz w:val="21"/>
                <w:szCs w:val="21"/>
              </w:rPr>
              <w:t>上年结转资金　</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0.00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17.20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16.95</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2615"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840" w:firstLineChars="400"/>
              <w:jc w:val="both"/>
              <w:textAlignment w:val="center"/>
              <w:rPr>
                <w:rFonts w:hint="default" w:eastAsia="仿宋_GB2312"/>
                <w:color w:val="000000"/>
                <w:kern w:val="0"/>
                <w:sz w:val="21"/>
                <w:szCs w:val="21"/>
                <w:lang w:val="en-US" w:eastAsia="zh-CN" w:bidi="ar-SA"/>
              </w:rPr>
            </w:pPr>
            <w:r>
              <w:rPr>
                <w:color w:val="000000"/>
                <w:kern w:val="0"/>
                <w:sz w:val="21"/>
                <w:szCs w:val="21"/>
              </w:rPr>
              <w:t>其他资金</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0.00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0.00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0.00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5475" w:type="dxa"/>
            <w:gridSpan w:val="5"/>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3990"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5475" w:type="dxa"/>
            <w:gridSpan w:val="5"/>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支持建立农业科研体系、农技推广体系、农产品质量安全体系、农作物疫病防控体系、农业执法体系建设等，支持农业农村发展补短板项目，提升全省农业系统推进农业现代化的能力水平，补齐我省现代农业发展短板，提升全省农业农村体系与能力建设水平。</w:t>
            </w:r>
          </w:p>
        </w:tc>
        <w:tc>
          <w:tcPr>
            <w:tcW w:w="3990"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基本完成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818"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88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一级</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指标</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二级</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指标</w:t>
            </w: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产出</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9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color w:val="000000"/>
                <w:kern w:val="0"/>
                <w:sz w:val="21"/>
                <w:szCs w:val="21"/>
              </w:rPr>
              <w:t>数量</w:t>
            </w:r>
          </w:p>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color w:val="000000"/>
                <w:kern w:val="0"/>
                <w:sz w:val="21"/>
                <w:szCs w:val="21"/>
              </w:rPr>
              <w:t>指标</w:t>
            </w: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畜禽产品检测任务监督抽查批次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3210批次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3877批次</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兽药及兽药残留检测任务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1280</w:t>
            </w:r>
            <w:r>
              <w:rPr>
                <w:rFonts w:hint="eastAsia"/>
                <w:color w:val="000000"/>
                <w:kern w:val="0"/>
                <w:sz w:val="21"/>
                <w:szCs w:val="21"/>
                <w:lang w:val="en-US" w:eastAsia="zh-CN"/>
              </w:rPr>
              <w:t>批次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1523批次</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饲料检测任务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400批次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496</w:t>
            </w:r>
            <w:r>
              <w:rPr>
                <w:rFonts w:hint="eastAsia"/>
                <w:color w:val="000000"/>
                <w:kern w:val="0"/>
                <w:sz w:val="21"/>
                <w:szCs w:val="21"/>
                <w:lang w:val="en-US" w:eastAsia="zh-CN"/>
              </w:rPr>
              <w:t>批次</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color w:val="000000"/>
                <w:kern w:val="0"/>
                <w:sz w:val="21"/>
                <w:szCs w:val="21"/>
              </w:rPr>
              <w:t>质量</w:t>
            </w:r>
          </w:p>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color w:val="000000"/>
                <w:kern w:val="0"/>
                <w:sz w:val="21"/>
                <w:szCs w:val="21"/>
              </w:rPr>
              <w:t>指标</w:t>
            </w: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兽药企业信息采集率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检测参数完成率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检测结果准确率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color w:val="000000"/>
                <w:kern w:val="0"/>
                <w:sz w:val="21"/>
                <w:szCs w:val="21"/>
              </w:rPr>
              <w:t>时效</w:t>
            </w:r>
          </w:p>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color w:val="000000"/>
                <w:kern w:val="0"/>
                <w:sz w:val="21"/>
                <w:szCs w:val="21"/>
              </w:rPr>
              <w:t>指标</w:t>
            </w: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兽药、饲料检测等按时完成率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兽药、饲料畜产品质量安全监管检测时效</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规定时间内完成检测任务结果上报</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color w:val="000000"/>
                <w:kern w:val="0"/>
                <w:sz w:val="21"/>
                <w:szCs w:val="21"/>
              </w:rPr>
              <w:t>成本</w:t>
            </w:r>
          </w:p>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color w:val="000000"/>
                <w:kern w:val="0"/>
                <w:sz w:val="21"/>
                <w:szCs w:val="21"/>
              </w:rPr>
              <w:t>指标</w:t>
            </w: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控制在预算范围内</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完成</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完成</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效益</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shd w:val="clear"/>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val="en-US" w:eastAsia="zh-CN"/>
              </w:rPr>
              <w:t>(</w:t>
            </w:r>
            <w:r>
              <w:rPr>
                <w:color w:val="000000"/>
                <w:kern w:val="0"/>
                <w:sz w:val="21"/>
                <w:szCs w:val="21"/>
              </w:rPr>
              <w:t>30分</w:t>
            </w:r>
            <w:r>
              <w:rPr>
                <w:rFonts w:hint="eastAsia"/>
                <w:color w:val="000000"/>
                <w:kern w:val="0"/>
                <w:sz w:val="21"/>
                <w:szCs w:val="21"/>
                <w:lang w:val="en-US" w:eastAsia="zh-CN"/>
              </w:rPr>
              <w:t>)</w:t>
            </w:r>
          </w:p>
        </w:tc>
        <w:tc>
          <w:tcPr>
            <w:tcW w:w="9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经济效</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益指标</w:t>
            </w: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带动兽药行业收入增长</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有所提高</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有所提高</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3</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2</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lang w:val="en-US" w:eastAsia="zh-CN"/>
              </w:rPr>
              <w:t>该指标无法取得详实数据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兽药报批及批签发通过率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≧95%</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3</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3</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社会效</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益指标</w:t>
            </w: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兽药企业认证完成率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畜禽产品质量检测完成率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生态效</w:t>
            </w:r>
          </w:p>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益指标</w:t>
            </w: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省内养殖场、屠宰场采样</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药物残留检测指标完成率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color w:val="000000"/>
                <w:kern w:val="0"/>
                <w:sz w:val="21"/>
                <w:szCs w:val="21"/>
              </w:rPr>
              <w:t>可持续影响指标</w:t>
            </w: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检验方法学及相关研究</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9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技术人员业务技术培训覆盖率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8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exact"/>
              <w:ind w:firstLine="0" w:firstLineChars="0"/>
              <w:jc w:val="center"/>
              <w:textAlignment w:val="center"/>
              <w:rPr>
                <w:color w:val="000000"/>
                <w:kern w:val="0"/>
                <w:sz w:val="21"/>
                <w:szCs w:val="21"/>
              </w:rPr>
            </w:pPr>
            <w:r>
              <w:rPr>
                <w:color w:val="000000"/>
                <w:kern w:val="0"/>
                <w:sz w:val="21"/>
                <w:szCs w:val="21"/>
              </w:rPr>
              <w:t>满意度</w:t>
            </w:r>
          </w:p>
          <w:p>
            <w:pPr>
              <w:keepNext w:val="0"/>
              <w:keepLines w:val="0"/>
              <w:pageBreakBefore w:val="0"/>
              <w:widowControl/>
              <w:shd w:val="clear"/>
              <w:kinsoku/>
              <w:wordWrap/>
              <w:overflowPunct/>
              <w:topLinePunct w:val="0"/>
              <w:autoSpaceDE/>
              <w:autoSpaceDN/>
              <w:bidi w:val="0"/>
              <w:adjustRightInd/>
              <w:snapToGrid w:val="0"/>
              <w:spacing w:line="220" w:lineRule="exact"/>
              <w:ind w:firstLine="0" w:firstLineChars="0"/>
              <w:jc w:val="center"/>
              <w:textAlignment w:val="center"/>
              <w:rPr>
                <w:color w:val="000000"/>
                <w:kern w:val="0"/>
                <w:sz w:val="21"/>
                <w:szCs w:val="21"/>
              </w:rPr>
            </w:pPr>
            <w:r>
              <w:rPr>
                <w:color w:val="000000"/>
                <w:kern w:val="0"/>
                <w:sz w:val="21"/>
                <w:szCs w:val="21"/>
              </w:rPr>
              <w:t>指标</w:t>
            </w:r>
          </w:p>
          <w:p>
            <w:pPr>
              <w:keepNext w:val="0"/>
              <w:keepLines w:val="0"/>
              <w:pageBreakBefore w:val="0"/>
              <w:widowControl/>
              <w:shd w:val="clear"/>
              <w:kinsoku/>
              <w:wordWrap/>
              <w:overflowPunct/>
              <w:topLinePunct w:val="0"/>
              <w:autoSpaceDE/>
              <w:autoSpaceDN/>
              <w:bidi w:val="0"/>
              <w:adjustRightInd/>
              <w:snapToGrid w:val="0"/>
              <w:spacing w:line="22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val="en-US" w:eastAsia="zh-CN"/>
              </w:rPr>
              <w:t>(</w:t>
            </w:r>
            <w:r>
              <w:rPr>
                <w:color w:val="000000"/>
                <w:kern w:val="0"/>
                <w:sz w:val="21"/>
                <w:szCs w:val="21"/>
              </w:rPr>
              <w:t>10分</w:t>
            </w:r>
            <w:r>
              <w:rPr>
                <w:rFonts w:hint="eastAsia"/>
                <w:color w:val="000000"/>
                <w:kern w:val="0"/>
                <w:sz w:val="21"/>
                <w:szCs w:val="21"/>
                <w:lang w:val="en-US" w:eastAsia="zh-CN"/>
              </w:rPr>
              <w:t>)</w:t>
            </w:r>
          </w:p>
        </w:tc>
        <w:tc>
          <w:tcPr>
            <w:tcW w:w="90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exact"/>
              <w:ind w:firstLine="0" w:firstLineChars="0"/>
              <w:jc w:val="center"/>
              <w:textAlignment w:val="auto"/>
              <w:rPr>
                <w:color w:val="000000"/>
                <w:kern w:val="0"/>
                <w:sz w:val="21"/>
                <w:szCs w:val="21"/>
              </w:rPr>
            </w:pPr>
            <w:r>
              <w:rPr>
                <w:color w:val="000000"/>
                <w:kern w:val="0"/>
                <w:sz w:val="21"/>
                <w:szCs w:val="21"/>
              </w:rPr>
              <w:t>服务对象满意度指标</w:t>
            </w:r>
          </w:p>
        </w:tc>
        <w:tc>
          <w:tcPr>
            <w:tcW w:w="255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服务对象满意度</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≧90%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≧90%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10</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433" w:type="dxa"/>
            <w:gridSpan w:val="7"/>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98</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r>
    </w:tbl>
    <w:p>
      <w:pPr>
        <w:pStyle w:val="3"/>
        <w:keepNext w:val="0"/>
        <w:keepLines w:val="0"/>
        <w:pageBreakBefore w:val="0"/>
        <w:widowControl w:val="0"/>
        <w:shd w:val="clear"/>
        <w:kinsoku/>
        <w:wordWrap/>
        <w:overflowPunct/>
        <w:topLinePunct w:val="0"/>
        <w:autoSpaceDE/>
        <w:autoSpaceDN/>
        <w:bidi w:val="0"/>
        <w:adjustRightInd w:val="0"/>
        <w:snapToGrid w:val="0"/>
        <w:spacing w:line="459" w:lineRule="atLeast"/>
        <w:ind w:firstLine="0" w:firstLineChars="0"/>
        <w:textAlignment w:val="auto"/>
        <w:rPr>
          <w:rFonts w:hint="eastAsia" w:eastAsia="黑体"/>
          <w:lang w:eastAsia="zh-CN"/>
        </w:rPr>
      </w:pPr>
      <w:r>
        <w:t>附件</w:t>
      </w:r>
      <w:r>
        <w:rPr>
          <w:rFonts w:hint="eastAsia"/>
          <w:lang w:val="en-US" w:eastAsia="zh-CN"/>
        </w:rPr>
        <w:t>4</w:t>
      </w:r>
    </w:p>
    <w:p>
      <w:pPr>
        <w:pStyle w:val="2"/>
        <w:keepNext w:val="0"/>
        <w:keepLines w:val="0"/>
        <w:pageBreakBefore w:val="0"/>
        <w:widowControl w:val="0"/>
        <w:shd w:val="clear"/>
        <w:kinsoku/>
        <w:wordWrap/>
        <w:overflowPunct/>
        <w:topLinePunct w:val="0"/>
        <w:autoSpaceDE/>
        <w:autoSpaceDN/>
        <w:bidi w:val="0"/>
        <w:adjustRightInd w:val="0"/>
        <w:snapToGrid w:val="0"/>
        <w:spacing w:line="500" w:lineRule="exact"/>
        <w:textAlignment w:val="auto"/>
        <w:rPr>
          <w:sz w:val="36"/>
          <w:szCs w:val="36"/>
        </w:rPr>
      </w:pPr>
      <w:r>
        <w:rPr>
          <w:sz w:val="36"/>
          <w:szCs w:val="36"/>
        </w:rPr>
        <w:t>项目支出支出绩效自评表</w:t>
      </w:r>
    </w:p>
    <w:p>
      <w:pPr>
        <w:keepNext w:val="0"/>
        <w:keepLines w:val="0"/>
        <w:pageBreakBefore w:val="0"/>
        <w:widowControl/>
        <w:shd w:val="clear"/>
        <w:kinsoku/>
        <w:wordWrap/>
        <w:overflowPunct/>
        <w:topLinePunct w:val="0"/>
        <w:autoSpaceDE/>
        <w:autoSpaceDN/>
        <w:bidi w:val="0"/>
        <w:adjustRightInd/>
        <w:snapToGrid/>
        <w:spacing w:line="320" w:lineRule="exact"/>
        <w:ind w:firstLine="0" w:firstLineChars="0"/>
        <w:jc w:val="center"/>
        <w:textAlignment w:val="auto"/>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0"/>
        <w:tblW w:w="10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021"/>
        <w:gridCol w:w="855"/>
        <w:gridCol w:w="739"/>
        <w:gridCol w:w="1571"/>
        <w:gridCol w:w="1289"/>
        <w:gridCol w:w="1140"/>
        <w:gridCol w:w="540"/>
        <w:gridCol w:w="660"/>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3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项目支出名称</w:t>
            </w:r>
          </w:p>
        </w:tc>
        <w:tc>
          <w:tcPr>
            <w:tcW w:w="8444" w:type="dxa"/>
            <w:gridSpan w:val="8"/>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rFonts w:hint="eastAsia"/>
                <w:color w:val="000000"/>
                <w:kern w:val="0"/>
                <w:sz w:val="21"/>
                <w:szCs w:val="21"/>
              </w:rPr>
            </w:pPr>
            <w:r>
              <w:rPr>
                <w:rFonts w:hint="eastAsia"/>
                <w:color w:val="000000"/>
                <w:kern w:val="0"/>
                <w:sz w:val="21"/>
                <w:szCs w:val="21"/>
              </w:rPr>
              <w:t>其他事业发展</w:t>
            </w:r>
            <w:r>
              <w:rPr>
                <w:rFonts w:hint="eastAsia"/>
                <w:color w:val="000000"/>
                <w:kern w:val="0"/>
                <w:sz w:val="21"/>
                <w:szCs w:val="21"/>
                <w:lang w:val="en-US" w:eastAsia="zh-CN"/>
              </w:rPr>
              <w:t>类</w:t>
            </w:r>
            <w:r>
              <w:rPr>
                <w:rFonts w:hint="eastAsia"/>
                <w:color w:val="000000"/>
                <w:kern w:val="0"/>
                <w:sz w:val="21"/>
                <w:szCs w:val="21"/>
              </w:rPr>
              <w:t>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39"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rFonts w:hint="eastAsia" w:eastAsia="仿宋_GB2312"/>
                <w:color w:val="000000"/>
                <w:kern w:val="0"/>
                <w:sz w:val="21"/>
                <w:szCs w:val="21"/>
                <w:lang w:eastAsia="zh-CN"/>
              </w:rPr>
            </w:pPr>
            <w:r>
              <w:rPr>
                <w:color w:val="000000"/>
                <w:kern w:val="0"/>
                <w:sz w:val="21"/>
                <w:szCs w:val="21"/>
              </w:rPr>
              <w:t>主管部门</w:t>
            </w:r>
          </w:p>
        </w:tc>
        <w:tc>
          <w:tcPr>
            <w:tcW w:w="4454"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rFonts w:hint="eastAsia"/>
                <w:color w:val="000000"/>
                <w:kern w:val="0"/>
                <w:sz w:val="21"/>
                <w:szCs w:val="21"/>
                <w:lang w:val="en-US" w:eastAsia="zh-CN"/>
              </w:rPr>
            </w:pPr>
            <w:r>
              <w:rPr>
                <w:rFonts w:hint="eastAsia"/>
                <w:color w:val="000000"/>
                <w:kern w:val="0"/>
                <w:sz w:val="21"/>
                <w:szCs w:val="21"/>
                <w:lang w:val="en-US" w:eastAsia="zh-CN"/>
              </w:rPr>
              <w:t>湖南省农业农村厅</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2850"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rFonts w:hint="eastAsia" w:eastAsia="仿宋_GB2312"/>
                <w:color w:val="000000"/>
                <w:kern w:val="0"/>
                <w:sz w:val="21"/>
                <w:szCs w:val="21"/>
                <w:lang w:eastAsia="zh-CN"/>
              </w:rPr>
            </w:pPr>
            <w:r>
              <w:rPr>
                <w:rFonts w:hint="eastAsia"/>
                <w:color w:val="000000"/>
                <w:kern w:val="0"/>
                <w:sz w:val="21"/>
                <w:szCs w:val="21"/>
                <w:lang w:val="en-US" w:eastAsia="zh-CN"/>
              </w:rPr>
              <w:t>湖南省兽药饲料监察所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eastAsia="仿宋_GB2312"/>
                <w:color w:val="000000"/>
                <w:kern w:val="0"/>
                <w:sz w:val="21"/>
                <w:szCs w:val="21"/>
                <w:lang w:eastAsia="zh-CN"/>
              </w:rPr>
            </w:pPr>
            <w:r>
              <w:rPr>
                <w:color w:val="000000"/>
                <w:kern w:val="0"/>
                <w:sz w:val="21"/>
                <w:szCs w:val="21"/>
              </w:rPr>
              <w:t>项目资金</w:t>
            </w:r>
            <w:r>
              <w:rPr>
                <w:color w:val="000000"/>
                <w:kern w:val="0"/>
                <w:sz w:val="21"/>
                <w:szCs w:val="21"/>
              </w:rPr>
              <w:br w:type="textWrapping"/>
            </w:r>
            <w:r>
              <w:rPr>
                <w:rFonts w:hint="eastAsia"/>
                <w:color w:val="000000"/>
                <w:kern w:val="0"/>
                <w:sz w:val="21"/>
                <w:szCs w:val="21"/>
                <w:lang w:val="en-US" w:eastAsia="zh-CN"/>
              </w:rPr>
              <w:t>(</w:t>
            </w:r>
            <w:r>
              <w:rPr>
                <w:color w:val="000000"/>
                <w:kern w:val="0"/>
                <w:sz w:val="21"/>
                <w:szCs w:val="21"/>
              </w:rPr>
              <w:t>万元</w:t>
            </w:r>
            <w:r>
              <w:rPr>
                <w:rFonts w:hint="eastAsia"/>
                <w:color w:val="000000"/>
                <w:kern w:val="0"/>
                <w:sz w:val="21"/>
                <w:szCs w:val="21"/>
                <w:lang w:val="en-US" w:eastAsia="zh-CN"/>
              </w:rPr>
              <w:t>)</w:t>
            </w:r>
          </w:p>
        </w:tc>
        <w:tc>
          <w:tcPr>
            <w:tcW w:w="2615"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eastAsia="仿宋_GB2312"/>
                <w:color w:val="000000"/>
                <w:kern w:val="0"/>
                <w:sz w:val="21"/>
                <w:szCs w:val="21"/>
                <w:lang w:eastAsia="zh-CN"/>
              </w:rPr>
            </w:pPr>
            <w:r>
              <w:rPr>
                <w:color w:val="000000"/>
                <w:kern w:val="0"/>
                <w:sz w:val="21"/>
                <w:szCs w:val="21"/>
              </w:rPr>
              <w:t>　</w:t>
            </w: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eastAsia="仿宋_GB2312"/>
                <w:color w:val="000000"/>
                <w:kern w:val="0"/>
                <w:sz w:val="18"/>
                <w:szCs w:val="18"/>
                <w:lang w:val="en-US" w:eastAsia="zh-CN" w:bidi="ar-SA"/>
              </w:rPr>
            </w:pPr>
            <w:r>
              <w:rPr>
                <w:color w:val="000000"/>
                <w:kern w:val="0"/>
                <w:sz w:val="18"/>
                <w:szCs w:val="18"/>
              </w:rPr>
              <w:t>年初预算数</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18"/>
                <w:szCs w:val="18"/>
              </w:rPr>
            </w:pPr>
            <w:r>
              <w:rPr>
                <w:color w:val="000000"/>
                <w:kern w:val="0"/>
                <w:sz w:val="18"/>
                <w:szCs w:val="18"/>
              </w:rPr>
              <w:t>全年预算数</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hd w:val="clear"/>
              <w:adjustRightInd/>
              <w:spacing w:line="280" w:lineRule="exact"/>
              <w:ind w:firstLine="0" w:firstLineChars="0"/>
              <w:jc w:val="center"/>
              <w:textAlignment w:val="center"/>
              <w:rPr>
                <w:sz w:val="18"/>
                <w:szCs w:val="18"/>
              </w:rPr>
            </w:pPr>
            <w:r>
              <w:rPr>
                <w:sz w:val="18"/>
                <w:szCs w:val="18"/>
              </w:rPr>
              <w:t>全年执行数</w:t>
            </w:r>
          </w:p>
        </w:tc>
        <w:tc>
          <w:tcPr>
            <w:tcW w:w="540" w:type="dxa"/>
            <w:tcBorders>
              <w:top w:val="single" w:color="auto" w:sz="4" w:space="0"/>
              <w:left w:val="single" w:color="auto" w:sz="4" w:space="0"/>
              <w:bottom w:val="single" w:color="auto" w:sz="4" w:space="0"/>
              <w:right w:val="single" w:color="auto" w:sz="4" w:space="0"/>
            </w:tcBorders>
            <w:noWrap w:val="0"/>
            <w:vAlign w:val="center"/>
          </w:tcPr>
          <w:p>
            <w:pPr>
              <w:shd w:val="clear"/>
              <w:adjustRightInd/>
              <w:spacing w:line="280" w:lineRule="exact"/>
              <w:ind w:firstLine="0" w:firstLineChars="0"/>
              <w:jc w:val="center"/>
              <w:textAlignment w:val="center"/>
              <w:rPr>
                <w:sz w:val="18"/>
                <w:szCs w:val="18"/>
              </w:rPr>
            </w:pPr>
            <w:r>
              <w:rPr>
                <w:spacing w:val="-23"/>
                <w:sz w:val="18"/>
                <w:szCs w:val="18"/>
              </w:rPr>
              <w:t>分值</w:t>
            </w:r>
          </w:p>
        </w:tc>
        <w:tc>
          <w:tcPr>
            <w:tcW w:w="660" w:type="dxa"/>
            <w:tcBorders>
              <w:top w:val="single" w:color="auto" w:sz="4" w:space="0"/>
              <w:left w:val="single" w:color="auto" w:sz="4" w:space="0"/>
              <w:bottom w:val="single" w:color="auto" w:sz="4" w:space="0"/>
              <w:right w:val="single" w:color="auto" w:sz="4" w:space="0"/>
            </w:tcBorders>
            <w:noWrap w:val="0"/>
            <w:vAlign w:val="center"/>
          </w:tcPr>
          <w:p>
            <w:pPr>
              <w:shd w:val="clear"/>
              <w:adjustRightInd/>
              <w:spacing w:line="280" w:lineRule="exact"/>
              <w:ind w:firstLine="0" w:firstLineChars="0"/>
              <w:jc w:val="center"/>
              <w:textAlignment w:val="center"/>
              <w:rPr>
                <w:sz w:val="18"/>
                <w:szCs w:val="18"/>
              </w:rPr>
            </w:pPr>
            <w:r>
              <w:rPr>
                <w:rFonts w:ascii="Times New Roman" w:hAnsi="Times New Roman" w:cs="Times New Roman"/>
                <w:spacing w:val="-23"/>
                <w:sz w:val="18"/>
                <w:szCs w:val="18"/>
              </w:rPr>
              <w:t>执行率</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shd w:val="clea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2615"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color w:val="000000"/>
                <w:kern w:val="0"/>
                <w:sz w:val="21"/>
                <w:szCs w:val="21"/>
              </w:rPr>
              <w:t>年度资金总额</w:t>
            </w: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0.00</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671.92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669.10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99%</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2615"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210" w:firstLineChars="100"/>
              <w:jc w:val="both"/>
              <w:textAlignment w:val="center"/>
              <w:rPr>
                <w:rFonts w:hint="default" w:eastAsia="仿宋_GB2312"/>
                <w:color w:val="000000"/>
                <w:kern w:val="0"/>
                <w:sz w:val="21"/>
                <w:szCs w:val="21"/>
                <w:lang w:val="en-US" w:eastAsia="zh-CN" w:bidi="ar-SA"/>
              </w:rPr>
            </w:pPr>
            <w:r>
              <w:rPr>
                <w:color w:val="000000"/>
                <w:kern w:val="0"/>
                <w:sz w:val="21"/>
                <w:szCs w:val="21"/>
              </w:rPr>
              <w:t>其中：当年财政拨款　</w:t>
            </w: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0.00</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60.00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57.18</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2615"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840" w:firstLineChars="400"/>
              <w:jc w:val="both"/>
              <w:textAlignment w:val="center"/>
              <w:rPr>
                <w:rFonts w:hint="default" w:eastAsia="仿宋_GB2312"/>
                <w:color w:val="000000"/>
                <w:kern w:val="0"/>
                <w:sz w:val="21"/>
                <w:szCs w:val="21"/>
                <w:lang w:val="en-US" w:eastAsia="zh-CN"/>
              </w:rPr>
            </w:pPr>
            <w:r>
              <w:rPr>
                <w:color w:val="000000"/>
                <w:kern w:val="0"/>
                <w:sz w:val="21"/>
                <w:szCs w:val="21"/>
              </w:rPr>
              <w:t>上年结转资金　</w:t>
            </w: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0.00</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611.92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611.92</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2615"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840" w:firstLineChars="400"/>
              <w:jc w:val="both"/>
              <w:textAlignment w:val="center"/>
              <w:rPr>
                <w:rFonts w:hint="default" w:eastAsia="仿宋_GB2312"/>
                <w:color w:val="000000"/>
                <w:kern w:val="0"/>
                <w:sz w:val="21"/>
                <w:szCs w:val="21"/>
                <w:lang w:val="en-US" w:eastAsia="zh-CN" w:bidi="ar-SA"/>
              </w:rPr>
            </w:pPr>
            <w:r>
              <w:rPr>
                <w:color w:val="000000"/>
                <w:kern w:val="0"/>
                <w:sz w:val="21"/>
                <w:szCs w:val="21"/>
              </w:rPr>
              <w:t>其他资金</w:t>
            </w: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0.00</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0.00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color w:val="000000"/>
                <w:kern w:val="0"/>
                <w:sz w:val="21"/>
                <w:szCs w:val="21"/>
                <w:lang w:val="en-US" w:eastAsia="zh-CN"/>
              </w:rPr>
              <w:t>0.00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5475" w:type="dxa"/>
            <w:gridSpan w:val="5"/>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3990"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5475" w:type="dxa"/>
            <w:gridSpan w:val="5"/>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rFonts w:hint="eastAsia"/>
                <w:color w:val="000000"/>
                <w:kern w:val="0"/>
                <w:sz w:val="21"/>
                <w:szCs w:val="21"/>
              </w:rPr>
            </w:pPr>
            <w:r>
              <w:rPr>
                <w:rFonts w:hint="eastAsia"/>
                <w:color w:val="000000"/>
                <w:kern w:val="0"/>
                <w:sz w:val="21"/>
                <w:szCs w:val="21"/>
              </w:rPr>
              <w:t>优化兽药质量检验和兽药风险监测设施，补齐仪器设备缺口，提升检测能力和精度，保障动物产品质量安全，提升湖南省兽药饲料监察所的兽药质量和兽药残留</w:t>
            </w:r>
          </w:p>
          <w:p>
            <w:pPr>
              <w:widowControl/>
              <w:shd w:val="clear"/>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检测能力和水平。</w:t>
            </w:r>
          </w:p>
        </w:tc>
        <w:tc>
          <w:tcPr>
            <w:tcW w:w="3990"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r>
              <w:rPr>
                <w:rFonts w:hint="eastAsia"/>
                <w:color w:val="000000"/>
                <w:kern w:val="0"/>
                <w:sz w:val="21"/>
                <w:szCs w:val="21"/>
              </w:rPr>
              <w:t>基本完成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818"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21"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一级</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指标</w:t>
            </w:r>
          </w:p>
        </w:tc>
        <w:tc>
          <w:tcPr>
            <w:tcW w:w="855"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二级</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指标</w:t>
            </w: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color w:val="000000"/>
                <w:kern w:val="0"/>
                <w:sz w:val="21"/>
                <w:szCs w:val="21"/>
              </w:rPr>
            </w:pPr>
            <w:r>
              <w:rPr>
                <w:rFonts w:hint="eastAsia"/>
                <w:color w:val="000000"/>
                <w:kern w:val="0"/>
                <w:sz w:val="21"/>
                <w:szCs w:val="21"/>
              </w:rPr>
              <w:t>实施</w:t>
            </w:r>
          </w:p>
          <w:p>
            <w:pPr>
              <w:widowControl/>
              <w:shd w:val="clear"/>
              <w:adjustRightInd/>
              <w:spacing w:line="280" w:lineRule="exact"/>
              <w:ind w:firstLine="0" w:firstLineChars="0"/>
              <w:jc w:val="center"/>
              <w:textAlignment w:val="center"/>
              <w:rPr>
                <w:rFonts w:hint="eastAsia"/>
                <w:color w:val="000000"/>
                <w:kern w:val="0"/>
                <w:sz w:val="21"/>
                <w:szCs w:val="21"/>
              </w:rPr>
            </w:pPr>
            <w:r>
              <w:rPr>
                <w:rFonts w:hint="eastAsia"/>
                <w:color w:val="000000"/>
                <w:kern w:val="0"/>
                <w:sz w:val="21"/>
                <w:szCs w:val="21"/>
              </w:rPr>
              <w:t>效果</w:t>
            </w:r>
          </w:p>
          <w:p>
            <w:pPr>
              <w:widowControl/>
              <w:shd w:val="clear"/>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指标</w:t>
            </w:r>
          </w:p>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855"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rFonts w:hint="eastAsia"/>
                <w:color w:val="000000"/>
                <w:kern w:val="0"/>
                <w:sz w:val="21"/>
                <w:szCs w:val="21"/>
              </w:rPr>
            </w:pPr>
            <w:r>
              <w:rPr>
                <w:rFonts w:hint="eastAsia"/>
                <w:color w:val="000000"/>
                <w:kern w:val="0"/>
                <w:sz w:val="21"/>
                <w:szCs w:val="21"/>
              </w:rPr>
              <w:t>产出</w:t>
            </w:r>
          </w:p>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指标</w:t>
            </w: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建设项目个数</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rFonts w:hint="eastAsia" w:eastAsia="仿宋_GB2312"/>
                <w:color w:val="000000"/>
                <w:kern w:val="0"/>
                <w:sz w:val="21"/>
                <w:szCs w:val="21"/>
                <w:lang w:val="en-US" w:eastAsia="zh-CN"/>
              </w:rPr>
            </w:pPr>
            <w:r>
              <w:rPr>
                <w:rFonts w:hint="eastAsia"/>
                <w:color w:val="000000"/>
                <w:kern w:val="0"/>
                <w:sz w:val="21"/>
                <w:szCs w:val="21"/>
                <w:lang w:val="en-US" w:eastAsia="zh-CN"/>
              </w:rPr>
              <w:t>1</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rFonts w:hint="eastAsia" w:eastAsia="仿宋_GB2312"/>
                <w:color w:val="000000"/>
                <w:kern w:val="0"/>
                <w:sz w:val="21"/>
                <w:szCs w:val="21"/>
                <w:lang w:val="en-US" w:eastAsia="zh-CN" w:bidi="ar-SA"/>
              </w:rPr>
            </w:pPr>
            <w:r>
              <w:rPr>
                <w:rFonts w:hint="eastAsia"/>
                <w:color w:val="000000"/>
                <w:kern w:val="0"/>
                <w:sz w:val="21"/>
                <w:szCs w:val="21"/>
                <w:lang w:val="en-US" w:eastAsia="zh-CN"/>
              </w:rPr>
              <w:t>1</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8</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8</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5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工程竣工验收合格率</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8</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8</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5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按进度计划实施情况</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按计划执行</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按计划执行</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8</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8</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55"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效益指标</w:t>
            </w: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可承担兽药质量检测项目</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≥5个</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≥5个</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8</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8</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5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可承担残留检验任务量</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≥300批次</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≥300批次</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9</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9</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5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r>
              <w:rPr>
                <w:rFonts w:hint="eastAsia"/>
                <w:color w:val="000000"/>
                <w:kern w:val="0"/>
                <w:sz w:val="21"/>
                <w:szCs w:val="21"/>
              </w:rPr>
              <w:t>项目持续发挥作用的期限</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rPr>
              <w:t>≥10年</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≥10年</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9</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9</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restart"/>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eastAsia"/>
                <w:color w:val="000000"/>
                <w:kern w:val="0"/>
                <w:sz w:val="21"/>
                <w:szCs w:val="21"/>
              </w:rPr>
            </w:pPr>
            <w:r>
              <w:rPr>
                <w:rFonts w:hint="eastAsia"/>
                <w:color w:val="000000"/>
                <w:kern w:val="0"/>
                <w:sz w:val="21"/>
                <w:szCs w:val="21"/>
              </w:rPr>
              <w:t>过程</w:t>
            </w:r>
          </w:p>
          <w:p>
            <w:pPr>
              <w:widowControl/>
              <w:shd w:val="clear"/>
              <w:adjustRightInd/>
              <w:spacing w:line="280" w:lineRule="exact"/>
              <w:ind w:firstLine="0" w:firstLineChars="0"/>
              <w:jc w:val="center"/>
              <w:textAlignment w:val="center"/>
              <w:rPr>
                <w:rFonts w:hint="eastAsia"/>
                <w:color w:val="000000"/>
                <w:kern w:val="0"/>
                <w:sz w:val="21"/>
                <w:szCs w:val="21"/>
              </w:rPr>
            </w:pPr>
            <w:r>
              <w:rPr>
                <w:rFonts w:hint="eastAsia"/>
                <w:color w:val="000000"/>
                <w:kern w:val="0"/>
                <w:sz w:val="21"/>
                <w:szCs w:val="21"/>
              </w:rPr>
              <w:t>管理</w:t>
            </w:r>
          </w:p>
          <w:p>
            <w:pPr>
              <w:widowControl/>
              <w:shd w:val="clear"/>
              <w:adjustRightInd/>
              <w:spacing w:line="280" w:lineRule="exact"/>
              <w:ind w:firstLine="0" w:firstLineChars="0"/>
              <w:jc w:val="center"/>
              <w:textAlignment w:val="center"/>
              <w:rPr>
                <w:rFonts w:hint="eastAsia"/>
                <w:color w:val="000000"/>
                <w:kern w:val="0"/>
                <w:sz w:val="21"/>
                <w:szCs w:val="21"/>
              </w:rPr>
            </w:pPr>
            <w:r>
              <w:rPr>
                <w:rFonts w:hint="eastAsia"/>
                <w:color w:val="000000"/>
                <w:kern w:val="0"/>
                <w:sz w:val="21"/>
                <w:szCs w:val="21"/>
              </w:rPr>
              <w:t>指标</w:t>
            </w:r>
          </w:p>
          <w:p>
            <w:pPr>
              <w:widowControl/>
              <w:shd w:val="clear"/>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val="en-US" w:eastAsia="zh-CN"/>
              </w:rPr>
              <w:t>(</w:t>
            </w:r>
            <w:r>
              <w:rPr>
                <w:color w:val="000000"/>
                <w:kern w:val="0"/>
                <w:sz w:val="21"/>
                <w:szCs w:val="21"/>
              </w:rPr>
              <w:t>30分</w:t>
            </w:r>
            <w:r>
              <w:rPr>
                <w:rFonts w:hint="eastAsia"/>
                <w:color w:val="000000"/>
                <w:kern w:val="0"/>
                <w:sz w:val="21"/>
                <w:szCs w:val="21"/>
                <w:lang w:val="en-US" w:eastAsia="zh-CN"/>
              </w:rPr>
              <w:t>)</w:t>
            </w:r>
          </w:p>
        </w:tc>
        <w:tc>
          <w:tcPr>
            <w:tcW w:w="855"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计划管理指标</w:t>
            </w: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投资计划分解(转发)用时达标率</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5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“两个责任”按项目落实到位率</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≥95%</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≥95%</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55"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计划管理指标</w:t>
            </w: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投资计划分解(转发)用时达标率</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≥65%</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≥65%</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5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“两个责任”按项目落实到位率</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≥80%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≥80%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55"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资金管理指标</w:t>
            </w: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中央预算内投资支付率</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100%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100%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5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年度计划投资完成率</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5</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85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监督检查指标</w:t>
            </w: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审计、督查、巡视等指出问题项目比例</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0</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Merge w:val="continue"/>
            <w:tcBorders>
              <w:top w:val="nil"/>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left"/>
              <w:textAlignment w:val="center"/>
              <w:rPr>
                <w:color w:val="000000"/>
                <w:kern w:val="0"/>
                <w:sz w:val="21"/>
                <w:szCs w:val="21"/>
              </w:rPr>
            </w:pPr>
          </w:p>
        </w:tc>
        <w:tc>
          <w:tcPr>
            <w:tcW w:w="102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exact"/>
              <w:ind w:firstLine="0" w:firstLineChars="0"/>
              <w:jc w:val="center"/>
              <w:textAlignment w:val="center"/>
              <w:rPr>
                <w:color w:val="000000"/>
                <w:kern w:val="0"/>
                <w:sz w:val="21"/>
                <w:szCs w:val="21"/>
              </w:rPr>
            </w:pPr>
            <w:r>
              <w:rPr>
                <w:color w:val="000000"/>
                <w:kern w:val="0"/>
                <w:sz w:val="21"/>
                <w:szCs w:val="21"/>
              </w:rPr>
              <w:t>满意度</w:t>
            </w:r>
          </w:p>
          <w:p>
            <w:pPr>
              <w:keepNext w:val="0"/>
              <w:keepLines w:val="0"/>
              <w:pageBreakBefore w:val="0"/>
              <w:widowControl/>
              <w:shd w:val="clear"/>
              <w:kinsoku/>
              <w:wordWrap/>
              <w:overflowPunct/>
              <w:topLinePunct w:val="0"/>
              <w:autoSpaceDE/>
              <w:autoSpaceDN/>
              <w:bidi w:val="0"/>
              <w:adjustRightInd/>
              <w:snapToGrid w:val="0"/>
              <w:spacing w:line="220" w:lineRule="exact"/>
              <w:ind w:firstLine="0" w:firstLineChars="0"/>
              <w:jc w:val="center"/>
              <w:textAlignment w:val="center"/>
              <w:rPr>
                <w:color w:val="000000"/>
                <w:kern w:val="0"/>
                <w:sz w:val="21"/>
                <w:szCs w:val="21"/>
              </w:rPr>
            </w:pPr>
            <w:r>
              <w:rPr>
                <w:color w:val="000000"/>
                <w:kern w:val="0"/>
                <w:sz w:val="21"/>
                <w:szCs w:val="21"/>
              </w:rPr>
              <w:t>指标</w:t>
            </w:r>
          </w:p>
          <w:p>
            <w:pPr>
              <w:keepNext w:val="0"/>
              <w:keepLines w:val="0"/>
              <w:pageBreakBefore w:val="0"/>
              <w:widowControl/>
              <w:shd w:val="clear"/>
              <w:kinsoku/>
              <w:wordWrap/>
              <w:overflowPunct/>
              <w:topLinePunct w:val="0"/>
              <w:autoSpaceDE/>
              <w:autoSpaceDN/>
              <w:bidi w:val="0"/>
              <w:adjustRightInd/>
              <w:snapToGrid w:val="0"/>
              <w:spacing w:line="22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val="en-US" w:eastAsia="zh-CN"/>
              </w:rPr>
              <w:t>(</w:t>
            </w:r>
            <w:r>
              <w:rPr>
                <w:color w:val="000000"/>
                <w:kern w:val="0"/>
                <w:sz w:val="21"/>
                <w:szCs w:val="21"/>
              </w:rPr>
              <w:t>10分</w:t>
            </w:r>
            <w:r>
              <w:rPr>
                <w:rFonts w:hint="eastAsia"/>
                <w:color w:val="000000"/>
                <w:kern w:val="0"/>
                <w:sz w:val="21"/>
                <w:szCs w:val="21"/>
                <w:lang w:val="en-US" w:eastAsia="zh-CN"/>
              </w:rPr>
              <w:t>)</w:t>
            </w:r>
          </w:p>
        </w:tc>
        <w:tc>
          <w:tcPr>
            <w:tcW w:w="85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20" w:lineRule="exact"/>
              <w:ind w:firstLine="0" w:firstLineChars="0"/>
              <w:jc w:val="center"/>
              <w:textAlignment w:val="auto"/>
              <w:rPr>
                <w:color w:val="000000"/>
                <w:kern w:val="0"/>
                <w:sz w:val="21"/>
                <w:szCs w:val="21"/>
              </w:rPr>
            </w:pPr>
            <w:r>
              <w:rPr>
                <w:color w:val="000000"/>
                <w:kern w:val="0"/>
                <w:sz w:val="21"/>
                <w:szCs w:val="21"/>
              </w:rPr>
              <w:t>服务对象满意度指标</w:t>
            </w:r>
          </w:p>
        </w:tc>
        <w:tc>
          <w:tcPr>
            <w:tcW w:w="231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r>
              <w:rPr>
                <w:rFonts w:hint="eastAsia"/>
                <w:color w:val="000000"/>
                <w:kern w:val="0"/>
                <w:sz w:val="21"/>
                <w:szCs w:val="21"/>
              </w:rPr>
              <w:t>受益群众和机构满意度</w:t>
            </w:r>
          </w:p>
        </w:tc>
        <w:tc>
          <w:tcPr>
            <w:tcW w:w="12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rPr>
              <w:t>≥95%</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rFonts w:eastAsia="仿宋_GB2312"/>
                <w:color w:val="000000"/>
                <w:kern w:val="0"/>
                <w:sz w:val="21"/>
                <w:szCs w:val="21"/>
                <w:lang w:val="en-US" w:eastAsia="zh-CN" w:bidi="ar-SA"/>
              </w:rPr>
            </w:pPr>
            <w:r>
              <w:rPr>
                <w:rFonts w:hint="eastAsia"/>
                <w:color w:val="000000"/>
                <w:kern w:val="0"/>
                <w:sz w:val="21"/>
                <w:szCs w:val="21"/>
              </w:rPr>
              <w:t>≥95%</w:t>
            </w:r>
          </w:p>
        </w:tc>
        <w:tc>
          <w:tcPr>
            <w:tcW w:w="5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10</w:t>
            </w:r>
          </w:p>
        </w:tc>
        <w:tc>
          <w:tcPr>
            <w:tcW w:w="6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center"/>
              <w:textAlignment w:val="auto"/>
              <w:rPr>
                <w:color w:val="000000"/>
                <w:kern w:val="0"/>
                <w:sz w:val="21"/>
                <w:szCs w:val="21"/>
              </w:rPr>
            </w:pPr>
            <w:r>
              <w:rPr>
                <w:rFonts w:hint="eastAsia"/>
                <w:color w:val="000000"/>
                <w:kern w:val="0"/>
                <w:sz w:val="21"/>
                <w:szCs w:val="21"/>
                <w:lang w:val="en-US" w:eastAsia="zh-CN"/>
              </w:rPr>
              <w:t>4</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val="0"/>
              <w:spacing w:line="240" w:lineRule="atLeast"/>
              <w:ind w:firstLine="0" w:firstLineChars="0"/>
              <w:jc w:val="left"/>
              <w:textAlignment w:val="auto"/>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33" w:type="dxa"/>
            <w:gridSpan w:val="7"/>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66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99</w:t>
            </w:r>
          </w:p>
        </w:tc>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shd w:val="clear"/>
              <w:adjustRightInd/>
              <w:spacing w:line="280" w:lineRule="exact"/>
              <w:ind w:firstLine="0" w:firstLineChars="0"/>
              <w:jc w:val="center"/>
              <w:textAlignment w:val="center"/>
              <w:rPr>
                <w:color w:val="000000"/>
                <w:kern w:val="0"/>
                <w:sz w:val="21"/>
                <w:szCs w:val="21"/>
              </w:rPr>
            </w:pPr>
          </w:p>
        </w:tc>
      </w:tr>
    </w:tbl>
    <w:p>
      <w:pPr>
        <w:shd w:val="clear"/>
        <w:spacing w:line="600" w:lineRule="exact"/>
        <w:ind w:left="0" w:leftChars="0" w:firstLine="0" w:firstLineChars="0"/>
        <w:rPr>
          <w:rFonts w:hint="eastAsia" w:eastAsia="仿宋_GB2312"/>
          <w:lang w:val="en-US" w:eastAsia="zh-CN"/>
        </w:rPr>
      </w:pPr>
    </w:p>
    <w:p>
      <w:pPr>
        <w:pStyle w:val="15"/>
        <w:shd w:val="clear"/>
        <w:jc w:val="center"/>
        <w:rPr>
          <w:rFonts w:ascii="Times New Roman" w:hAnsi="Times New Roman" w:cs="Times New Roman"/>
          <w:sz w:val="72"/>
          <w:szCs w:val="72"/>
          <w:highlight w:val="none"/>
        </w:rPr>
      </w:pPr>
    </w:p>
    <w:sectPr>
      <w:footerReference r:id="rId12" w:type="default"/>
      <w:pgSz w:w="11906" w:h="16838"/>
      <w:pgMar w:top="997" w:right="1588" w:bottom="690"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B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ind w:firstLine="0" w:firstLineChars="0"/>
      <w:rPr>
        <w:rStyle w:val="12"/>
        <w:sz w:val="28"/>
        <w:szCs w:val="28"/>
      </w:rPr>
    </w:pPr>
    <w:r>
      <w:rPr>
        <w:rStyle w:val="12"/>
        <w:rFonts w:hint="eastAsia"/>
        <w:sz w:val="28"/>
        <w:szCs w:val="28"/>
      </w:rPr>
      <w:t>—</w:t>
    </w:r>
    <w:r>
      <w:rPr>
        <w:sz w:val="28"/>
        <w:szCs w:val="28"/>
      </w:rPr>
      <w:fldChar w:fldCharType="begin"/>
    </w:r>
    <w:r>
      <w:rPr>
        <w:rStyle w:val="12"/>
        <w:sz w:val="28"/>
        <w:szCs w:val="28"/>
      </w:rPr>
      <w:instrText xml:space="preserve">PAGE  </w:instrText>
    </w:r>
    <w:r>
      <w:rPr>
        <w:sz w:val="28"/>
        <w:szCs w:val="28"/>
      </w:rPr>
      <w:fldChar w:fldCharType="separate"/>
    </w:r>
    <w:r>
      <w:rPr>
        <w:rStyle w:val="12"/>
        <w:sz w:val="28"/>
        <w:szCs w:val="28"/>
      </w:rPr>
      <w:t>3</w:t>
    </w:r>
    <w:r>
      <w:rPr>
        <w:sz w:val="28"/>
        <w:szCs w:val="28"/>
      </w:rPr>
      <w:fldChar w:fldCharType="end"/>
    </w:r>
    <w:r>
      <w:rPr>
        <w:rStyle w:val="12"/>
        <w:rFonts w:hint="eastAsia"/>
        <w:sz w:val="28"/>
        <w:szCs w:val="28"/>
      </w:rPr>
      <w:t>—</w:t>
    </w:r>
  </w:p>
  <w:p>
    <w:pPr>
      <w:pStyle w:val="7"/>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ind w:firstLine="0" w:firstLineChars="0"/>
      <w:rPr>
        <w:rStyle w:val="12"/>
        <w:sz w:val="28"/>
        <w:szCs w:val="28"/>
      </w:rPr>
    </w:pPr>
    <w:r>
      <w:rPr>
        <w:rStyle w:val="12"/>
        <w:rFonts w:hint="eastAsia"/>
        <w:sz w:val="28"/>
        <w:szCs w:val="28"/>
      </w:rPr>
      <w:t>—</w:t>
    </w:r>
    <w:r>
      <w:rPr>
        <w:sz w:val="28"/>
        <w:szCs w:val="28"/>
      </w:rPr>
      <w:fldChar w:fldCharType="begin"/>
    </w:r>
    <w:r>
      <w:rPr>
        <w:rStyle w:val="12"/>
        <w:sz w:val="28"/>
        <w:szCs w:val="28"/>
      </w:rPr>
      <w:instrText xml:space="preserve">PAGE  </w:instrText>
    </w:r>
    <w:r>
      <w:rPr>
        <w:sz w:val="28"/>
        <w:szCs w:val="28"/>
      </w:rPr>
      <w:fldChar w:fldCharType="separate"/>
    </w:r>
    <w:r>
      <w:rPr>
        <w:rStyle w:val="12"/>
        <w:sz w:val="28"/>
        <w:szCs w:val="28"/>
      </w:rPr>
      <w:t>2</w:t>
    </w:r>
    <w:r>
      <w:rPr>
        <w:sz w:val="28"/>
        <w:szCs w:val="28"/>
      </w:rPr>
      <w:fldChar w:fldCharType="end"/>
    </w:r>
    <w:r>
      <w:rPr>
        <w:rStyle w:val="12"/>
        <w:rFonts w:hint="eastAsia"/>
        <w:sz w:val="28"/>
        <w:szCs w:val="28"/>
      </w:rPr>
      <w:t>—</w:t>
    </w:r>
  </w:p>
  <w:p>
    <w:pPr>
      <w:pStyle w:val="7"/>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EE405B"/>
    <w:multiLevelType w:val="singleLevel"/>
    <w:tmpl w:val="56EE405B"/>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B40D8A"/>
    <w:rsid w:val="07FE2B6F"/>
    <w:rsid w:val="0AD74CBB"/>
    <w:rsid w:val="0AFC5ECA"/>
    <w:rsid w:val="0BCC2481"/>
    <w:rsid w:val="127E402D"/>
    <w:rsid w:val="17B73545"/>
    <w:rsid w:val="1D97DEFF"/>
    <w:rsid w:val="1DFF72E5"/>
    <w:rsid w:val="1EFC6F07"/>
    <w:rsid w:val="21260517"/>
    <w:rsid w:val="24D449AE"/>
    <w:rsid w:val="25306515"/>
    <w:rsid w:val="262B14E1"/>
    <w:rsid w:val="26E11F56"/>
    <w:rsid w:val="2CF908D5"/>
    <w:rsid w:val="2D2D5D95"/>
    <w:rsid w:val="2FDF85B8"/>
    <w:rsid w:val="2FFFEE04"/>
    <w:rsid w:val="308B33F3"/>
    <w:rsid w:val="30CE7CA0"/>
    <w:rsid w:val="34DF85B0"/>
    <w:rsid w:val="37DD2C1D"/>
    <w:rsid w:val="395EC630"/>
    <w:rsid w:val="3A9A30B6"/>
    <w:rsid w:val="3B8F36BC"/>
    <w:rsid w:val="3C687FDC"/>
    <w:rsid w:val="3D7B08F3"/>
    <w:rsid w:val="42EF2BDC"/>
    <w:rsid w:val="449D475F"/>
    <w:rsid w:val="491FF225"/>
    <w:rsid w:val="498D0F3C"/>
    <w:rsid w:val="49D9419C"/>
    <w:rsid w:val="4B4172FE"/>
    <w:rsid w:val="4E6D46B7"/>
    <w:rsid w:val="4FFD214C"/>
    <w:rsid w:val="51C33608"/>
    <w:rsid w:val="52622C38"/>
    <w:rsid w:val="5761540C"/>
    <w:rsid w:val="5777D4F5"/>
    <w:rsid w:val="57B431FC"/>
    <w:rsid w:val="59741916"/>
    <w:rsid w:val="59D73FBA"/>
    <w:rsid w:val="59DD8326"/>
    <w:rsid w:val="5C2C1DED"/>
    <w:rsid w:val="5C9A5B38"/>
    <w:rsid w:val="5D9E0718"/>
    <w:rsid w:val="5DDD760A"/>
    <w:rsid w:val="5DEF592A"/>
    <w:rsid w:val="5FC6BB1E"/>
    <w:rsid w:val="5FF720F1"/>
    <w:rsid w:val="659A744E"/>
    <w:rsid w:val="667322A4"/>
    <w:rsid w:val="67FF5C0B"/>
    <w:rsid w:val="69CF5CF5"/>
    <w:rsid w:val="6A572E50"/>
    <w:rsid w:val="6BDC5B4D"/>
    <w:rsid w:val="6EFC0924"/>
    <w:rsid w:val="6FB74722"/>
    <w:rsid w:val="6FEF8B7E"/>
    <w:rsid w:val="71A6591B"/>
    <w:rsid w:val="737D59BA"/>
    <w:rsid w:val="741F25BF"/>
    <w:rsid w:val="76FF1CAE"/>
    <w:rsid w:val="77C37683"/>
    <w:rsid w:val="79760218"/>
    <w:rsid w:val="79D19834"/>
    <w:rsid w:val="79FF515B"/>
    <w:rsid w:val="7E3C0F32"/>
    <w:rsid w:val="7E9E1962"/>
    <w:rsid w:val="7E9F11B4"/>
    <w:rsid w:val="7F37EC1E"/>
    <w:rsid w:val="7F6D15B4"/>
    <w:rsid w:val="7F7DCD9D"/>
    <w:rsid w:val="7F970A6F"/>
    <w:rsid w:val="7FC1FFF3"/>
    <w:rsid w:val="7FC69637"/>
    <w:rsid w:val="7FDF8620"/>
    <w:rsid w:val="7FE8C8F7"/>
    <w:rsid w:val="7FFB242F"/>
    <w:rsid w:val="7FFDB408"/>
    <w:rsid w:val="7FFE4EEB"/>
    <w:rsid w:val="7FFF9594"/>
    <w:rsid w:val="95FB2B98"/>
    <w:rsid w:val="9A639BC2"/>
    <w:rsid w:val="9FF7D786"/>
    <w:rsid w:val="ABBFB23D"/>
    <w:rsid w:val="C3B4DA5A"/>
    <w:rsid w:val="CAFF8CBC"/>
    <w:rsid w:val="CBFF70E0"/>
    <w:rsid w:val="CFF50B82"/>
    <w:rsid w:val="CFFFAD89"/>
    <w:rsid w:val="DFFE359E"/>
    <w:rsid w:val="DFFE4FFD"/>
    <w:rsid w:val="EEABED75"/>
    <w:rsid w:val="EF6FE155"/>
    <w:rsid w:val="F56FDF51"/>
    <w:rsid w:val="F6B69F17"/>
    <w:rsid w:val="F77F1D61"/>
    <w:rsid w:val="F7FED3A9"/>
    <w:rsid w:val="F8C9DB26"/>
    <w:rsid w:val="F97E8EAE"/>
    <w:rsid w:val="FB36E1A6"/>
    <w:rsid w:val="FB3BE134"/>
    <w:rsid w:val="FCFF4275"/>
    <w:rsid w:val="FD7FEEEA"/>
    <w:rsid w:val="FDCB9AC9"/>
    <w:rsid w:val="FDFFB577"/>
    <w:rsid w:val="FEEA50FE"/>
    <w:rsid w:val="FF7D47A9"/>
    <w:rsid w:val="FFCF21CB"/>
    <w:rsid w:val="FFF7D2E0"/>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line="700" w:lineRule="exact"/>
      <w:ind w:firstLine="0" w:firstLineChars="0"/>
      <w:jc w:val="center"/>
      <w:outlineLvl w:val="0"/>
    </w:pPr>
    <w:rPr>
      <w:rFonts w:ascii="Times New Roman" w:hAnsi="Times New Roman" w:eastAsia="方正小标宋简体"/>
      <w:bCs/>
      <w:kern w:val="44"/>
      <w:sz w:val="44"/>
      <w:szCs w:val="44"/>
    </w:rPr>
  </w:style>
  <w:style w:type="paragraph" w:styleId="3">
    <w:name w:val="heading 2"/>
    <w:basedOn w:val="1"/>
    <w:next w:val="1"/>
    <w:qFormat/>
    <w:uiPriority w:val="0"/>
    <w:pPr>
      <w:outlineLvl w:val="1"/>
    </w:pPr>
    <w:rPr>
      <w:rFonts w:ascii="Times New Roman" w:hAnsi="Times New Roman" w:eastAsia="黑体"/>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styleId="12">
    <w:name w:val="page number"/>
    <w:basedOn w:val="11"/>
    <w:qFormat/>
    <w:uiPriority w:val="0"/>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6"/>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 w:type="paragraph" w:customStyle="1" w:styleId="21">
    <w:name w:val="列出段落1"/>
    <w:basedOn w:val="1"/>
    <w:qFormat/>
    <w:uiPriority w:val="0"/>
    <w:pPr>
      <w:adjustRightInd/>
      <w:snapToGrid/>
      <w:spacing w:line="360" w:lineRule="auto"/>
      <w:ind w:firstLine="420"/>
    </w:pPr>
    <w:rPr>
      <w:rFonts w:ascii="Calibri" w:hAnsi="Calibri"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901</Words>
  <Characters>911</Characters>
  <Lines>69</Lines>
  <Paragraphs>19</Paragraphs>
  <TotalTime>7</TotalTime>
  <ScaleCrop>false</ScaleCrop>
  <LinksUpToDate>false</LinksUpToDate>
  <CharactersWithSpaces>932</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2025-08-20T02:17:00Z</dcterms:created>
  <dc:creator>李航 null</dc:creator>
  <cp:lastModifiedBy>greatwall</cp:lastModifiedBy>
  <cp:lastPrinted>2024-08-10T10:20:00Z</cp:lastPrinted>
  <dcterms:modified xsi:type="dcterms:W3CDTF">2025-09-17T11:15:34Z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A635164E56CB48D1BF3993BCE3119234_13</vt:lpwstr>
  </property>
  <property fmtid="{D5CDD505-2E9C-101B-9397-08002B2CF9AE}" pid="4" name="KSOTemplateDocerSaveRecord">
    <vt:lpwstr>eyJoZGlkIjoiNjhiNTdjODQ5MmYwMGEzZTg3MjhjOGFhNDFjYWU4ZWQiLCJ1c2VySWQiOiI1ODAzNjUifQ==</vt:lpwstr>
  </property>
</Properties>
</file>