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both"/>
        <w:rPr>
          <w:rFonts w:hAnsi="黑体"/>
          <w:sz w:val="36"/>
          <w:szCs w:val="36"/>
        </w:rPr>
      </w:pPr>
    </w:p>
    <w:p>
      <w:pPr>
        <w:pStyle w:val="18"/>
        <w:jc w:val="center"/>
        <w:rPr>
          <w:rFonts w:ascii="Times New Roman" w:hAnsi="Times New Roman" w:cs="Times New Roman"/>
          <w:sz w:val="56"/>
          <w:szCs w:val="56"/>
        </w:rPr>
      </w:pPr>
    </w:p>
    <w:p>
      <w:pPr>
        <w:pStyle w:val="18"/>
        <w:jc w:val="center"/>
        <w:rPr>
          <w:rFonts w:ascii="Times New Roman" w:hAnsi="Times New Roman" w:cs="Times New Roman"/>
          <w:sz w:val="84"/>
          <w:szCs w:val="84"/>
        </w:rPr>
      </w:pPr>
    </w:p>
    <w:p>
      <w:pPr>
        <w:pStyle w:val="18"/>
        <w:jc w:val="center"/>
        <w:rPr>
          <w:rFonts w:ascii="Times New Roman" w:hAnsi="Times New Roman" w:cs="Times New Roman"/>
          <w:sz w:val="84"/>
          <w:szCs w:val="84"/>
        </w:rPr>
      </w:pPr>
    </w:p>
    <w:p>
      <w:pPr>
        <w:pStyle w:val="18"/>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8"/>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w:t>
      </w:r>
      <w:r>
        <w:rPr>
          <w:rFonts w:hint="eastAsia" w:ascii="Times New Roman" w:hAnsi="Times New Roman" w:eastAsia="方正小标宋简体" w:cs="Times New Roman"/>
          <w:sz w:val="72"/>
          <w:szCs w:val="72"/>
          <w:lang w:val="en-US" w:eastAsia="zh-CN"/>
        </w:rPr>
        <w:t>农业</w:t>
      </w:r>
      <w:r>
        <w:rPr>
          <w:rFonts w:hint="eastAsia" w:ascii="Times New Roman" w:hAnsi="Times New Roman" w:eastAsia="方正小标宋简体" w:cs="Times New Roman"/>
          <w:sz w:val="72"/>
          <w:szCs w:val="72"/>
          <w:lang w:eastAsia="zh-CN"/>
        </w:rPr>
        <w:t>人才交流服务中心</w:t>
      </w:r>
      <w:r>
        <w:rPr>
          <w:rFonts w:ascii="Times New Roman" w:hAnsi="Times New Roman" w:eastAsia="方正小标宋简体" w:cs="Times New Roman"/>
          <w:sz w:val="72"/>
          <w:szCs w:val="72"/>
        </w:rPr>
        <w:t>部门决算</w:t>
      </w:r>
    </w:p>
    <w:p>
      <w:pPr>
        <w:pStyle w:val="18"/>
        <w:jc w:val="center"/>
        <w:rPr>
          <w:rFonts w:ascii="Times New Roman" w:hAnsi="Times New Roman" w:eastAsia="方正小标宋_GBK" w:cs="Times New Roman"/>
          <w:sz w:val="56"/>
          <w:szCs w:val="56"/>
        </w:rPr>
      </w:pPr>
    </w:p>
    <w:p>
      <w:pPr>
        <w:pStyle w:val="18"/>
        <w:rPr>
          <w:rFonts w:ascii="Times New Roman" w:hAnsi="Times New Roman" w:cs="Times New Roman"/>
          <w:sz w:val="56"/>
          <w:szCs w:val="56"/>
        </w:rPr>
      </w:pPr>
    </w:p>
    <w:p>
      <w:pPr>
        <w:pStyle w:val="18"/>
        <w:jc w:val="center"/>
        <w:rPr>
          <w:rFonts w:ascii="Times New Roman" w:hAnsi="Times New Roman" w:cs="Times New Roman"/>
          <w:sz w:val="32"/>
          <w:szCs w:val="32"/>
        </w:rPr>
      </w:pPr>
    </w:p>
    <w:p>
      <w:pPr>
        <w:pStyle w:val="18"/>
        <w:jc w:val="center"/>
        <w:rPr>
          <w:rFonts w:ascii="Times New Roman" w:hAnsi="Times New Roman" w:cs="Times New Roman"/>
          <w:sz w:val="32"/>
          <w:szCs w:val="32"/>
        </w:rPr>
      </w:pPr>
    </w:p>
    <w:p>
      <w:pPr>
        <w:pStyle w:val="18"/>
        <w:jc w:val="center"/>
        <w:rPr>
          <w:rFonts w:ascii="Times New Roman" w:hAnsi="Times New Roman" w:cs="Times New Roman"/>
          <w:sz w:val="32"/>
          <w:szCs w:val="32"/>
        </w:rPr>
      </w:pPr>
    </w:p>
    <w:p>
      <w:pPr>
        <w:pStyle w:val="18"/>
        <w:jc w:val="center"/>
        <w:rPr>
          <w:rFonts w:ascii="Times New Roman" w:hAnsi="Times New Roman" w:cs="Times New Roman"/>
          <w:sz w:val="32"/>
          <w:szCs w:val="32"/>
        </w:rPr>
      </w:pPr>
    </w:p>
    <w:p>
      <w:pPr>
        <w:pStyle w:val="18"/>
        <w:jc w:val="center"/>
        <w:rPr>
          <w:rFonts w:ascii="Times New Roman" w:hAnsi="Times New Roman" w:cs="Times New Roman"/>
          <w:sz w:val="32"/>
          <w:szCs w:val="32"/>
        </w:rPr>
      </w:pPr>
    </w:p>
    <w:p>
      <w:pPr>
        <w:pStyle w:val="18"/>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8"/>
        <w:spacing w:line="600" w:lineRule="exact"/>
        <w:jc w:val="center"/>
        <w:rPr>
          <w:rFonts w:ascii="Times New Roman" w:hAnsi="Times New Roman" w:cs="Times New Roman"/>
          <w:b/>
          <w:sz w:val="36"/>
          <w:szCs w:val="28"/>
        </w:rPr>
      </w:pPr>
    </w:p>
    <w:p>
      <w:pPr>
        <w:pStyle w:val="18"/>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 单位概况</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湖南省农业人才交流服务中心单位</w:t>
      </w:r>
      <w:r>
        <w:rPr>
          <w:rFonts w:ascii="Times New Roman" w:hAnsi="Times New Roman" w:eastAsia="仿宋_GB2312" w:cs="Times New Roman"/>
          <w:sz w:val="32"/>
          <w:szCs w:val="32"/>
        </w:rPr>
        <w:t>职责</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8"/>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8"/>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8"/>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8"/>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8"/>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8"/>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3"/>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8"/>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8"/>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w:t>
      </w:r>
      <w:r>
        <w:rPr>
          <w:rFonts w:hint="eastAsia" w:ascii="Times New Roman" w:hAnsi="Times New Roman" w:eastAsia="方正小标宋_GBK" w:cs="Times New Roman"/>
          <w:sz w:val="52"/>
          <w:szCs w:val="52"/>
          <w:lang w:val="en-US" w:eastAsia="zh-CN"/>
        </w:rPr>
        <w:t>农业</w:t>
      </w:r>
      <w:r>
        <w:rPr>
          <w:rFonts w:hint="eastAsia" w:ascii="Times New Roman" w:hAnsi="Times New Roman" w:eastAsia="方正小标宋_GBK" w:cs="Times New Roman"/>
          <w:sz w:val="52"/>
          <w:szCs w:val="52"/>
          <w:lang w:eastAsia="zh-CN"/>
        </w:rPr>
        <w:t>人才交流服务中心</w:t>
      </w:r>
      <w:r>
        <w:rPr>
          <w:rFonts w:ascii="Times New Roman" w:hAnsi="Times New Roman" w:eastAsia="方正小标宋_GBK" w:cs="Times New Roman"/>
          <w:sz w:val="52"/>
          <w:szCs w:val="52"/>
        </w:rPr>
        <w:t>概况</w:t>
      </w:r>
    </w:p>
    <w:p>
      <w:pPr>
        <w:pStyle w:val="9"/>
        <w:ind w:left="0" w:leftChars="0" w:firstLine="0" w:firstLineChars="0"/>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一</w:t>
      </w:r>
      <w:r>
        <w:rPr>
          <w:rFonts w:hint="eastAsia" w:eastAsia="仿宋_GB2312"/>
          <w:color w:val="auto"/>
          <w:sz w:val="32"/>
          <w:szCs w:val="32"/>
          <w:lang w:eastAsia="zh-CN"/>
        </w:rPr>
        <w:t>）</w:t>
      </w:r>
      <w:r>
        <w:rPr>
          <w:rFonts w:hint="eastAsia" w:eastAsia="仿宋_GB2312"/>
          <w:color w:val="auto"/>
          <w:sz w:val="32"/>
          <w:szCs w:val="32"/>
        </w:rPr>
        <w:t>开展农业农村人才政策理论研究，为乡村人才振兴提供农业农村人才发展规划建议，积极参与研究编制“十四五”农业农村人才队伍建设发展规划；</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二</w:t>
      </w:r>
      <w:r>
        <w:rPr>
          <w:rFonts w:hint="eastAsia" w:eastAsia="仿宋_GB2312"/>
          <w:color w:val="auto"/>
          <w:sz w:val="32"/>
          <w:szCs w:val="32"/>
          <w:lang w:eastAsia="zh-CN"/>
        </w:rPr>
        <w:t>）</w:t>
      </w:r>
      <w:r>
        <w:rPr>
          <w:rFonts w:hint="eastAsia" w:eastAsia="仿宋_GB2312"/>
          <w:color w:val="auto"/>
          <w:sz w:val="32"/>
          <w:szCs w:val="32"/>
        </w:rPr>
        <w:t>负责农村实用人才队伍建设。</w:t>
      </w:r>
      <w:r>
        <w:rPr>
          <w:rFonts w:eastAsia="仿宋_GB2312"/>
          <w:color w:val="auto"/>
          <w:sz w:val="32"/>
          <w:szCs w:val="32"/>
        </w:rPr>
        <w:t>组织实施</w:t>
      </w:r>
      <w:r>
        <w:rPr>
          <w:rFonts w:hint="eastAsia" w:eastAsia="仿宋_GB2312"/>
          <w:color w:val="auto"/>
          <w:sz w:val="32"/>
          <w:szCs w:val="32"/>
        </w:rPr>
        <w:t>农村实用人才示范培训基地建设和农村实用人才培训调训工作；制定农村实用人才等级评价办法;开展优秀农村实用人才评选表彰活动；定期开展农村实用人才全口径统计并建档入库工作。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三</w:t>
      </w:r>
      <w:r>
        <w:rPr>
          <w:rFonts w:hint="eastAsia" w:eastAsia="仿宋_GB2312"/>
          <w:color w:val="auto"/>
          <w:sz w:val="32"/>
          <w:szCs w:val="32"/>
          <w:lang w:eastAsia="zh-CN"/>
        </w:rPr>
        <w:t>）</w:t>
      </w:r>
      <w:r>
        <w:rPr>
          <w:rFonts w:hint="eastAsia" w:eastAsia="仿宋_GB2312"/>
          <w:color w:val="auto"/>
          <w:sz w:val="32"/>
          <w:szCs w:val="32"/>
        </w:rPr>
        <w:t>负责乡村优秀人才资助项目遴选工作。宣传贯彻落实《湖南省乡村人才振兴行动计划》（湘组发[2019]2号）文件精神，组织实施“湖南省十佳农民”、“湖南省十佳农技推广标兵”等遴选资助项目，组织实施“扎根基层优秀人才支持计划”和“农村实用人才创业兴业支持计划”，激发广大农业农村人才扎根基层创业创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四</w:t>
      </w:r>
      <w:r>
        <w:rPr>
          <w:rFonts w:hint="eastAsia" w:eastAsia="仿宋_GB2312"/>
          <w:color w:val="auto"/>
          <w:sz w:val="32"/>
          <w:szCs w:val="32"/>
          <w:lang w:eastAsia="zh-CN"/>
        </w:rPr>
        <w:t>）</w:t>
      </w:r>
      <w:r>
        <w:rPr>
          <w:rFonts w:hint="eastAsia" w:eastAsia="仿宋_GB2312"/>
          <w:color w:val="auto"/>
          <w:sz w:val="32"/>
          <w:szCs w:val="32"/>
        </w:rPr>
        <w:t>负责组织农业技能大赛。搭建竞技平台，联合协调各方，举办全省农业行业职业技能大赛，以赛促训，为人才脱颖而出搭建平台。</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五</w:t>
      </w:r>
      <w:r>
        <w:rPr>
          <w:rFonts w:hint="eastAsia" w:eastAsia="仿宋_GB2312"/>
          <w:color w:val="auto"/>
          <w:sz w:val="32"/>
          <w:szCs w:val="32"/>
          <w:lang w:eastAsia="zh-CN"/>
        </w:rPr>
        <w:t>）</w:t>
      </w:r>
      <w:r>
        <w:rPr>
          <w:rFonts w:hint="eastAsia" w:eastAsia="仿宋_GB2312"/>
          <w:color w:val="auto"/>
          <w:sz w:val="32"/>
          <w:szCs w:val="32"/>
        </w:rPr>
        <w:t>承办农业专业技术人员队伍建设，主要是农业系列职称改革和评审工作；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六</w:t>
      </w:r>
      <w:r>
        <w:rPr>
          <w:rFonts w:hint="eastAsia" w:eastAsia="仿宋_GB2312"/>
          <w:color w:val="auto"/>
          <w:sz w:val="32"/>
          <w:szCs w:val="32"/>
          <w:lang w:eastAsia="zh-CN"/>
        </w:rPr>
        <w:t>）</w:t>
      </w:r>
      <w:r>
        <w:rPr>
          <w:rFonts w:hint="eastAsia" w:eastAsia="仿宋_GB2312"/>
          <w:color w:val="auto"/>
          <w:sz w:val="32"/>
          <w:szCs w:val="32"/>
        </w:rPr>
        <w:t>承办农业行业特有工种职业技能鉴定监督管</w:t>
      </w:r>
      <w:r>
        <w:rPr>
          <w:rFonts w:hint="eastAsia" w:eastAsia="仿宋_GB2312"/>
          <w:color w:val="auto"/>
          <w:sz w:val="32"/>
          <w:szCs w:val="32"/>
          <w:lang w:eastAsia="zh-CN"/>
        </w:rPr>
        <w:t>理</w:t>
      </w:r>
      <w:r>
        <w:rPr>
          <w:rFonts w:hint="eastAsia" w:eastAsia="仿宋_GB2312"/>
          <w:color w:val="auto"/>
          <w:sz w:val="32"/>
          <w:szCs w:val="32"/>
        </w:rPr>
        <w:t>、农业行业工人技术等级考核（考试）工作；</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both"/>
        <w:textAlignment w:val="auto"/>
        <w:rPr>
          <w:rFonts w:hint="eastAsia" w:eastAsia="仿宋_GB2312"/>
          <w:color w:val="auto"/>
          <w:sz w:val="32"/>
          <w:szCs w:val="32"/>
        </w:rPr>
      </w:pPr>
      <w:r>
        <w:rPr>
          <w:rFonts w:hint="eastAsia" w:eastAsia="仿宋_GB2312"/>
          <w:color w:val="auto"/>
          <w:sz w:val="32"/>
          <w:szCs w:val="32"/>
          <w:lang w:eastAsia="zh-CN"/>
        </w:rPr>
        <w:t>（</w:t>
      </w:r>
      <w:r>
        <w:rPr>
          <w:rFonts w:hint="eastAsia" w:eastAsia="仿宋_GB2312"/>
          <w:color w:val="auto"/>
          <w:sz w:val="32"/>
          <w:szCs w:val="32"/>
        </w:rPr>
        <w:t>七</w:t>
      </w:r>
      <w:r>
        <w:rPr>
          <w:rFonts w:hint="eastAsia" w:eastAsia="仿宋_GB2312"/>
          <w:color w:val="auto"/>
          <w:sz w:val="32"/>
          <w:szCs w:val="32"/>
          <w:lang w:eastAsia="zh-CN"/>
        </w:rPr>
        <w:t>）</w:t>
      </w:r>
      <w:r>
        <w:rPr>
          <w:rFonts w:hint="eastAsia" w:eastAsia="仿宋_GB2312"/>
          <w:color w:val="auto"/>
          <w:sz w:val="32"/>
          <w:szCs w:val="32"/>
        </w:rPr>
        <w:t>承办专家服务、选拔、推荐、培养工作；</w:t>
      </w:r>
    </w:p>
    <w:p>
      <w:pPr>
        <w:widowControl/>
        <w:spacing w:line="60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w:t>
      </w:r>
      <w:r>
        <w:rPr>
          <w:rFonts w:hint="eastAsia" w:eastAsia="仿宋_GB2312"/>
          <w:color w:val="auto"/>
          <w:sz w:val="32"/>
          <w:szCs w:val="32"/>
        </w:rPr>
        <w:t>八</w:t>
      </w:r>
      <w:r>
        <w:rPr>
          <w:rFonts w:hint="eastAsia" w:eastAsia="仿宋_GB2312"/>
          <w:color w:val="auto"/>
          <w:sz w:val="32"/>
          <w:szCs w:val="32"/>
          <w:lang w:eastAsia="zh-CN"/>
        </w:rPr>
        <w:t>）</w:t>
      </w:r>
      <w:r>
        <w:rPr>
          <w:rFonts w:hint="eastAsia" w:eastAsia="仿宋_GB2312"/>
          <w:color w:val="auto"/>
          <w:sz w:val="32"/>
          <w:szCs w:val="32"/>
        </w:rPr>
        <w:t>协助做好报送全省农业农村系统国有单位人事劳动统计工作</w:t>
      </w:r>
      <w:r>
        <w:rPr>
          <w:rFonts w:hint="eastAsia" w:eastAsia="仿宋_GB2312"/>
          <w:color w:val="auto"/>
          <w:sz w:val="32"/>
          <w:szCs w:val="32"/>
          <w:lang w:eastAsia="zh-CN"/>
        </w:rPr>
        <w:t>。</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560" w:lineRule="exact"/>
        <w:ind w:firstLine="640" w:firstLineChars="200"/>
        <w:jc w:val="both"/>
        <w:rPr>
          <w:rFonts w:eastAsia="仿宋_GB2312"/>
          <w:color w:val="auto"/>
          <w:sz w:val="32"/>
          <w:szCs w:val="32"/>
        </w:rPr>
      </w:pPr>
      <w:r>
        <w:rPr>
          <w:rFonts w:hint="eastAsia" w:ascii="Times New Roman" w:hAnsi="Times New Roman" w:eastAsia="仿宋_GB2312" w:cs="仿宋_GB2312"/>
          <w:bCs/>
          <w:color w:val="auto"/>
          <w:kern w:val="0"/>
          <w:sz w:val="32"/>
          <w:szCs w:val="32"/>
        </w:rPr>
        <w:t>（一）内设机构设置。</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内设机构包括：</w:t>
      </w:r>
      <w:r>
        <w:rPr>
          <w:rFonts w:hint="eastAsia" w:eastAsia="仿宋_GB2312"/>
          <w:color w:val="auto"/>
          <w:sz w:val="32"/>
          <w:szCs w:val="32"/>
        </w:rPr>
        <w:t>综合科、</w:t>
      </w:r>
      <w:r>
        <w:rPr>
          <w:rFonts w:hint="eastAsia" w:eastAsia="仿宋_GB2312"/>
          <w:color w:val="auto"/>
          <w:sz w:val="32"/>
          <w:szCs w:val="32"/>
          <w:lang w:eastAsia="zh-CN"/>
        </w:rPr>
        <w:t>人才培养评价科</w:t>
      </w:r>
      <w:r>
        <w:rPr>
          <w:rFonts w:hint="eastAsia" w:eastAsia="仿宋_GB2312"/>
          <w:color w:val="auto"/>
          <w:sz w:val="32"/>
          <w:szCs w:val="32"/>
          <w:lang w:val="en-US" w:eastAsia="zh-CN"/>
        </w:rPr>
        <w:t>2</w:t>
      </w:r>
      <w:r>
        <w:rPr>
          <w:rFonts w:hint="eastAsia" w:eastAsia="仿宋_GB2312"/>
          <w:color w:val="auto"/>
          <w:sz w:val="32"/>
          <w:szCs w:val="32"/>
        </w:rPr>
        <w:t>个科室机构。</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hint="eastAsia" w:ascii="Times New Roman" w:hAnsi="Times New Roman" w:eastAsia="仿宋_GB2312" w:cs="仿宋_GB2312"/>
          <w:bCs/>
          <w:color w:val="auto"/>
          <w:kern w:val="0"/>
          <w:sz w:val="32"/>
          <w:szCs w:val="32"/>
        </w:rPr>
        <w:t>（二）决算单位构成。</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202</w:t>
      </w:r>
      <w:r>
        <w:rPr>
          <w:rFonts w:hint="eastAsia" w:ascii="Times New Roman" w:hAnsi="Times New Roman" w:eastAsia="仿宋_GB2312" w:cs="仿宋_GB2312"/>
          <w:bCs/>
          <w:color w:val="auto"/>
          <w:kern w:val="0"/>
          <w:sz w:val="32"/>
          <w:szCs w:val="32"/>
          <w:lang w:val="en-US" w:eastAsia="zh-CN"/>
        </w:rPr>
        <w:t>4</w:t>
      </w:r>
      <w:r>
        <w:rPr>
          <w:rFonts w:hint="eastAsia" w:ascii="Times New Roman" w:hAnsi="Times New Roman" w:eastAsia="仿宋_GB2312" w:cs="仿宋_GB2312"/>
          <w:bCs/>
          <w:color w:val="auto"/>
          <w:kern w:val="0"/>
          <w:sz w:val="32"/>
          <w:szCs w:val="32"/>
        </w:rPr>
        <w:t>年部门决算汇总公开单位构成包括：</w:t>
      </w:r>
      <w:r>
        <w:rPr>
          <w:rFonts w:hint="eastAsia" w:eastAsia="仿宋_GB2312"/>
          <w:color w:val="auto"/>
          <w:sz w:val="32"/>
          <w:szCs w:val="32"/>
          <w:lang w:eastAsia="zh-CN"/>
        </w:rPr>
        <w:t>湖南省农业人才交流服务中心</w:t>
      </w:r>
      <w:r>
        <w:rPr>
          <w:rFonts w:hint="eastAsia" w:ascii="Times New Roman" w:hAnsi="Times New Roman" w:eastAsia="仿宋_GB2312" w:cs="仿宋_GB2312"/>
          <w:bCs/>
          <w:color w:val="auto"/>
          <w:kern w:val="0"/>
          <w:sz w:val="32"/>
          <w:szCs w:val="32"/>
        </w:rPr>
        <w:t>本级</w:t>
      </w:r>
      <w:r>
        <w:rPr>
          <w:rFonts w:hint="eastAsia" w:ascii="Times New Roman" w:hAnsi="Times New Roman" w:eastAsia="仿宋_GB2312" w:cs="仿宋_GB2312"/>
          <w:bCs/>
          <w:color w:val="auto"/>
          <w:kern w:val="0"/>
          <w:sz w:val="32"/>
          <w:szCs w:val="32"/>
          <w:lang w:eastAsia="zh-CN"/>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13"/>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8"/>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4"/>
        <w:tblW w:w="145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544"/>
        <w:gridCol w:w="720"/>
        <w:gridCol w:w="1065"/>
        <w:gridCol w:w="3387"/>
        <w:gridCol w:w="469"/>
        <w:gridCol w:w="33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32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24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155.75</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155.75</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14.24</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169.99</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3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169.99</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both"/>
        <w:rPr>
          <w:rFonts w:ascii="Times New Roman" w:hAnsi="Times New Roman" w:eastAsia="仿宋_GB2312" w:cs="Times New Roman"/>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hint="eastAsia" w:ascii="Times New Roman" w:hAnsi="Times New Roman" w:eastAsia="仿宋_GB2312" w:cs="Times New Roman"/>
          <w:lang w:val="en-US" w:eastAsia="zh-CN"/>
        </w:rPr>
        <w:t xml:space="preserve">                      单位：万元</w:t>
      </w:r>
      <w:r>
        <w:rPr>
          <w:rFonts w:ascii="Times New Roman" w:hAnsi="Times New Roman" w:eastAsia="仿宋_GB2312" w:cs="Times New Roman"/>
          <w:sz w:val="24"/>
          <w:szCs w:val="24"/>
        </w:rPr>
        <w:tab/>
      </w:r>
      <w:r>
        <w:rPr>
          <w:rFonts w:ascii="Times New Roman" w:hAnsi="Times New Roman" w:eastAsia="仿宋_GB2312" w:cs="Times New Roman"/>
        </w:rPr>
        <w:t>　</w:t>
      </w:r>
    </w:p>
    <w:tbl>
      <w:tblPr>
        <w:tblStyle w:val="14"/>
        <w:tblW w:w="15686" w:type="dxa"/>
        <w:tblInd w:w="-5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50"/>
        <w:gridCol w:w="1650"/>
        <w:gridCol w:w="1650"/>
        <w:gridCol w:w="1650"/>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155.75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155.75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0.20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138.85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138.85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138.85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138.85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82.81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56.04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sz w:val="24"/>
          <w:szCs w:val="24"/>
        </w:rPr>
        <w:tab/>
      </w:r>
    </w:p>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kern w:val="0"/>
          <w:sz w:val="24"/>
          <w:szCs w:val="24"/>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hint="eastAsia" w:ascii="Times New Roman" w:hAnsi="Times New Roman" w:eastAsia="仿宋_GB2312" w:cs="Times New Roman"/>
          <w:lang w:val="en-US" w:eastAsia="zh-CN"/>
        </w:rPr>
        <w:t xml:space="preserve">      单位：万元</w:t>
      </w:r>
      <w:r>
        <w:rPr>
          <w:rFonts w:ascii="Times New Roman" w:hAnsi="Times New Roman" w:eastAsia="仿宋_GB2312" w:cs="Times New Roman"/>
          <w:sz w:val="24"/>
          <w:szCs w:val="24"/>
        </w:rPr>
        <w:tab/>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p>
    <w:tbl>
      <w:tblPr>
        <w:tblStyle w:val="14"/>
        <w:tblW w:w="14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19"/>
        <w:gridCol w:w="3603"/>
        <w:gridCol w:w="1649"/>
        <w:gridCol w:w="1649"/>
        <w:gridCol w:w="1650"/>
        <w:gridCol w:w="1650"/>
        <w:gridCol w:w="1650"/>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8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119.90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79.64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40.26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ab/>
      </w:r>
    </w:p>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jc w:val="both"/>
        <w:rPr>
          <w:rFonts w:hint="default" w:ascii="Times New Roman" w:hAnsi="Times New Roman" w:eastAsia="仿宋_GB2312" w:cs="Times New Roman"/>
          <w:color w:val="000000"/>
          <w:kern w:val="0"/>
          <w:sz w:val="20"/>
          <w:szCs w:val="20"/>
          <w:lang w:val="en-US" w:eastAsia="zh-CN" w:bidi="ar"/>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hint="eastAsia" w:ascii="Times New Roman" w:hAnsi="Times New Roman" w:eastAsia="仿宋_GB2312" w:cs="Times New Roman"/>
          <w:color w:val="000000"/>
          <w:kern w:val="0"/>
          <w:sz w:val="20"/>
          <w:szCs w:val="20"/>
          <w:lang w:val="en-US" w:eastAsia="zh-CN" w:bidi="ar"/>
        </w:rPr>
        <w:t xml:space="preserve">                                                                                                单位：万元</w:t>
      </w:r>
    </w:p>
    <w:tbl>
      <w:tblPr>
        <w:tblStyle w:val="14"/>
        <w:tblW w:w="15243" w:type="dxa"/>
        <w:tblInd w:w="-3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12"/>
        <w:gridCol w:w="523"/>
        <w:gridCol w:w="1438"/>
        <w:gridCol w:w="4397"/>
        <w:gridCol w:w="503"/>
        <w:gridCol w:w="896"/>
        <w:gridCol w:w="1462"/>
        <w:gridCol w:w="1172"/>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3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87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4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7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155.75</w:t>
            </w: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155.75</w:t>
            </w: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119.90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119.90</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14.24</w:t>
            </w: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50.09</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50.09</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14.24</w:t>
            </w: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单位：万元</w:t>
      </w:r>
    </w:p>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kern w:val="0"/>
          <w:szCs w:val="21"/>
        </w:rPr>
        <w:t xml:space="preserve">                                                                                       公开05表</w:t>
      </w:r>
    </w:p>
    <w:p>
      <w:pPr>
        <w:widowControl/>
        <w:ind w:firstLine="12810" w:firstLineChars="6100"/>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单位：万元</w:t>
      </w:r>
    </w:p>
    <w:p>
      <w:pPr>
        <w:pStyle w:val="13"/>
      </w:pPr>
    </w:p>
    <w:tbl>
      <w:tblPr>
        <w:tblStyle w:val="14"/>
        <w:tblW w:w="141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55"/>
        <w:gridCol w:w="4872"/>
        <w:gridCol w:w="2237"/>
        <w:gridCol w:w="2520"/>
        <w:gridCol w:w="2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25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87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23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5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87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9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92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119.90</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79.64</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6.47</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107.61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67.36</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8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2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5.81</w:t>
            </w:r>
          </w:p>
        </w:tc>
        <w:tc>
          <w:tcPr>
            <w:tcW w:w="25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p>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4"/>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68.82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10.80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17.75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2.88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26.52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6.47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6.91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6.14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0.18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4"/>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4"/>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b/>
                <w:bCs/>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b/>
                <w:bCs/>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68.82</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b/>
                <w:bCs/>
                <w:color w:val="000000"/>
                <w:kern w:val="0"/>
                <w:szCs w:val="18"/>
              </w:rPr>
            </w:pPr>
            <w:r>
              <w:rPr>
                <w:rFonts w:hint="eastAsia" w:ascii="宋体" w:hAnsi="宋体" w:eastAsia="宋体" w:cs="宋体"/>
                <w:i w:val="0"/>
                <w:color w:val="000000"/>
                <w:kern w:val="0"/>
                <w:sz w:val="22"/>
                <w:szCs w:val="22"/>
                <w:u w:val="none"/>
                <w:lang w:val="en-US" w:eastAsia="zh-CN" w:bidi="ar"/>
              </w:rPr>
              <w:t>10.80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4"/>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1"/>
                <w:rFonts w:hint="default" w:ascii="Times New Roman" w:hAnsi="Times New Roman" w:eastAsia="仿宋_GB2312" w:cs="Times New Roman"/>
                <w:b/>
                <w:bCs/>
                <w:lang w:bidi="ar"/>
              </w:rPr>
              <w:t xml:space="preserve">   </w:t>
            </w:r>
            <w:r>
              <w:rPr>
                <w:rStyle w:val="22"/>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4"/>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3"/>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3"/>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湖南省农业人才交流服务中心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4"/>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721"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8"/>
        <w:rPr>
          <w:rFonts w:ascii="Times New Roman" w:hAnsi="Times New Roman" w:cs="Times New Roman"/>
          <w:sz w:val="72"/>
          <w:szCs w:val="72"/>
        </w:rPr>
      </w:pPr>
    </w:p>
    <w:p>
      <w:pPr>
        <w:pStyle w:val="18"/>
        <w:rPr>
          <w:rFonts w:ascii="Times New Roman" w:hAnsi="Times New Roman" w:cs="Times New Roman"/>
          <w:sz w:val="72"/>
          <w:szCs w:val="72"/>
        </w:rPr>
      </w:pPr>
    </w:p>
    <w:p>
      <w:pPr>
        <w:pStyle w:val="18"/>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eastAsia="方正小标宋_GBK" w:cs="Times New Roman"/>
          <w:sz w:val="72"/>
          <w:szCs w:val="72"/>
        </w:rPr>
      </w:pPr>
    </w:p>
    <w:p>
      <w:pPr>
        <w:pStyle w:val="18"/>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8"/>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8"/>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169.99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0.61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年初结转结余减少。</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155.75</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155.75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119.90</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79.64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66.42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40.26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33.58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8"/>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169.99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0.61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年初结转结余减少。</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8"/>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119.90</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%，与上年相比，财政拨款支出与上年相比，减少</w:t>
      </w:r>
      <w:r>
        <w:rPr>
          <w:rFonts w:hint="eastAsia" w:ascii="Times New Roman" w:hAnsi="Times New Roman" w:eastAsia="仿宋_GB2312" w:cs="Times New Roman"/>
          <w:sz w:val="32"/>
          <w:szCs w:val="32"/>
          <w:lang w:val="en-US" w:eastAsia="zh-CN"/>
        </w:rPr>
        <w:t>15.57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11.50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人员减少，人员经费支出减少。</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8"/>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119.90</w:t>
      </w:r>
      <w:r>
        <w:rPr>
          <w:rFonts w:ascii="Times New Roman" w:hAnsi="Times New Roman" w:eastAsia="仿宋_GB2312" w:cs="Times New Roman"/>
          <w:sz w:val="32"/>
          <w:szCs w:val="32"/>
        </w:rPr>
        <w:t>万元，主要用于以下方面：</w:t>
      </w:r>
      <w:r>
        <w:rPr>
          <w:rFonts w:hint="eastAsia" w:ascii="Times New Roman" w:hAnsi="Times New Roman" w:eastAsia="仿宋_GB2312"/>
          <w:color w:val="auto"/>
          <w:sz w:val="32"/>
          <w:szCs w:val="32"/>
        </w:rPr>
        <w:t>社会保障和就业（类）支出</w:t>
      </w:r>
      <w:r>
        <w:rPr>
          <w:rFonts w:hint="eastAsia" w:ascii="Times New Roman" w:hAnsi="Times New Roman" w:eastAsia="仿宋_GB2312"/>
          <w:color w:val="auto"/>
          <w:sz w:val="32"/>
          <w:szCs w:val="32"/>
          <w:lang w:val="en-US" w:eastAsia="zh-CN"/>
        </w:rPr>
        <w:t>6.47</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5.40</w:t>
      </w:r>
      <w:r>
        <w:rPr>
          <w:rFonts w:hint="eastAsia" w:ascii="Times New Roman" w:hAnsi="Times New Roman" w:eastAsia="仿宋_GB2312"/>
          <w:color w:val="auto"/>
          <w:sz w:val="32"/>
          <w:szCs w:val="32"/>
        </w:rPr>
        <w:t>%；农林水（类）支出</w:t>
      </w:r>
      <w:r>
        <w:rPr>
          <w:rFonts w:hint="eastAsia" w:ascii="Times New Roman" w:hAnsi="Times New Roman" w:eastAsia="仿宋_GB2312"/>
          <w:color w:val="auto"/>
          <w:sz w:val="32"/>
          <w:szCs w:val="32"/>
          <w:lang w:val="en-US" w:eastAsia="zh-CN"/>
        </w:rPr>
        <w:t>107.61</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89.75%；</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5.81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4.85</w:t>
      </w:r>
      <w:r>
        <w:rPr>
          <w:rFonts w:hint="eastAsia" w:ascii="Times New Roman" w:hAnsi="Times New Roman" w:eastAsia="仿宋_GB2312"/>
          <w:sz w:val="32"/>
          <w:szCs w:val="32"/>
        </w:rPr>
        <w:t>%</w:t>
      </w:r>
      <w:r>
        <w:rPr>
          <w:rFonts w:hint="eastAsia" w:ascii="Times New Roman" w:hAnsi="Times New Roman" w:eastAsia="仿宋_GB2312"/>
          <w:color w:val="auto"/>
          <w:sz w:val="32"/>
          <w:szCs w:val="32"/>
          <w:lang w:val="en-US" w:eastAsia="zh-CN"/>
        </w:rPr>
        <w:t>。</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155.75</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119.90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76.99</w:t>
      </w:r>
      <w:r>
        <w:rPr>
          <w:rFonts w:ascii="Times New Roman" w:hAnsi="Times New Roman" w:eastAsia="仿宋_GB2312" w:cs="Times New Roman"/>
          <w:sz w:val="32"/>
          <w:szCs w:val="32"/>
        </w:rPr>
        <w:t>%，其中：</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val="en-US" w:eastAsia="zh-CN"/>
        </w:rPr>
        <w:t>教育支出</w:t>
      </w:r>
      <w:r>
        <w:rPr>
          <w:rFonts w:hint="eastAsia" w:ascii="Times New Roman" w:hAnsi="Times New Roman" w:eastAsia="仿宋_GB2312"/>
          <w:color w:val="auto"/>
          <w:sz w:val="32"/>
          <w:szCs w:val="32"/>
        </w:rPr>
        <w:t>（类）</w:t>
      </w:r>
      <w:r>
        <w:rPr>
          <w:rFonts w:hint="eastAsia" w:ascii="Times New Roman" w:hAnsi="Times New Roman" w:eastAsia="仿宋_GB2312"/>
          <w:color w:val="auto"/>
          <w:sz w:val="32"/>
          <w:szCs w:val="32"/>
          <w:lang w:val="en-US" w:eastAsia="zh-CN"/>
        </w:rPr>
        <w:t>进修及培训</w:t>
      </w:r>
      <w:r>
        <w:rPr>
          <w:rFonts w:hint="eastAsia" w:ascii="Times New Roman" w:hAnsi="Times New Roman" w:eastAsia="仿宋_GB2312"/>
          <w:color w:val="auto"/>
          <w:sz w:val="32"/>
          <w:szCs w:val="32"/>
        </w:rPr>
        <w:t>（款）</w:t>
      </w:r>
      <w:r>
        <w:rPr>
          <w:rFonts w:hint="eastAsia" w:ascii="Times New Roman" w:hAnsi="Times New Roman" w:eastAsia="仿宋_GB2312"/>
          <w:color w:val="auto"/>
          <w:sz w:val="32"/>
          <w:szCs w:val="32"/>
          <w:lang w:val="en-US" w:eastAsia="zh-CN"/>
        </w:rPr>
        <w:t>培训支出</w:t>
      </w:r>
      <w:r>
        <w:rPr>
          <w:rFonts w:hint="eastAsia" w:ascii="Times New Roman" w:hAnsi="Times New Roman" w:eastAsia="仿宋_GB2312"/>
          <w:color w:val="auto"/>
          <w:sz w:val="32"/>
          <w:szCs w:val="32"/>
        </w:rPr>
        <w:t>（项）。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0.20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val="en-US" w:eastAsia="zh-CN"/>
        </w:rPr>
        <w:t>因本年工作任务调整，相关培训未组织。</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社会保障和就业（类）行政事业单位养老支出（款）机关事业单位基本养老保险缴费支出（项）。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w:t>
      </w:r>
      <w:r>
        <w:rPr>
          <w:rFonts w:hint="eastAsia" w:ascii="Times New Roman" w:hAnsi="Times New Roman" w:eastAsia="仿宋_GB2312"/>
          <w:color w:val="auto"/>
          <w:sz w:val="32"/>
          <w:szCs w:val="32"/>
          <w:lang w:val="en-US" w:eastAsia="zh-CN"/>
        </w:rPr>
        <w:t>9.42</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6.47</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68.69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小</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人员经费有结余。</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、农林水</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（类）农业农村（款）事业运行（项）。</w:t>
      </w:r>
    </w:p>
    <w:p>
      <w:pPr>
        <w:pStyle w:val="18"/>
        <w:ind w:firstLine="640" w:firstLineChars="200"/>
        <w:jc w:val="both"/>
        <w:rPr>
          <w:rFonts w:hint="eastAsia" w:ascii="仿宋" w:hAnsi="仿宋" w:eastAsia="仿宋" w:cs="仿宋"/>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82.81</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67.36</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81.35</w:t>
      </w:r>
      <w:r>
        <w:rPr>
          <w:rFonts w:hint="eastAsia" w:ascii="Times New Roman" w:hAnsi="Times New Roman" w:eastAsia="仿宋_GB2312"/>
          <w:color w:val="auto"/>
          <w:sz w:val="32"/>
          <w:szCs w:val="32"/>
        </w:rPr>
        <w:t>%，决算数小于年初预算数的主要原因是：</w:t>
      </w:r>
      <w:r>
        <w:rPr>
          <w:rFonts w:hint="eastAsia" w:ascii="仿宋" w:hAnsi="仿宋" w:eastAsia="仿宋" w:cs="仿宋"/>
          <w:color w:val="auto"/>
          <w:sz w:val="32"/>
          <w:szCs w:val="32"/>
          <w:lang w:val="en-US" w:eastAsia="zh-CN"/>
        </w:rPr>
        <w:t>各项经费压减，年末有结余。</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、农林水</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（类）农业农村（款）其他农业农村支出（项）。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56.04</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40.28</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71.88</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小</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项目跨年实施。</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5.住房保障支出</w:t>
      </w:r>
      <w:r>
        <w:rPr>
          <w:rFonts w:hint="eastAsia" w:ascii="Times New Roman" w:hAnsi="Times New Roman" w:eastAsia="仿宋_GB2312"/>
          <w:color w:val="auto"/>
          <w:sz w:val="32"/>
          <w:szCs w:val="32"/>
        </w:rPr>
        <w:t>（类）</w:t>
      </w:r>
      <w:r>
        <w:rPr>
          <w:rFonts w:hint="eastAsia" w:ascii="Times New Roman" w:hAnsi="Times New Roman" w:eastAsia="仿宋_GB2312"/>
          <w:color w:val="auto"/>
          <w:sz w:val="32"/>
          <w:szCs w:val="32"/>
          <w:lang w:val="en-US" w:eastAsia="zh-CN"/>
        </w:rPr>
        <w:t>住房改革支出</w:t>
      </w:r>
      <w:r>
        <w:rPr>
          <w:rFonts w:hint="eastAsia" w:ascii="Times New Roman" w:hAnsi="Times New Roman" w:eastAsia="仿宋_GB2312"/>
          <w:color w:val="auto"/>
          <w:sz w:val="32"/>
          <w:szCs w:val="32"/>
        </w:rPr>
        <w:t>（款）</w:t>
      </w:r>
      <w:r>
        <w:rPr>
          <w:rFonts w:hint="eastAsia" w:ascii="Times New Roman" w:hAnsi="Times New Roman" w:eastAsia="仿宋_GB2312"/>
          <w:color w:val="auto"/>
          <w:sz w:val="32"/>
          <w:szCs w:val="32"/>
          <w:lang w:val="en-US" w:eastAsia="zh-CN"/>
        </w:rPr>
        <w:t>住房公积金</w:t>
      </w:r>
      <w:r>
        <w:rPr>
          <w:rFonts w:hint="eastAsia" w:ascii="Times New Roman" w:hAnsi="Times New Roman" w:eastAsia="仿宋_GB2312"/>
          <w:color w:val="auto"/>
          <w:sz w:val="32"/>
          <w:szCs w:val="32"/>
        </w:rPr>
        <w:t>（项）。</w:t>
      </w:r>
    </w:p>
    <w:p>
      <w:pPr>
        <w:pStyle w:val="18"/>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7.28</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5.81</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79.81</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小</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人员经费有结余。</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76.64</w:t>
      </w:r>
      <w:r>
        <w:rPr>
          <w:rFonts w:ascii="Times New Roman" w:hAnsi="Times New Roman" w:eastAsia="仿宋_GB2312" w:cs="Times New Roman"/>
          <w:sz w:val="32"/>
          <w:szCs w:val="32"/>
        </w:rPr>
        <w:t>万元，其中：</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68.62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13.56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主要包括基本工资、津贴补贴、伙食补助费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绩效工资、机关事业单位基本养老保险缴费、职工基本医疗保险缴费、住房公积金、其他对个人和家庭的补助等</w:t>
      </w:r>
      <w:r>
        <w:rPr>
          <w:rFonts w:ascii="Times New Roman" w:hAnsi="Times New Roman" w:eastAsia="仿宋_GB2312" w:cs="Times New Roman"/>
          <w:sz w:val="32"/>
          <w:szCs w:val="32"/>
        </w:rPr>
        <w:t>。</w:t>
      </w:r>
    </w:p>
    <w:p>
      <w:pPr>
        <w:pStyle w:val="18"/>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10.80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13.56</w:t>
      </w:r>
      <w:r>
        <w:rPr>
          <w:rFonts w:ascii="Times New Roman" w:hAnsi="Times New Roman" w:eastAsia="仿宋_GB2312" w:cs="Times New Roman"/>
          <w:sz w:val="32"/>
          <w:szCs w:val="32"/>
        </w:rPr>
        <w:t>%，主要包括办公费、印刷费、咨</w:t>
      </w:r>
      <w:r>
        <w:rPr>
          <w:rFonts w:hint="eastAsia" w:ascii="Times New Roman" w:hAnsi="Times New Roman" w:eastAsia="仿宋_GB2312" w:cs="Times New Roman"/>
          <w:sz w:val="32"/>
          <w:szCs w:val="32"/>
          <w:lang w:val="en-US" w:eastAsia="zh-CN"/>
        </w:rPr>
        <w:t>邮电费、差旅费、会议费、劳务费、工会经费、其他交通费用等</w:t>
      </w:r>
      <w:r>
        <w:rPr>
          <w:rFonts w:ascii="Times New Roman" w:hAnsi="Times New Roman" w:eastAsia="仿宋_GB2312" w:cs="Times New Roman"/>
          <w:sz w:val="32"/>
          <w:szCs w:val="32"/>
        </w:rPr>
        <w:t>。</w:t>
      </w:r>
    </w:p>
    <w:p>
      <w:pPr>
        <w:pStyle w:val="18"/>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val="en-US" w:eastAsia="zh-CN"/>
        </w:rPr>
        <w:t>厉行节约，从严控制“三公”经费支出</w:t>
      </w:r>
      <w:r>
        <w:rPr>
          <w:rFonts w:ascii="Times New Roman" w:hAnsi="Times New Roman" w:eastAsia="仿宋_GB2312" w:cs="Times New Roman"/>
          <w:sz w:val="32"/>
          <w:szCs w:val="32"/>
        </w:rPr>
        <w:t>。</w:t>
      </w:r>
    </w:p>
    <w:p>
      <w:pPr>
        <w:pStyle w:val="18"/>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8"/>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color w:val="auto"/>
          <w:sz w:val="32"/>
          <w:szCs w:val="32"/>
        </w:rPr>
        <w:t>1.因公出国（境）费支出预算为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。2024年度安排因公出国（境）团组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个，累计</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人次</w:t>
      </w:r>
      <w:r>
        <w:rPr>
          <w:rFonts w:hint="eastAsia" w:ascii="Times New Roman" w:hAnsi="Times New Roman" w:eastAsia="仿宋_GB2312" w:cs="Times New Roman"/>
          <w:color w:val="auto"/>
          <w:sz w:val="32"/>
          <w:szCs w:val="32"/>
          <w:lang w:eastAsia="zh-CN"/>
        </w:rPr>
        <w:t>。</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2.公务用车购置费及运行维护费支出预算为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。其中：</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万元，与上年相</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。单位本级更新公务用车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公务用车运行维护费支出预算为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万元，与上年</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。截止2024年12月31日，我单位开支财政拨款的公务用车保有量为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val="en-US" w:eastAsia="zh-CN"/>
        </w:rPr>
        <w:t>厉行节约，从严控制“三公”经费支出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8"/>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sz w:val="32"/>
          <w:szCs w:val="32"/>
        </w:rPr>
        <w:t>本单位无政府性基金收支</w:t>
      </w:r>
      <w:r>
        <w:rPr>
          <w:rFonts w:hint="eastAsia" w:ascii="Times New Roman" w:hAnsi="Times New Roman" w:eastAsia="仿宋_GB2312" w:cs="Times New Roman"/>
          <w:color w:val="auto"/>
          <w:sz w:val="32"/>
          <w:szCs w:val="32"/>
          <w:lang w:eastAsia="zh-CN"/>
        </w:rPr>
        <w:t>。</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本部门2024年度机关运行经费支</w:t>
      </w:r>
      <w:r>
        <w:rPr>
          <w:rFonts w:hint="eastAsia" w:ascii="Times New Roman" w:hAnsi="Times New Roman" w:eastAsia="仿宋_GB2312" w:cs="Times New Roman"/>
          <w:color w:val="auto"/>
          <w:sz w:val="32"/>
          <w:szCs w:val="32"/>
          <w:lang w:val="en-US" w:eastAsia="zh-CN"/>
        </w:rPr>
        <w:t>出0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与</w:t>
      </w:r>
      <w:r>
        <w:rPr>
          <w:rFonts w:ascii="Times New Roman" w:hAnsi="Times New Roman" w:eastAsia="仿宋_GB2312" w:cs="Times New Roman"/>
          <w:color w:val="auto"/>
          <w:sz w:val="32"/>
          <w:szCs w:val="32"/>
        </w:rPr>
        <w:t>上年决算数</w:t>
      </w:r>
      <w:r>
        <w:rPr>
          <w:rFonts w:hint="eastAsia" w:ascii="Times New Roman" w:hAnsi="Times New Roman" w:eastAsia="仿宋_GB2312" w:cs="Times New Roman"/>
          <w:color w:val="auto"/>
          <w:sz w:val="32"/>
          <w:szCs w:val="32"/>
          <w:lang w:val="en-US" w:eastAsia="zh-CN"/>
        </w:rPr>
        <w:t>持平</w:t>
      </w:r>
      <w:r>
        <w:rPr>
          <w:rFonts w:ascii="Times New Roman" w:hAnsi="Times New Roman" w:eastAsia="仿宋_GB2312" w:cs="Times New Roman"/>
          <w:color w:val="auto"/>
          <w:sz w:val="32"/>
          <w:szCs w:val="32"/>
        </w:rPr>
        <w:t>。</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11.65</w:t>
      </w:r>
      <w:r>
        <w:rPr>
          <w:rFonts w:ascii="Times New Roman" w:hAnsi="Times New Roman" w:eastAsia="仿宋_GB2312" w:cs="Times New Roman"/>
          <w:sz w:val="32"/>
          <w:szCs w:val="32"/>
        </w:rPr>
        <w:t>万元，用于召开</w:t>
      </w:r>
      <w:r>
        <w:rPr>
          <w:rFonts w:hint="eastAsia" w:ascii="Times New Roman" w:hAnsi="Times New Roman" w:eastAsia="仿宋_GB2312" w:cs="Times New Roman"/>
          <w:sz w:val="32"/>
          <w:szCs w:val="32"/>
          <w:lang w:val="en-US" w:eastAsia="zh-CN"/>
        </w:rPr>
        <w:t>下列</w:t>
      </w:r>
      <w:r>
        <w:rPr>
          <w:rFonts w:ascii="Times New Roman" w:hAnsi="Times New Roman" w:eastAsia="仿宋_GB2312" w:cs="Times New Roman"/>
          <w:sz w:val="32"/>
          <w:szCs w:val="32"/>
        </w:rPr>
        <w:t>会议</w:t>
      </w:r>
      <w:r>
        <w:rPr>
          <w:rFonts w:hint="eastAsia" w:ascii="Times New Roman" w:hAnsi="Times New Roman" w:eastAsia="仿宋_GB2312" w:cs="Times New Roman"/>
          <w:sz w:val="32"/>
          <w:szCs w:val="32"/>
          <w:lang w:eastAsia="zh-CN"/>
        </w:rPr>
        <w:t>：</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1、2024年度厅机关事业单位工勤技能岗位人员晋级考核会议，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48</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组织</w:t>
      </w:r>
      <w:r>
        <w:rPr>
          <w:rFonts w:hint="eastAsia" w:ascii="Times New Roman" w:hAnsi="Times New Roman" w:eastAsia="仿宋_GB2312" w:cs="Times New Roman"/>
          <w:sz w:val="32"/>
          <w:szCs w:val="32"/>
          <w:lang w:val="en-US" w:eastAsia="zh-CN"/>
        </w:rPr>
        <w:t>2024年度厅机关事业单位工勤技能岗位人员晋级考核考试，会议费0.26万元。</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2、2024年全省农业系列高级职称评审工作会议，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67</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组织召开</w:t>
      </w:r>
      <w:r>
        <w:rPr>
          <w:rFonts w:hint="eastAsia" w:ascii="Times New Roman" w:hAnsi="Times New Roman" w:eastAsia="仿宋_GB2312" w:cs="Times New Roman"/>
          <w:sz w:val="32"/>
          <w:szCs w:val="32"/>
          <w:lang w:val="en-US" w:eastAsia="zh-CN"/>
        </w:rPr>
        <w:t>2024年度全省农业系列高级职称评审工作，会议费9.70万元。</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3、2024年全省农业系列高级职称评审面试工作会议，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1118</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组织召开</w:t>
      </w:r>
      <w:r>
        <w:rPr>
          <w:rFonts w:hint="eastAsia" w:ascii="Times New Roman" w:hAnsi="Times New Roman" w:eastAsia="仿宋_GB2312" w:cs="Times New Roman"/>
          <w:sz w:val="32"/>
          <w:szCs w:val="32"/>
          <w:lang w:val="en-US" w:eastAsia="zh-CN"/>
        </w:rPr>
        <w:t>2024年度全省农业系列高级职称评审面试工作，会议费1.69万元。</w:t>
      </w:r>
    </w:p>
    <w:p>
      <w:pPr>
        <w:pStyle w:val="18"/>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w:t>
      </w:r>
      <w:r>
        <w:rPr>
          <w:rFonts w:hint="eastAsia" w:ascii="Times New Roman" w:hAnsi="Times New Roman" w:eastAsia="仿宋_GB2312" w:cs="Times New Roman"/>
          <w:sz w:val="32"/>
          <w:szCs w:val="32"/>
          <w:lang w:val="en-US" w:eastAsia="zh-CN"/>
        </w:rPr>
        <w:t>办</w:t>
      </w:r>
      <w:r>
        <w:rPr>
          <w:rFonts w:ascii="Times New Roman" w:hAnsi="Times New Roman" w:eastAsia="仿宋_GB2312" w:cs="Times New Roman"/>
          <w:sz w:val="32"/>
          <w:szCs w:val="32"/>
        </w:rPr>
        <w:t>节庆、晚会、论坛、赛事活动。</w:t>
      </w:r>
    </w:p>
    <w:p>
      <w:pPr>
        <w:pStyle w:val="18"/>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1.20</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0.63</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元、政府采购服务支出</w:t>
      </w:r>
      <w:r>
        <w:rPr>
          <w:rFonts w:hint="eastAsia" w:ascii="Times New Roman" w:hAnsi="Times New Roman" w:eastAsia="仿宋_GB2312" w:cs="Times New Roman"/>
          <w:sz w:val="32"/>
          <w:szCs w:val="32"/>
          <w:lang w:val="en-US" w:eastAsia="zh-CN"/>
        </w:rPr>
        <w:t>0.57</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1.20</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1.20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w:t>
      </w:r>
    </w:p>
    <w:p>
      <w:pPr>
        <w:pStyle w:val="18"/>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8"/>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组织对2024年度单位</w:t>
      </w:r>
      <w:r>
        <w:rPr>
          <w:rFonts w:hint="eastAsia" w:ascii="Times New Roman" w:hAnsi="Times New Roman" w:eastAsia="仿宋_GB2312" w:cs="Times New Roman"/>
          <w:kern w:val="0"/>
          <w:sz w:val="32"/>
          <w:szCs w:val="32"/>
          <w:lang w:val="en-US" w:eastAsia="zh-CN"/>
        </w:rPr>
        <w:t>整</w:t>
      </w:r>
      <w:r>
        <w:rPr>
          <w:rFonts w:ascii="Times New Roman" w:hAnsi="Times New Roman" w:eastAsia="仿宋_GB2312" w:cs="Times New Roman"/>
          <w:kern w:val="0"/>
          <w:sz w:val="32"/>
          <w:szCs w:val="32"/>
        </w:rPr>
        <w:t>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40.26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40.26</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33.58</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pStyle w:val="9"/>
        <w:spacing w:line="360" w:lineRule="auto"/>
        <w:ind w:left="0" w:leftChars="0" w:firstLine="640" w:firstLineChars="200"/>
        <w:rPr>
          <w:rFonts w:hint="eastAsia" w:ascii="仿宋" w:hAnsi="仿宋" w:eastAsia="仿宋" w:cs="仿宋"/>
          <w:color w:val="auto"/>
          <w:sz w:val="32"/>
          <w:szCs w:val="32"/>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169.99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119.9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70.53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97.05</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仿宋" w:hAnsi="仿宋" w:eastAsia="仿宋" w:cs="仿宋"/>
          <w:sz w:val="32"/>
          <w:szCs w:val="32"/>
          <w:lang w:val="en-US" w:eastAsia="zh-CN"/>
        </w:rPr>
        <w:t>2024年全省</w:t>
      </w:r>
      <w:r>
        <w:rPr>
          <w:rFonts w:hint="eastAsia" w:ascii="仿宋" w:hAnsi="仿宋" w:eastAsia="仿宋" w:cs="仿宋"/>
          <w:sz w:val="32"/>
          <w:szCs w:val="32"/>
          <w:lang w:eastAsia="zh-CN"/>
        </w:rPr>
        <w:t>培育</w:t>
      </w:r>
      <w:r>
        <w:rPr>
          <w:rFonts w:hint="eastAsia" w:ascii="仿宋" w:hAnsi="仿宋" w:eastAsia="仿宋" w:cs="仿宋_GB2312"/>
          <w:sz w:val="32"/>
          <w:szCs w:val="32"/>
          <w:lang w:eastAsia="zh-CN"/>
        </w:rPr>
        <w:t>乡村产业振兴带头人</w:t>
      </w:r>
      <w:r>
        <w:rPr>
          <w:rFonts w:hint="eastAsia" w:ascii="仿宋" w:hAnsi="仿宋" w:eastAsia="仿宋" w:cs="仿宋"/>
          <w:sz w:val="32"/>
          <w:szCs w:val="32"/>
          <w:lang w:eastAsia="zh-CN"/>
        </w:rPr>
        <w:t>“头雁”学员</w:t>
      </w:r>
      <w:r>
        <w:rPr>
          <w:rFonts w:hint="eastAsia" w:ascii="仿宋" w:hAnsi="仿宋" w:eastAsia="仿宋" w:cs="仿宋"/>
          <w:sz w:val="32"/>
          <w:szCs w:val="32"/>
          <w:lang w:val="en-US" w:eastAsia="zh-CN"/>
        </w:rPr>
        <w:t>900人，委托湖南农业大学、华中农业大学、浙江大学进行培育。</w:t>
      </w:r>
      <w:r>
        <w:rPr>
          <w:rFonts w:hint="eastAsia" w:ascii="仿宋_GB2312" w:hAnsi="仿宋_GB2312" w:eastAsia="仿宋_GB2312" w:cs="仿宋_GB2312"/>
          <w:b w:val="0"/>
          <w:bCs/>
          <w:sz w:val="32"/>
          <w:szCs w:val="32"/>
          <w:lang w:val="en-US" w:eastAsia="zh-CN"/>
        </w:rPr>
        <w:t>湖南承担中组部、农业农村部</w:t>
      </w:r>
      <w:r>
        <w:rPr>
          <w:rFonts w:hint="eastAsia" w:ascii="仿宋_GB2312" w:hAnsi="仿宋_GB2312" w:eastAsia="仿宋_GB2312" w:cs="仿宋_GB2312"/>
          <w:sz w:val="32"/>
          <w:szCs w:val="32"/>
          <w:lang w:val="en-US" w:eastAsia="zh-CN"/>
        </w:rPr>
        <w:t>农村实用人才带头人示范培训7期，培训学员700人，</w:t>
      </w:r>
      <w:r>
        <w:rPr>
          <w:rFonts w:hint="eastAsia" w:ascii="仿宋_GB2312" w:hAnsi="仿宋_GB2312" w:eastAsia="仿宋_GB2312" w:cs="仿宋_GB2312"/>
          <w:color w:val="000000"/>
          <w:sz w:val="32"/>
          <w:szCs w:val="32"/>
          <w:lang w:val="en-US" w:eastAsia="zh-CN"/>
        </w:rPr>
        <w:t>选派290人赴江西、湖北等省农村实用人才培训基地培训，</w:t>
      </w:r>
      <w:r>
        <w:rPr>
          <w:rFonts w:hint="eastAsia" w:ascii="仿宋" w:hAnsi="仿宋" w:eastAsia="仿宋" w:cs="仿宋"/>
          <w:sz w:val="32"/>
          <w:szCs w:val="32"/>
          <w:lang w:val="en-US" w:eastAsia="zh-CN"/>
        </w:rPr>
        <w:t>帮助农村实用人才带头人开阔视野、转变观念、拓展平台、提升能力。</w:t>
      </w:r>
      <w:r>
        <w:rPr>
          <w:rFonts w:hint="eastAsia" w:ascii="仿宋_GB2312" w:hAnsi="仿宋_GB2312" w:eastAsia="仿宋_GB2312" w:cs="仿宋_GB2312"/>
          <w:b w:val="0"/>
          <w:bCs w:val="0"/>
          <w:color w:val="auto"/>
          <w:sz w:val="32"/>
          <w:szCs w:val="32"/>
          <w:lang w:val="en-US" w:eastAsia="zh-CN"/>
        </w:rPr>
        <w:t>为深入了解全省农业农村人才工作状况</w:t>
      </w:r>
      <w:r>
        <w:rPr>
          <w:rFonts w:hint="eastAsia" w:ascii="仿宋_GB2312" w:hAnsi="仿宋_GB2312" w:eastAsia="仿宋_GB2312" w:cs="仿宋_GB2312"/>
          <w:sz w:val="32"/>
          <w:szCs w:val="32"/>
          <w:lang w:eastAsia="zh-CN"/>
        </w:rPr>
        <w:t>，</w:t>
      </w:r>
      <w:r>
        <w:rPr>
          <w:rFonts w:hint="eastAsia" w:ascii="Times New Roman" w:hAnsi="Times New Roman" w:eastAsia="仿宋_GB2312"/>
          <w:color w:val="auto"/>
          <w:sz w:val="32"/>
          <w:szCs w:val="32"/>
        </w:rPr>
        <w:t>先后赴湘潭、衡阳、郴州、益阳、常德等5个市</w:t>
      </w:r>
      <w:r>
        <w:rPr>
          <w:rFonts w:hint="eastAsia" w:ascii="Times New Roman" w:hAnsi="Times New Roman" w:eastAsia="仿宋_GB2312"/>
          <w:color w:val="auto"/>
          <w:sz w:val="32"/>
          <w:szCs w:val="32"/>
          <w:lang w:eastAsia="zh-CN"/>
        </w:rPr>
        <w:t>的</w:t>
      </w:r>
      <w:r>
        <w:rPr>
          <w:rFonts w:hint="eastAsia" w:ascii="Times New Roman" w:hAnsi="Times New Roman" w:eastAsia="仿宋_GB2312"/>
          <w:color w:val="auto"/>
          <w:sz w:val="32"/>
          <w:szCs w:val="32"/>
        </w:rPr>
        <w:t>10个县市区</w:t>
      </w:r>
      <w:r>
        <w:rPr>
          <w:rFonts w:hint="eastAsia" w:ascii="Times New Roman" w:hAnsi="Times New Roman" w:eastAsia="仿宋_GB2312"/>
          <w:color w:val="auto"/>
          <w:sz w:val="32"/>
          <w:szCs w:val="32"/>
          <w:lang w:eastAsia="zh-CN"/>
        </w:rPr>
        <w:t>开展调研，</w:t>
      </w:r>
      <w:r>
        <w:rPr>
          <w:rFonts w:hint="eastAsia" w:ascii="Times New Roman" w:hAnsi="Times New Roman" w:eastAsia="仿宋_GB2312"/>
          <w:color w:val="auto"/>
          <w:sz w:val="32"/>
          <w:szCs w:val="32"/>
        </w:rPr>
        <w:t>充分了解乡村人才队伍建设情况</w:t>
      </w:r>
      <w:r>
        <w:rPr>
          <w:rFonts w:hint="eastAsia" w:ascii="Times New Roman" w:hAnsi="Times New Roman" w:eastAsia="仿宋_GB2312"/>
          <w:color w:val="auto"/>
          <w:sz w:val="32"/>
          <w:szCs w:val="32"/>
          <w:lang w:eastAsia="zh-CN"/>
        </w:rPr>
        <w:t>，形成了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湖南省乡村人才队伍建设调研报告</w:t>
      </w:r>
      <w:r>
        <w:rPr>
          <w:rFonts w:hint="eastAsia" w:ascii="仿宋_GB2312" w:hAnsi="仿宋_GB2312" w:eastAsia="仿宋_GB2312" w:cs="仿宋_GB2312"/>
          <w:color w:val="auto"/>
          <w:sz w:val="32"/>
          <w:szCs w:val="32"/>
          <w:lang w:eastAsia="zh-CN"/>
        </w:rPr>
        <w:t>》。配合农业农村部调研组，到长沙、衡阳开展了</w:t>
      </w:r>
      <w:r>
        <w:rPr>
          <w:rFonts w:hint="default" w:ascii="Nimbus Roman No9 L" w:hAnsi="Nimbus Roman No9 L" w:eastAsia="仿宋_GB2312" w:cs="Nimbus Roman No9 L"/>
          <w:color w:val="auto"/>
          <w:sz w:val="32"/>
          <w:szCs w:val="32"/>
          <w:lang w:val="en-US" w:eastAsia="zh-CN"/>
        </w:rPr>
        <w:t>本地区培养留住用好乡村人才情况</w:t>
      </w:r>
      <w:r>
        <w:rPr>
          <w:rFonts w:hint="eastAsia" w:ascii="Nimbus Roman No9 L" w:hAnsi="Nimbus Roman No9 L" w:eastAsia="仿宋_GB2312" w:cs="Nimbus Roman No9 L"/>
          <w:color w:val="auto"/>
          <w:sz w:val="32"/>
          <w:szCs w:val="32"/>
          <w:lang w:val="en-US" w:eastAsia="zh-CN"/>
        </w:rPr>
        <w:t>、</w:t>
      </w:r>
      <w:r>
        <w:rPr>
          <w:rFonts w:hint="default" w:ascii="Nimbus Roman No9 L" w:hAnsi="Nimbus Roman No9 L" w:eastAsia="仿宋_GB2312" w:cs="Nimbus Roman No9 L"/>
          <w:color w:val="auto"/>
          <w:sz w:val="32"/>
          <w:szCs w:val="32"/>
          <w:lang w:val="en-US" w:eastAsia="zh-CN"/>
        </w:rPr>
        <w:t>乡村运营管理人才培养</w:t>
      </w:r>
      <w:r>
        <w:rPr>
          <w:rFonts w:hint="eastAsia" w:ascii="Nimbus Roman No9 L" w:hAnsi="Nimbus Roman No9 L" w:eastAsia="仿宋_GB2312" w:cs="Nimbus Roman No9 L"/>
          <w:color w:val="auto"/>
          <w:sz w:val="32"/>
          <w:szCs w:val="32"/>
          <w:lang w:val="en-US" w:eastAsia="zh-CN"/>
        </w:rPr>
        <w:t>、</w:t>
      </w:r>
      <w:r>
        <w:rPr>
          <w:rFonts w:hint="default" w:ascii="Nimbus Roman No9 L" w:hAnsi="Nimbus Roman No9 L" w:eastAsia="仿宋_GB2312" w:cs="Nimbus Roman No9 L"/>
          <w:color w:val="auto"/>
          <w:sz w:val="32"/>
          <w:szCs w:val="32"/>
          <w:lang w:val="en-US" w:eastAsia="zh-CN"/>
        </w:rPr>
        <w:t>外出人才返乡、城镇人才下乡、退休人才返聘等</w:t>
      </w:r>
      <w:r>
        <w:rPr>
          <w:rFonts w:hint="eastAsia" w:ascii="Nimbus Roman No9 L" w:hAnsi="Nimbus Roman No9 L" w:eastAsia="仿宋_GB2312" w:cs="Nimbus Roman No9 L"/>
          <w:color w:val="auto"/>
          <w:sz w:val="32"/>
          <w:szCs w:val="32"/>
          <w:lang w:val="en-US" w:eastAsia="zh-CN"/>
        </w:rPr>
        <w:t>情况的调研</w:t>
      </w:r>
      <w:r>
        <w:rPr>
          <w:rFonts w:ascii="Times New Roman" w:hAnsi="Times New Roman" w:eastAsia="仿宋_GB2312" w:cs="Times New Roman"/>
          <w:sz w:val="32"/>
          <w:szCs w:val="32"/>
        </w:rPr>
        <w:t>；二是</w:t>
      </w:r>
      <w:r>
        <w:rPr>
          <w:rFonts w:hint="eastAsia" w:ascii="仿宋" w:hAnsi="仿宋" w:eastAsia="仿宋" w:cs="Times New Roman"/>
          <w:sz w:val="32"/>
          <w:szCs w:val="32"/>
          <w:lang w:val="en-US" w:eastAsia="zh-CN"/>
        </w:rPr>
        <w:t>严格程序，严明纪律，认真组织开展了2024年度农业系列职称评审</w:t>
      </w:r>
      <w:r>
        <w:rPr>
          <w:rFonts w:hint="eastAsia" w:ascii="仿宋" w:hAnsi="仿宋" w:eastAsia="仿宋" w:cs="Times New Roman"/>
          <w:sz w:val="32"/>
          <w:szCs w:val="32"/>
          <w:lang w:val="en" w:eastAsia="zh-CN"/>
        </w:rPr>
        <w:t>，全省农业系列职称参评人员达到</w:t>
      </w:r>
      <w:r>
        <w:rPr>
          <w:rFonts w:hint="eastAsia" w:ascii="仿宋" w:hAnsi="仿宋" w:eastAsia="仿宋" w:cs="Times New Roman"/>
          <w:sz w:val="32"/>
          <w:szCs w:val="32"/>
          <w:lang w:val="en-US" w:eastAsia="zh-CN"/>
        </w:rPr>
        <w:t>1061人，其中</w:t>
      </w:r>
      <w:r>
        <w:rPr>
          <w:rFonts w:hint="eastAsia" w:ascii="仿宋" w:hAnsi="仿宋" w:eastAsia="仿宋" w:cs="Times New Roman"/>
          <w:sz w:val="32"/>
          <w:szCs w:val="32"/>
          <w:lang w:val="en" w:eastAsia="zh-CN"/>
        </w:rPr>
        <w:t>正高职称</w:t>
      </w:r>
      <w:r>
        <w:rPr>
          <w:rFonts w:hint="eastAsia" w:ascii="仿宋" w:hAnsi="仿宋" w:eastAsia="仿宋" w:cs="Times New Roman"/>
          <w:sz w:val="32"/>
          <w:szCs w:val="32"/>
          <w:lang w:val="en-US" w:eastAsia="zh-CN"/>
        </w:rPr>
        <w:t>申报人员137人，经农业系列高评会组织专家评审，有54人通过评审，通过率为39.</w:t>
      </w:r>
      <w:r>
        <w:rPr>
          <w:rFonts w:hint="eastAsia" w:ascii="仿宋" w:hAnsi="仿宋" w:eastAsia="仿宋" w:cs="Times New Roman"/>
          <w:color w:val="auto"/>
          <w:sz w:val="32"/>
          <w:szCs w:val="32"/>
          <w:lang w:val="en-US" w:eastAsia="zh-CN"/>
        </w:rPr>
        <w:t>42%；</w:t>
      </w:r>
      <w:r>
        <w:rPr>
          <w:rFonts w:hint="eastAsia" w:ascii="仿宋" w:hAnsi="仿宋" w:eastAsia="仿宋" w:cs="Times New Roman"/>
          <w:sz w:val="32"/>
          <w:szCs w:val="32"/>
          <w:lang w:val="en-US" w:eastAsia="zh-CN"/>
        </w:rPr>
        <w:t>申报副</w:t>
      </w:r>
      <w:r>
        <w:rPr>
          <w:rFonts w:hint="eastAsia" w:ascii="仿宋" w:hAnsi="仿宋" w:eastAsia="仿宋" w:cs="Times New Roman"/>
          <w:sz w:val="32"/>
          <w:szCs w:val="32"/>
          <w:lang w:val="en" w:eastAsia="zh-CN"/>
        </w:rPr>
        <w:t>高职称人员</w:t>
      </w:r>
      <w:r>
        <w:rPr>
          <w:rFonts w:hint="eastAsia" w:ascii="仿宋" w:hAnsi="仿宋" w:eastAsia="仿宋" w:cs="Times New Roman"/>
          <w:sz w:val="32"/>
          <w:szCs w:val="32"/>
          <w:lang w:val="en-US" w:eastAsia="zh-CN"/>
        </w:rPr>
        <w:t>914人</w:t>
      </w:r>
      <w:r>
        <w:rPr>
          <w:rFonts w:hint="eastAsia" w:ascii="仿宋" w:hAnsi="仿宋" w:eastAsia="仿宋" w:cs="Times New Roman"/>
          <w:color w:val="auto"/>
          <w:sz w:val="32"/>
          <w:szCs w:val="32"/>
          <w:lang w:val="en-US" w:eastAsia="zh-CN"/>
        </w:rPr>
        <w:t>，经农业系列高评会组织专家评审，有520人获得通过评审，</w:t>
      </w:r>
      <w:r>
        <w:rPr>
          <w:rFonts w:hint="eastAsia" w:ascii="仿宋_GB2312" w:hAnsi="仿宋_GB2312" w:eastAsia="仿宋_GB2312" w:cs="仿宋_GB2312"/>
          <w:color w:val="auto"/>
          <w:sz w:val="32"/>
          <w:szCs w:val="32"/>
          <w:lang w:val="en-US" w:eastAsia="zh-CN"/>
        </w:rPr>
        <w:t>副高职称通过率达到56.89%（按照省人社厅规定</w:t>
      </w:r>
      <w:r>
        <w:rPr>
          <w:rFonts w:hint="eastAsia" w:ascii="仿宋_GB2312" w:hAnsi="Arial" w:eastAsia="仿宋_GB2312" w:cs="Arial"/>
          <w:kern w:val="0"/>
          <w:sz w:val="32"/>
          <w:szCs w:val="32"/>
        </w:rPr>
        <w:t>高级职称评审通过率一般控制在正高40%以内，副高55%以下</w:t>
      </w:r>
      <w:r>
        <w:rPr>
          <w:rFonts w:hint="eastAsia" w:ascii="仿宋_GB2312" w:hAnsi="Arial" w:eastAsia="仿宋_GB2312" w:cs="Arial"/>
          <w:kern w:val="0"/>
          <w:sz w:val="32"/>
          <w:szCs w:val="32"/>
          <w:lang w:eastAsia="zh-CN"/>
        </w:rPr>
        <w:t>，为切实做好职称评审向基层倾斜，经省农业系列职改办提前沟通协调，努力争取，</w:t>
      </w:r>
      <w:r>
        <w:rPr>
          <w:rFonts w:hint="eastAsia" w:ascii="仿宋_GB2312" w:hAnsi="Arial" w:eastAsia="仿宋_GB2312" w:cs="Arial"/>
          <w:kern w:val="0"/>
          <w:sz w:val="32"/>
          <w:szCs w:val="32"/>
          <w:lang w:val="en-US" w:eastAsia="zh-CN"/>
        </w:rPr>
        <w:t>2024年增加职数18个</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sz w:val="32"/>
          <w:szCs w:val="32"/>
          <w:lang w:eastAsia="zh-CN"/>
        </w:rPr>
        <w:t>高质量做好湖南省</w:t>
      </w:r>
      <w:r>
        <w:rPr>
          <w:rFonts w:hint="eastAsia" w:ascii="仿宋_GB2312" w:hAnsi="仿宋_GB2312" w:eastAsia="仿宋_GB2312" w:cs="仿宋_GB2312"/>
          <w:b w:val="0"/>
          <w:bCs w:val="0"/>
          <w:sz w:val="32"/>
          <w:szCs w:val="32"/>
        </w:rPr>
        <w:t>农业农村系统国有单位人事劳动统计</w:t>
      </w:r>
      <w:r>
        <w:rPr>
          <w:rFonts w:hint="eastAsia" w:ascii="仿宋_GB2312" w:hAnsi="仿宋_GB2312" w:eastAsia="仿宋_GB2312" w:cs="仿宋_GB2312"/>
          <w:b w:val="0"/>
          <w:bCs w:val="0"/>
          <w:sz w:val="32"/>
          <w:szCs w:val="32"/>
          <w:lang w:eastAsia="zh-CN"/>
        </w:rPr>
        <w:t>工作，及时准确地完成了全省数据报送。</w:t>
      </w:r>
      <w:r>
        <w:rPr>
          <w:rFonts w:ascii="Times New Roman" w:hAnsi="Times New Roman" w:eastAsia="仿宋_GB2312" w:cs="Times New Roman"/>
          <w:sz w:val="32"/>
          <w:szCs w:val="32"/>
        </w:rPr>
        <w:t>发现的主要问题及原因：</w:t>
      </w:r>
      <w:r>
        <w:rPr>
          <w:rFonts w:hint="eastAsia" w:ascii="仿宋" w:hAnsi="仿宋" w:eastAsia="仿宋" w:cs="仿宋"/>
          <w:color w:val="auto"/>
          <w:sz w:val="32"/>
          <w:szCs w:val="32"/>
          <w:lang w:val="en-US" w:eastAsia="zh-CN"/>
        </w:rPr>
        <w:t>我中心整体预算执行率有待提高，全年支出预算数169.99万元，决算数119.90万元，执行率为70.53%，主要原因项目跨年度执行。</w:t>
      </w:r>
      <w:r>
        <w:rPr>
          <w:rFonts w:ascii="Times New Roman" w:hAnsi="Times New Roman" w:eastAsia="仿宋_GB2312" w:cs="Times New Roman"/>
          <w:sz w:val="32"/>
          <w:szCs w:val="32"/>
        </w:rPr>
        <w:t>下一步改进措施：</w:t>
      </w:r>
      <w:r>
        <w:rPr>
          <w:rFonts w:hint="eastAsia" w:ascii="仿宋" w:hAnsi="仿宋" w:eastAsia="仿宋" w:cs="仿宋"/>
          <w:color w:val="auto"/>
          <w:sz w:val="32"/>
          <w:szCs w:val="32"/>
          <w:lang w:val="en-US" w:eastAsia="zh-CN"/>
        </w:rPr>
        <w:t>完善单位的预算编制管理，定期对预算资金执行情况进行分析，作为下年预算编制的重要依据，进一步提高我单位预算编制的准确性。</w:t>
      </w:r>
    </w:p>
    <w:p>
      <w:pPr>
        <w:pStyle w:val="18"/>
        <w:overflowPunct w:val="0"/>
        <w:autoSpaceDE/>
        <w:autoSpaceDN/>
        <w:spacing w:line="600" w:lineRule="exact"/>
        <w:ind w:firstLine="640" w:firstLineChars="200"/>
        <w:jc w:val="both"/>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r>
        <w:rPr>
          <w:rFonts w:hint="eastAsia"/>
          <w:lang w:val="en-US" w:eastAsia="zh-CN"/>
        </w:rPr>
        <w:t xml:space="preserve"> </w:t>
      </w:r>
      <w:r>
        <w:rPr>
          <w:rFonts w:hint="eastAsia" w:ascii="仿宋" w:hAnsi="仿宋" w:eastAsia="仿宋" w:cs="仿宋"/>
          <w:color w:val="auto"/>
          <w:kern w:val="2"/>
          <w:sz w:val="32"/>
          <w:szCs w:val="32"/>
          <w:lang w:val="en-US" w:eastAsia="zh-CN" w:bidi="ar-SA"/>
        </w:rPr>
        <w:t>严格按照要求及时上报绩效自评结果，根据绩效自评结果，查漏补缺，进一步优化资源，为今后加强资金使用管理，提高资金使用效益提供参考。</w:t>
      </w: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both"/>
        <w:rPr>
          <w:rFonts w:ascii="Times New Roman" w:hAnsi="Times New Roman" w:cs="Times New Roman"/>
          <w:sz w:val="72"/>
          <w:szCs w:val="72"/>
        </w:rPr>
      </w:pPr>
    </w:p>
    <w:p>
      <w:pPr>
        <w:pStyle w:val="18"/>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8"/>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8"/>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8"/>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pStyle w:val="18"/>
        <w:jc w:val="both"/>
        <w:rPr>
          <w:rFonts w:ascii="Times New Roman" w:hAnsi="Times New Roman" w:cs="Times New Roman"/>
          <w:sz w:val="72"/>
          <w:szCs w:val="72"/>
        </w:rPr>
      </w:pPr>
    </w:p>
    <w:p>
      <w:pPr>
        <w:pStyle w:val="18"/>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8"/>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pStyle w:val="18"/>
        <w:jc w:val="center"/>
        <w:rPr>
          <w:rFonts w:ascii="Times New Roman" w:hAnsi="Times New Roman" w:cs="Times New Roman"/>
          <w:sz w:val="72"/>
          <w:szCs w:val="72"/>
        </w:rPr>
      </w:pPr>
    </w:p>
    <w:p>
      <w:pPr>
        <w:pStyle w:val="18"/>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p>
      <w:pPr>
        <w:pStyle w:val="13"/>
        <w:rPr>
          <w:rFonts w:ascii="Times New Roman" w:hAnsi="Times New Roman" w:cs="Times New Roman"/>
          <w:color w:val="000000"/>
          <w:kern w:val="0"/>
          <w:sz w:val="32"/>
          <w:szCs w:val="32"/>
        </w:rPr>
      </w:pPr>
    </w:p>
    <w:p>
      <w:pPr>
        <w:pStyle w:val="9"/>
        <w:rPr>
          <w:rFonts w:ascii="Times New Roman" w:hAnsi="Times New Roman" w:cs="Times New Roman"/>
          <w:color w:val="000000"/>
          <w:kern w:val="0"/>
          <w:sz w:val="32"/>
          <w:szCs w:val="32"/>
        </w:rPr>
      </w:pPr>
    </w:p>
    <w:p>
      <w:pPr>
        <w:pStyle w:val="6"/>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pStyle w:val="13"/>
        <w:rPr>
          <w:rFonts w:ascii="Times New Roman" w:hAnsi="Times New Roman" w:cs="Times New Roman"/>
          <w:color w:val="000000"/>
          <w:kern w:val="0"/>
          <w:sz w:val="32"/>
          <w:szCs w:val="32"/>
        </w:rPr>
      </w:pPr>
    </w:p>
    <w:p>
      <w:pPr>
        <w:pStyle w:val="9"/>
        <w:rPr>
          <w:rFonts w:ascii="Times New Roman" w:hAnsi="Times New Roman" w:cs="Times New Roman"/>
          <w:color w:val="000000"/>
          <w:kern w:val="0"/>
          <w:sz w:val="32"/>
          <w:szCs w:val="32"/>
        </w:rPr>
      </w:pPr>
    </w:p>
    <w:p>
      <w:pPr>
        <w:pStyle w:val="6"/>
      </w:pPr>
    </w:p>
    <w:p>
      <w:pPr>
        <w:pStyle w:val="18"/>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2024年度湖南省农业人才交流服务中心</w:t>
      </w:r>
    </w:p>
    <w:p>
      <w:pPr>
        <w:pStyle w:val="18"/>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整体支出绩效自评报告</w:t>
      </w:r>
    </w:p>
    <w:p>
      <w:pPr>
        <w:pStyle w:val="18"/>
        <w:keepNext w:val="0"/>
        <w:keepLines w:val="0"/>
        <w:pageBreakBefore w:val="0"/>
        <w:widowControl w:val="0"/>
        <w:kinsoku/>
        <w:wordWrap/>
        <w:overflowPunct/>
        <w:topLinePunct w:val="0"/>
        <w:bidi w:val="0"/>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1280" w:firstLineChars="400"/>
        <w:jc w:val="lef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单位名称：湖南省农业人才交流服务中心</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p>
    <w:p>
      <w:pPr>
        <w:pStyle w:val="18"/>
        <w:keepNext w:val="0"/>
        <w:keepLines w:val="0"/>
        <w:pageBreakBefore w:val="0"/>
        <w:widowControl w:val="0"/>
        <w:numPr>
          <w:ilvl w:val="0"/>
          <w:numId w:val="1"/>
        </w:numPr>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基本情况</w:t>
      </w:r>
    </w:p>
    <w:p>
      <w:pPr>
        <w:pStyle w:val="18"/>
        <w:keepNext w:val="0"/>
        <w:keepLines w:val="0"/>
        <w:pageBreakBefore w:val="0"/>
        <w:widowControl w:val="0"/>
        <w:numPr>
          <w:ilvl w:val="0"/>
          <w:numId w:val="0"/>
        </w:numPr>
        <w:kinsoku/>
        <w:wordWrap/>
        <w:overflowPunct/>
        <w:topLinePunct w:val="0"/>
        <w:bidi w:val="0"/>
        <w:snapToGrid/>
        <w:spacing w:line="600" w:lineRule="exact"/>
        <w:ind w:firstLine="320" w:firstLineChars="100"/>
        <w:jc w:val="lef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（一）单位基本情况</w:t>
      </w:r>
    </w:p>
    <w:p>
      <w:pPr>
        <w:spacing w:line="360" w:lineRule="auto"/>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1.单位职责。</w:t>
      </w:r>
      <w:r>
        <w:rPr>
          <w:rFonts w:hint="eastAsia" w:ascii="仿宋" w:hAnsi="仿宋" w:eastAsia="仿宋" w:cs="仿宋_GB2312"/>
          <w:sz w:val="32"/>
          <w:szCs w:val="32"/>
        </w:rPr>
        <w:t>一是开展农业农村人才</w:t>
      </w:r>
      <w:r>
        <w:rPr>
          <w:rFonts w:hint="eastAsia" w:ascii="仿宋" w:hAnsi="仿宋" w:eastAsia="仿宋" w:cs="仿宋_GB2312"/>
          <w:color w:val="auto"/>
          <w:sz w:val="32"/>
          <w:szCs w:val="32"/>
          <w:lang w:eastAsia="zh-CN"/>
        </w:rPr>
        <w:t>工作调研</w:t>
      </w:r>
      <w:r>
        <w:rPr>
          <w:rFonts w:hint="eastAsia" w:ascii="仿宋" w:hAnsi="仿宋" w:eastAsia="仿宋" w:cs="仿宋_GB2312"/>
          <w:color w:val="auto"/>
          <w:sz w:val="32"/>
          <w:szCs w:val="32"/>
        </w:rPr>
        <w:t>，为乡村人才振兴提供农业农村人才发展建议；二是负责农村实用人才</w:t>
      </w:r>
      <w:r>
        <w:rPr>
          <w:rFonts w:hint="eastAsia" w:ascii="仿宋" w:hAnsi="仿宋" w:eastAsia="仿宋" w:cs="仿宋_GB2312"/>
          <w:color w:val="auto"/>
          <w:sz w:val="32"/>
          <w:szCs w:val="32"/>
          <w:lang w:eastAsia="zh-CN"/>
        </w:rPr>
        <w:t>和乡村产业振兴带头人“头雁”人才队伍建设</w:t>
      </w:r>
      <w:r>
        <w:rPr>
          <w:rFonts w:hint="eastAsia" w:ascii="仿宋" w:hAnsi="仿宋" w:eastAsia="仿宋" w:cs="仿宋_GB2312"/>
          <w:color w:val="auto"/>
          <w:sz w:val="32"/>
          <w:szCs w:val="32"/>
        </w:rPr>
        <w:t>。组织实施农村实用人才示范培训基地建设和农村实用人才培训调训工作；定期开展农村实用人才全口径统计工作</w:t>
      </w:r>
      <w:r>
        <w:rPr>
          <w:rFonts w:hint="eastAsia" w:ascii="仿宋" w:hAnsi="仿宋" w:eastAsia="仿宋" w:cs="仿宋_GB2312"/>
          <w:color w:val="auto"/>
          <w:sz w:val="32"/>
          <w:szCs w:val="32"/>
          <w:lang w:eastAsia="zh-CN"/>
        </w:rPr>
        <w:t>；组织实施乡村产业振兴带头人“头雁”项目培育工作</w:t>
      </w:r>
      <w:r>
        <w:rPr>
          <w:rFonts w:hint="eastAsia" w:ascii="仿宋" w:hAnsi="仿宋" w:eastAsia="仿宋" w:cs="仿宋_GB2312"/>
          <w:color w:val="auto"/>
          <w:sz w:val="32"/>
          <w:szCs w:val="32"/>
        </w:rPr>
        <w:t>。三是负责乡村优秀人才资助项目遴选工作。宣传贯彻落实《湖南省乡村人才振兴行动计划》（湘组发[2019]2号）文件精神，组织实施“湖南省十佳农民”、“湖南省十佳农技推广标兵”等遴选资助项目，激发广大农业农村人才扎根基层创业创新；四是负责组织农业技能大赛。搭建竞技平台，协调各方，举办全省农业行业职业技能大赛，以赛促训，为人才脱颖而出搭建平台。五是承办农业专业技术人员队伍建设，主要是农业系列职称改革和评审工作；六是承办农业行业工人技术等级考核（考试）工作；七是承办专家服务、选拔、推荐、培养工</w:t>
      </w:r>
      <w:r>
        <w:rPr>
          <w:rFonts w:hint="eastAsia" w:ascii="仿宋" w:hAnsi="仿宋" w:eastAsia="仿宋" w:cs="仿宋_GB2312"/>
          <w:sz w:val="32"/>
          <w:szCs w:val="32"/>
        </w:rPr>
        <w:t>作；八是协助做好报送全省农业农村系统国有单位人事劳动统计工作</w:t>
      </w:r>
      <w:r>
        <w:rPr>
          <w:rFonts w:hint="eastAsia" w:ascii="仿宋" w:hAnsi="仿宋" w:eastAsia="仿宋" w:cs="仿宋_GB2312"/>
          <w:sz w:val="32"/>
          <w:szCs w:val="32"/>
          <w:lang w:eastAsia="zh-CN"/>
        </w:rPr>
        <w:t>。</w:t>
      </w:r>
    </w:p>
    <w:p>
      <w:pPr>
        <w:spacing w:line="570" w:lineRule="atLeast"/>
        <w:ind w:firstLine="643"/>
        <w:rPr>
          <w:rFonts w:hint="eastAsia" w:ascii="仿宋" w:hAnsi="仿宋" w:eastAsia="仿宋" w:cs="仿宋_GB2312"/>
          <w:sz w:val="32"/>
          <w:szCs w:val="32"/>
        </w:rPr>
      </w:pPr>
      <w:r>
        <w:rPr>
          <w:rFonts w:hint="eastAsia" w:ascii="仿宋" w:hAnsi="仿宋" w:eastAsia="仿宋" w:cs="仿宋_GB2312"/>
          <w:sz w:val="32"/>
          <w:szCs w:val="32"/>
        </w:rPr>
        <w:t>2．人员情况</w:t>
      </w:r>
      <w:r>
        <w:rPr>
          <w:rFonts w:hint="eastAsia" w:ascii="仿宋" w:hAnsi="仿宋" w:eastAsia="仿宋" w:cs="仿宋_GB2312"/>
          <w:sz w:val="32"/>
          <w:szCs w:val="32"/>
          <w:lang w:eastAsia="zh-CN"/>
        </w:rPr>
        <w:t>。</w:t>
      </w:r>
      <w:r>
        <w:rPr>
          <w:rFonts w:hint="eastAsia" w:ascii="仿宋" w:hAnsi="仿宋" w:eastAsia="仿宋" w:cs="仿宋_GB2312"/>
          <w:sz w:val="32"/>
          <w:szCs w:val="32"/>
        </w:rPr>
        <w:t>中心编制</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人，现有在职人</w:t>
      </w:r>
      <w:r>
        <w:rPr>
          <w:rFonts w:hint="eastAsia" w:ascii="仿宋" w:hAnsi="仿宋" w:eastAsia="仿宋" w:cs="仿宋_GB2312"/>
          <w:sz w:val="32"/>
          <w:szCs w:val="32"/>
          <w:lang w:eastAsia="zh-CN"/>
        </w:rPr>
        <w:t>员</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人、退休</w:t>
      </w:r>
      <w:r>
        <w:rPr>
          <w:rFonts w:hint="eastAsia" w:ascii="仿宋" w:hAnsi="仿宋" w:eastAsia="仿宋" w:cs="仿宋_GB2312"/>
          <w:sz w:val="32"/>
          <w:szCs w:val="32"/>
          <w:lang w:eastAsia="zh-CN"/>
        </w:rPr>
        <w:t>人员</w:t>
      </w:r>
      <w:r>
        <w:rPr>
          <w:rFonts w:hint="eastAsia" w:ascii="仿宋" w:hAnsi="仿宋" w:eastAsia="仿宋" w:cs="仿宋_GB2312"/>
          <w:sz w:val="32"/>
          <w:szCs w:val="32"/>
          <w:lang w:val="en-US" w:eastAsia="zh-CN"/>
        </w:rPr>
        <w:t>1人</w:t>
      </w:r>
      <w:r>
        <w:rPr>
          <w:rFonts w:hint="eastAsia" w:ascii="仿宋" w:hAnsi="仿宋" w:eastAsia="仿宋" w:cs="仿宋_GB2312"/>
          <w:sz w:val="32"/>
          <w:szCs w:val="32"/>
        </w:rPr>
        <w:t>。</w:t>
      </w:r>
    </w:p>
    <w:p>
      <w:pPr>
        <w:spacing w:line="570" w:lineRule="atLeast"/>
        <w:ind w:firstLine="643"/>
        <w:rPr>
          <w:rFonts w:hint="eastAsia" w:ascii="仿宋" w:hAnsi="仿宋" w:eastAsia="仿宋" w:cs="仿宋_GB2312"/>
          <w:kern w:val="2"/>
          <w:sz w:val="32"/>
          <w:szCs w:val="32"/>
          <w:lang w:val="en-US" w:eastAsia="zh-CN" w:bidi="ar-SA"/>
        </w:rPr>
      </w:pPr>
      <w:r>
        <w:rPr>
          <w:rFonts w:hint="eastAsia" w:ascii="楷体" w:hAnsi="楷体" w:eastAsia="楷体" w:cs="楷体"/>
          <w:b/>
          <w:sz w:val="32"/>
          <w:szCs w:val="32"/>
        </w:rPr>
        <w:t>（二）单位年度整体支出绩效目标，省级专项资金绩效目标、其他项目支出（除省级专项资金以外）绩效目标</w:t>
      </w:r>
    </w:p>
    <w:p>
      <w:pPr>
        <w:pStyle w:val="24"/>
        <w:snapToGrid w:val="0"/>
        <w:spacing w:line="570" w:lineRule="atLeast"/>
        <w:ind w:firstLine="640"/>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湖南省农业人才交流服务中心2024年度年初预算数155.75万元，全年预算数169.99万元，全年执行数119.90万元。2024年单位工作正常进行，保障人员经费，保障运转类项目有序开展，各项工作顺利完成，整体支出绩效自评得分97.05分。</w:t>
      </w:r>
    </w:p>
    <w:p>
      <w:pPr>
        <w:pStyle w:val="24"/>
        <w:snapToGrid w:val="0"/>
        <w:spacing w:line="570" w:lineRule="atLeast"/>
        <w:ind w:firstLine="640"/>
        <w:rPr>
          <w:rFonts w:hint="default" w:ascii="仿宋" w:hAnsi="仿宋" w:eastAsia="仿宋" w:cs="仿宋_GB2312"/>
          <w:sz w:val="32"/>
          <w:szCs w:val="32"/>
          <w:lang w:val="en-US" w:eastAsia="zh-CN"/>
        </w:rPr>
      </w:pPr>
      <w:r>
        <w:rPr>
          <w:rFonts w:hint="eastAsia" w:ascii="仿宋" w:hAnsi="仿宋" w:eastAsia="仿宋" w:cs="仿宋_GB2312"/>
          <w:sz w:val="32"/>
          <w:szCs w:val="32"/>
          <w:lang w:val="en-US" w:eastAsia="zh-CN"/>
        </w:rPr>
        <w:t>2024年无省级专项，其他项目2个（运行维护类及其他事业发展资金各1个）。其中运行维护类项目为职称评定，其他事业发展资金项目为职称评审。主要是组织实施全省2024年度农业系列高级职称评审工作，该项工作12月中旬已完成评议。职称评定项目支出绩效自评得分93.00分，职称评审项目支出绩效自评得分94.24分。</w:t>
      </w:r>
    </w:p>
    <w:p>
      <w:pPr>
        <w:pStyle w:val="4"/>
        <w:spacing w:line="360" w:lineRule="auto"/>
        <w:ind w:firstLine="640"/>
        <w:rPr>
          <w:rFonts w:hint="eastAsia" w:ascii="楷体" w:hAnsi="楷体" w:eastAsia="楷体" w:cs="楷体"/>
          <w:b/>
          <w:bCs w:val="0"/>
          <w:sz w:val="32"/>
        </w:rPr>
      </w:pPr>
      <w:r>
        <w:rPr>
          <w:rFonts w:hint="eastAsia" w:ascii="楷体" w:hAnsi="楷体" w:eastAsia="楷体" w:cs="楷体"/>
          <w:b/>
          <w:bCs w:val="0"/>
          <w:sz w:val="32"/>
        </w:rPr>
        <w:t>二、一般公共预算支出情况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（一）基本支出情况</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年度基本支出预算</w:t>
      </w:r>
      <w:r>
        <w:rPr>
          <w:rFonts w:hint="eastAsia" w:ascii="仿宋" w:hAnsi="仿宋" w:eastAsia="仿宋" w:cs="仿宋_GB2312"/>
          <w:sz w:val="32"/>
          <w:szCs w:val="32"/>
          <w:lang w:val="en-US" w:eastAsia="zh-CN"/>
        </w:rPr>
        <w:t>99.71</w:t>
      </w:r>
      <w:r>
        <w:rPr>
          <w:rFonts w:hint="eastAsia" w:ascii="仿宋" w:hAnsi="仿宋" w:eastAsia="仿宋" w:cs="仿宋_GB2312"/>
          <w:sz w:val="32"/>
          <w:szCs w:val="32"/>
        </w:rPr>
        <w:t>万元，决算数为</w:t>
      </w:r>
      <w:r>
        <w:rPr>
          <w:rFonts w:hint="eastAsia" w:ascii="仿宋" w:hAnsi="仿宋" w:eastAsia="仿宋" w:cs="仿宋_GB2312"/>
          <w:sz w:val="32"/>
          <w:szCs w:val="32"/>
          <w:lang w:val="en-US" w:eastAsia="zh-CN"/>
        </w:rPr>
        <w:t>79.64</w:t>
      </w:r>
      <w:r>
        <w:rPr>
          <w:rFonts w:hint="eastAsia" w:ascii="仿宋" w:hAnsi="仿宋" w:eastAsia="仿宋" w:cs="仿宋_GB2312"/>
          <w:sz w:val="32"/>
          <w:szCs w:val="32"/>
        </w:rPr>
        <w:t>万元。其中人员经费</w:t>
      </w:r>
      <w:r>
        <w:rPr>
          <w:rFonts w:hint="eastAsia" w:ascii="仿宋" w:hAnsi="仿宋" w:eastAsia="仿宋" w:cs="仿宋_GB2312"/>
          <w:sz w:val="32"/>
          <w:szCs w:val="32"/>
          <w:lang w:val="en-US" w:eastAsia="zh-CN"/>
        </w:rPr>
        <w:t>68.84</w:t>
      </w:r>
      <w:r>
        <w:rPr>
          <w:rFonts w:hint="eastAsia" w:ascii="仿宋" w:hAnsi="仿宋" w:eastAsia="仿宋" w:cs="仿宋_GB2312"/>
          <w:sz w:val="32"/>
          <w:szCs w:val="32"/>
        </w:rPr>
        <w:t>万元、日常公用经费</w:t>
      </w:r>
      <w:r>
        <w:rPr>
          <w:rFonts w:hint="eastAsia" w:ascii="仿宋" w:hAnsi="仿宋" w:eastAsia="仿宋" w:cs="仿宋_GB2312"/>
          <w:sz w:val="32"/>
          <w:szCs w:val="32"/>
          <w:lang w:val="en-US" w:eastAsia="zh-CN"/>
        </w:rPr>
        <w:t>10.80</w:t>
      </w:r>
      <w:r>
        <w:rPr>
          <w:rFonts w:hint="eastAsia" w:ascii="仿宋" w:hAnsi="仿宋" w:eastAsia="仿宋" w:cs="仿宋_GB2312"/>
          <w:sz w:val="32"/>
          <w:szCs w:val="32"/>
        </w:rPr>
        <w:t>万元。本年基本支出结余</w:t>
      </w:r>
      <w:r>
        <w:rPr>
          <w:rFonts w:hint="eastAsia" w:ascii="仿宋" w:hAnsi="仿宋" w:eastAsia="仿宋" w:cs="仿宋_GB2312"/>
          <w:sz w:val="32"/>
          <w:szCs w:val="32"/>
          <w:lang w:val="en-US" w:eastAsia="zh-CN"/>
        </w:rPr>
        <w:t>20.07</w:t>
      </w:r>
      <w:r>
        <w:rPr>
          <w:rFonts w:hint="eastAsia" w:ascii="仿宋" w:hAnsi="仿宋" w:eastAsia="仿宋" w:cs="仿宋_GB2312"/>
          <w:sz w:val="32"/>
          <w:szCs w:val="32"/>
        </w:rPr>
        <w:t>万元。</w:t>
      </w:r>
    </w:p>
    <w:p>
      <w:pPr>
        <w:spacing w:line="360" w:lineRule="auto"/>
        <w:ind w:firstLine="640"/>
        <w:rPr>
          <w:rFonts w:ascii="仿宋" w:hAnsi="仿宋" w:eastAsia="仿宋" w:cs="仿宋_GB2312"/>
          <w:sz w:val="32"/>
          <w:szCs w:val="32"/>
        </w:rPr>
      </w:pPr>
      <w:r>
        <w:rPr>
          <w:rFonts w:hint="eastAsia" w:ascii="仿宋" w:hAnsi="仿宋" w:eastAsia="仿宋" w:cs="仿宋_GB2312"/>
          <w:sz w:val="32"/>
          <w:szCs w:val="32"/>
        </w:rPr>
        <w:t>（二）项目支出情况</w:t>
      </w:r>
    </w:p>
    <w:p>
      <w:pPr>
        <w:spacing w:line="360" w:lineRule="auto"/>
        <w:ind w:firstLine="640"/>
        <w:rPr>
          <w:rFonts w:hint="eastAsia"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年度项目支出预算数为</w:t>
      </w:r>
      <w:r>
        <w:rPr>
          <w:rFonts w:hint="eastAsia" w:ascii="仿宋" w:hAnsi="仿宋" w:eastAsia="仿宋" w:cs="仿宋_GB2312"/>
          <w:sz w:val="32"/>
          <w:szCs w:val="32"/>
          <w:lang w:val="en-US" w:eastAsia="zh-CN"/>
        </w:rPr>
        <w:t>70.28</w:t>
      </w:r>
      <w:r>
        <w:rPr>
          <w:rFonts w:hint="eastAsia" w:ascii="仿宋" w:hAnsi="仿宋" w:eastAsia="仿宋" w:cs="仿宋_GB2312"/>
          <w:sz w:val="32"/>
          <w:szCs w:val="32"/>
        </w:rPr>
        <w:t>万元</w:t>
      </w:r>
      <w:r>
        <w:rPr>
          <w:rFonts w:hint="eastAsia" w:ascii="仿宋" w:hAnsi="仿宋" w:eastAsia="仿宋" w:cs="仿宋_GB2312"/>
          <w:sz w:val="32"/>
          <w:szCs w:val="32"/>
          <w:lang w:eastAsia="zh-CN"/>
        </w:rPr>
        <w:t>，</w:t>
      </w:r>
      <w:r>
        <w:rPr>
          <w:rFonts w:hint="eastAsia" w:ascii="仿宋" w:hAnsi="仿宋" w:eastAsia="仿宋" w:cs="仿宋_GB2312"/>
          <w:sz w:val="32"/>
          <w:szCs w:val="32"/>
        </w:rPr>
        <w:t>决算数为</w:t>
      </w:r>
      <w:r>
        <w:rPr>
          <w:rFonts w:hint="eastAsia" w:ascii="仿宋" w:hAnsi="仿宋" w:eastAsia="仿宋" w:cs="仿宋_GB2312"/>
          <w:sz w:val="32"/>
          <w:szCs w:val="32"/>
          <w:lang w:val="en-US" w:eastAsia="zh-CN"/>
        </w:rPr>
        <w:t>40.26</w:t>
      </w:r>
      <w:r>
        <w:rPr>
          <w:rFonts w:hint="eastAsia" w:ascii="仿宋" w:hAnsi="仿宋" w:eastAsia="仿宋" w:cs="仿宋_GB2312"/>
          <w:sz w:val="32"/>
          <w:szCs w:val="32"/>
        </w:rPr>
        <w:t>万元，年末结余</w:t>
      </w:r>
      <w:r>
        <w:rPr>
          <w:rFonts w:hint="eastAsia" w:ascii="仿宋" w:hAnsi="仿宋" w:eastAsia="仿宋" w:cs="仿宋_GB2312"/>
          <w:sz w:val="32"/>
          <w:szCs w:val="32"/>
          <w:lang w:val="en-US" w:eastAsia="zh-CN"/>
        </w:rPr>
        <w:t>30.02</w:t>
      </w:r>
      <w:r>
        <w:rPr>
          <w:rFonts w:hint="eastAsia" w:ascii="仿宋" w:hAnsi="仿宋" w:eastAsia="仿宋" w:cs="仿宋_GB2312"/>
          <w:sz w:val="32"/>
          <w:szCs w:val="32"/>
        </w:rPr>
        <w:t>万元。其中</w:t>
      </w:r>
      <w:r>
        <w:rPr>
          <w:rFonts w:hint="eastAsia" w:ascii="仿宋" w:hAnsi="仿宋" w:eastAsia="仿宋" w:cs="仿宋_GB2312"/>
          <w:sz w:val="32"/>
          <w:szCs w:val="32"/>
          <w:lang w:eastAsia="zh-CN"/>
        </w:rPr>
        <w:t>运行维护类及其他事业发展资金专项</w:t>
      </w:r>
      <w:r>
        <w:rPr>
          <w:rFonts w:hint="eastAsia" w:ascii="仿宋" w:hAnsi="仿宋" w:eastAsia="仿宋" w:cs="仿宋_GB2312"/>
          <w:sz w:val="32"/>
          <w:szCs w:val="32"/>
          <w:lang w:val="en-US" w:eastAsia="zh-CN"/>
        </w:rPr>
        <w:t>40.26万元，为全省农业系列职称评定项目，主要用于2024年度全省农业系列职称评审支出</w:t>
      </w:r>
      <w:r>
        <w:rPr>
          <w:rFonts w:hint="eastAsia" w:ascii="仿宋" w:hAnsi="仿宋" w:eastAsia="仿宋" w:cs="仿宋_GB2312"/>
          <w:sz w:val="32"/>
          <w:szCs w:val="32"/>
        </w:rPr>
        <w:t>。</w:t>
      </w:r>
    </w:p>
    <w:p>
      <w:pPr>
        <w:pStyle w:val="24"/>
        <w:snapToGrid w:val="0"/>
        <w:spacing w:line="570" w:lineRule="atLeast"/>
        <w:ind w:firstLine="640"/>
        <w:rPr>
          <w:rFonts w:hint="eastAsia" w:ascii="楷体" w:hAnsi="楷体" w:eastAsia="楷体" w:cs="楷体"/>
          <w:b/>
          <w:bCs/>
          <w:sz w:val="32"/>
          <w:szCs w:val="32"/>
        </w:rPr>
      </w:pPr>
      <w:r>
        <w:rPr>
          <w:rFonts w:hint="eastAsia" w:ascii="楷体" w:hAnsi="楷体" w:eastAsia="楷体" w:cs="楷体"/>
          <w:b/>
          <w:bCs/>
          <w:sz w:val="32"/>
          <w:szCs w:val="32"/>
        </w:rPr>
        <w:t>三、政府性基金预算支出情况</w:t>
      </w:r>
    </w:p>
    <w:p>
      <w:pPr>
        <w:pStyle w:val="24"/>
        <w:snapToGrid w:val="0"/>
        <w:spacing w:line="570" w:lineRule="atLeast"/>
        <w:ind w:firstLine="640"/>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本单位2024年度无政府性基金预算支出。</w:t>
      </w:r>
    </w:p>
    <w:p>
      <w:pPr>
        <w:pStyle w:val="24"/>
        <w:numPr>
          <w:ilvl w:val="0"/>
          <w:numId w:val="2"/>
        </w:numPr>
        <w:snapToGrid w:val="0"/>
        <w:spacing w:line="570" w:lineRule="atLeast"/>
        <w:ind w:firstLine="640"/>
        <w:rPr>
          <w:rFonts w:hint="eastAsia" w:ascii="楷体" w:hAnsi="楷体" w:eastAsia="楷体" w:cs="楷体"/>
          <w:b/>
          <w:bCs/>
          <w:sz w:val="32"/>
          <w:szCs w:val="32"/>
        </w:rPr>
      </w:pPr>
      <w:r>
        <w:rPr>
          <w:rFonts w:hint="eastAsia" w:ascii="楷体" w:hAnsi="楷体" w:eastAsia="楷体" w:cs="楷体"/>
          <w:b/>
          <w:bCs/>
          <w:sz w:val="32"/>
          <w:szCs w:val="32"/>
        </w:rPr>
        <w:t>国有资本经营预算支出情况</w:t>
      </w:r>
    </w:p>
    <w:p>
      <w:pPr>
        <w:pStyle w:val="24"/>
        <w:snapToGrid w:val="0"/>
        <w:spacing w:line="570" w:lineRule="atLeast"/>
        <w:ind w:firstLine="640"/>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本单位2024年度无国有资本经营预算支出。</w:t>
      </w:r>
    </w:p>
    <w:p>
      <w:pPr>
        <w:numPr>
          <w:ilvl w:val="0"/>
          <w:numId w:val="2"/>
        </w:numPr>
        <w:spacing w:line="360" w:lineRule="auto"/>
        <w:ind w:left="0" w:leftChars="0" w:firstLine="640" w:firstLineChars="0"/>
        <w:rPr>
          <w:rFonts w:hint="eastAsia" w:ascii="楷体" w:hAnsi="楷体" w:eastAsia="楷体" w:cs="楷体"/>
          <w:b/>
          <w:bCs/>
          <w:sz w:val="32"/>
          <w:szCs w:val="32"/>
        </w:rPr>
      </w:pPr>
      <w:r>
        <w:rPr>
          <w:rFonts w:hint="eastAsia" w:ascii="楷体" w:hAnsi="楷体" w:eastAsia="楷体" w:cs="楷体"/>
          <w:b/>
          <w:bCs/>
          <w:sz w:val="32"/>
          <w:szCs w:val="32"/>
        </w:rPr>
        <w:t>社会保险基金预算支出情况</w:t>
      </w:r>
    </w:p>
    <w:p>
      <w:pPr>
        <w:pStyle w:val="24"/>
        <w:snapToGrid w:val="0"/>
        <w:spacing w:line="570" w:lineRule="atLeast"/>
        <w:ind w:firstLine="640"/>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本单位2024年度无社会保险基金预算支出。</w:t>
      </w:r>
    </w:p>
    <w:p>
      <w:pPr>
        <w:spacing w:line="360" w:lineRule="auto"/>
        <w:ind w:firstLine="640"/>
        <w:rPr>
          <w:rFonts w:hint="eastAsia" w:ascii="楷体" w:hAnsi="楷体" w:eastAsia="楷体" w:cs="楷体"/>
          <w:b/>
          <w:bCs/>
          <w:color w:val="auto"/>
          <w:sz w:val="32"/>
          <w:szCs w:val="32"/>
        </w:rPr>
      </w:pPr>
      <w:r>
        <w:rPr>
          <w:rFonts w:hint="eastAsia" w:ascii="楷体" w:hAnsi="楷体" w:eastAsia="楷体" w:cs="楷体"/>
          <w:b/>
          <w:bCs/>
          <w:color w:val="auto"/>
          <w:sz w:val="32"/>
          <w:szCs w:val="32"/>
          <w:lang w:val="en-US" w:eastAsia="zh-CN"/>
        </w:rPr>
        <w:t>六、</w:t>
      </w:r>
      <w:r>
        <w:rPr>
          <w:rFonts w:hint="eastAsia" w:ascii="楷体" w:hAnsi="楷体" w:eastAsia="楷体" w:cs="楷体"/>
          <w:b/>
          <w:bCs/>
          <w:color w:val="auto"/>
          <w:sz w:val="32"/>
          <w:szCs w:val="32"/>
        </w:rPr>
        <w:t>部门整体支出绩效情况</w:t>
      </w:r>
    </w:p>
    <w:p>
      <w:pPr>
        <w:ind w:firstLine="640" w:firstLineChars="200"/>
        <w:rPr>
          <w:rFonts w:ascii="仿宋" w:hAnsi="仿宋" w:eastAsia="仿宋" w:cs="仿宋_GB2312"/>
          <w:sz w:val="32"/>
          <w:szCs w:val="32"/>
        </w:rPr>
      </w:pPr>
      <w:r>
        <w:rPr>
          <w:rFonts w:hint="eastAsia" w:ascii="仿宋" w:hAnsi="仿宋" w:eastAsia="仿宋"/>
          <w:sz w:val="32"/>
          <w:szCs w:val="32"/>
          <w:lang w:eastAsia="zh-CN"/>
        </w:rPr>
        <w:t>湖南省农业人才交流服务</w:t>
      </w:r>
      <w:r>
        <w:rPr>
          <w:rFonts w:hint="eastAsia" w:ascii="仿宋" w:hAnsi="仿宋" w:eastAsia="仿宋"/>
          <w:sz w:val="32"/>
          <w:szCs w:val="32"/>
        </w:rPr>
        <w:t>中心</w:t>
      </w:r>
      <w:r>
        <w:rPr>
          <w:rFonts w:hint="eastAsia" w:ascii="仿宋_GB2312" w:hAnsi="仿宋_GB2312" w:eastAsia="仿宋_GB2312" w:cs="仿宋_GB2312"/>
          <w:sz w:val="32"/>
          <w:szCs w:val="32"/>
          <w:lang w:eastAsia="zh-CN"/>
        </w:rPr>
        <w:t>深入学习贯彻</w:t>
      </w:r>
      <w:r>
        <w:rPr>
          <w:rFonts w:hint="eastAsia" w:ascii="仿宋_GB2312" w:hAnsi="仿宋_GB2312" w:eastAsia="仿宋_GB2312" w:cs="仿宋_GB2312"/>
          <w:sz w:val="32"/>
          <w:szCs w:val="32"/>
        </w:rPr>
        <w:t>习近平</w:t>
      </w:r>
      <w:r>
        <w:rPr>
          <w:rFonts w:hint="eastAsia" w:ascii="仿宋_GB2312" w:hAnsi="仿宋_GB2312" w:eastAsia="仿宋_GB2312" w:cs="仿宋_GB2312"/>
          <w:sz w:val="32"/>
          <w:szCs w:val="32"/>
          <w:lang w:eastAsia="zh-CN"/>
        </w:rPr>
        <w:t>总书记关于做好</w:t>
      </w:r>
      <w:r>
        <w:rPr>
          <w:rFonts w:hint="eastAsia" w:ascii="仿宋_GB2312" w:hAnsi="仿宋_GB2312" w:eastAsia="仿宋_GB2312" w:cs="仿宋_GB2312"/>
          <w:sz w:val="32"/>
          <w:szCs w:val="32"/>
        </w:rPr>
        <w:t>新时代</w:t>
      </w:r>
      <w:r>
        <w:rPr>
          <w:rFonts w:hint="eastAsia" w:ascii="仿宋_GB2312" w:hAnsi="仿宋_GB2312" w:eastAsia="仿宋_GB2312" w:cs="仿宋_GB2312"/>
          <w:sz w:val="32"/>
          <w:szCs w:val="32"/>
          <w:lang w:eastAsia="zh-CN"/>
        </w:rPr>
        <w:t>人才工作的重要思想，</w:t>
      </w:r>
      <w:r>
        <w:rPr>
          <w:rFonts w:hint="eastAsia" w:ascii="华文仿宋" w:hAnsi="华文仿宋" w:eastAsia="华文仿宋" w:cs="华文仿宋"/>
          <w:sz w:val="32"/>
          <w:szCs w:val="32"/>
        </w:rPr>
        <w:t>贯彻落实</w:t>
      </w:r>
      <w:r>
        <w:rPr>
          <w:rFonts w:hint="eastAsia" w:ascii="华文仿宋" w:hAnsi="华文仿宋" w:eastAsia="华文仿宋" w:cs="华文仿宋"/>
          <w:sz w:val="32"/>
          <w:szCs w:val="32"/>
          <w:lang w:eastAsia="zh-CN"/>
        </w:rPr>
        <w:t>中央人才工作会议精神和</w:t>
      </w:r>
      <w:r>
        <w:rPr>
          <w:rFonts w:hint="eastAsia" w:ascii="华文仿宋" w:hAnsi="华文仿宋" w:eastAsia="华文仿宋" w:cs="华文仿宋"/>
          <w:sz w:val="32"/>
          <w:szCs w:val="32"/>
        </w:rPr>
        <w:t>省委人才工作决策部署</w:t>
      </w:r>
      <w:r>
        <w:rPr>
          <w:rFonts w:hint="eastAsia" w:ascii="华文仿宋" w:hAnsi="华文仿宋" w:eastAsia="华文仿宋" w:cs="华文仿宋"/>
          <w:kern w:val="0"/>
          <w:sz w:val="32"/>
          <w:szCs w:val="32"/>
        </w:rPr>
        <w:t>，</w:t>
      </w:r>
      <w:r>
        <w:rPr>
          <w:rFonts w:hint="eastAsia" w:ascii="华文仿宋" w:hAnsi="华文仿宋" w:eastAsia="华文仿宋" w:cs="华文仿宋"/>
          <w:sz w:val="32"/>
          <w:szCs w:val="32"/>
        </w:rPr>
        <w:t>认真履行职责，</w:t>
      </w:r>
      <w:r>
        <w:rPr>
          <w:rFonts w:hint="eastAsia" w:ascii="仿宋" w:hAnsi="仿宋" w:eastAsia="仿宋"/>
          <w:sz w:val="32"/>
          <w:szCs w:val="32"/>
          <w:lang w:eastAsia="zh-CN"/>
        </w:rPr>
        <w:t>克服</w:t>
      </w:r>
      <w:r>
        <w:rPr>
          <w:rFonts w:hint="eastAsia" w:ascii="仿宋_GB2312" w:eastAsia="仿宋_GB2312"/>
          <w:b w:val="0"/>
          <w:bCs/>
          <w:color w:val="000000"/>
          <w:sz w:val="32"/>
          <w:szCs w:val="32"/>
          <w:lang w:eastAsia="zh-CN"/>
        </w:rPr>
        <w:t>人员不断减少而职能不断增多、事情不断增加的矛盾，</w:t>
      </w:r>
      <w:r>
        <w:rPr>
          <w:rFonts w:hint="eastAsia" w:ascii="华文仿宋" w:hAnsi="华文仿宋" w:eastAsia="华文仿宋" w:cs="华文仿宋"/>
          <w:sz w:val="32"/>
          <w:szCs w:val="32"/>
        </w:rPr>
        <w:t>扎实做好各项工作</w:t>
      </w:r>
      <w:r>
        <w:rPr>
          <w:rFonts w:hint="eastAsia" w:ascii="华文仿宋" w:hAnsi="华文仿宋" w:eastAsia="华文仿宋" w:cs="华文仿宋"/>
          <w:sz w:val="32"/>
          <w:szCs w:val="32"/>
          <w:lang w:eastAsia="zh-CN"/>
        </w:rPr>
        <w:t>，</w:t>
      </w:r>
      <w:r>
        <w:rPr>
          <w:rFonts w:hint="eastAsia" w:ascii="仿宋" w:hAnsi="仿宋" w:eastAsia="仿宋"/>
          <w:sz w:val="32"/>
          <w:szCs w:val="32"/>
        </w:rPr>
        <w:t>圆满完成了年度工作任务。</w:t>
      </w:r>
      <w:r>
        <w:rPr>
          <w:rFonts w:hint="eastAsia" w:ascii="仿宋" w:hAnsi="仿宋" w:eastAsia="仿宋" w:cs="仿宋_GB2312"/>
          <w:sz w:val="32"/>
          <w:szCs w:val="32"/>
        </w:rPr>
        <w:t>根据《湖南省财政厅关于开展202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年度部门整体支出绩效自评工作的通知》相关规定，</w:t>
      </w:r>
      <w:r>
        <w:rPr>
          <w:rFonts w:hint="eastAsia" w:ascii="仿宋" w:hAnsi="仿宋" w:eastAsia="仿宋" w:cs="仿宋_GB2312"/>
          <w:sz w:val="32"/>
          <w:szCs w:val="32"/>
          <w:lang w:eastAsia="zh-CN"/>
        </w:rPr>
        <w:t>结合</w:t>
      </w:r>
      <w:r>
        <w:rPr>
          <w:rFonts w:hint="eastAsia" w:ascii="仿宋" w:hAnsi="仿宋" w:eastAsia="仿宋" w:cs="仿宋_GB2312"/>
          <w:sz w:val="32"/>
          <w:szCs w:val="32"/>
        </w:rPr>
        <w:t>基础数据及分析，</w:t>
      </w:r>
      <w:r>
        <w:rPr>
          <w:rFonts w:hint="eastAsia" w:ascii="仿宋" w:hAnsi="仿宋" w:eastAsia="仿宋" w:cs="仿宋_GB2312"/>
          <w:sz w:val="32"/>
          <w:szCs w:val="32"/>
          <w:lang w:eastAsia="zh-CN"/>
        </w:rPr>
        <w:t>人才</w:t>
      </w:r>
      <w:r>
        <w:rPr>
          <w:rFonts w:hint="eastAsia" w:ascii="仿宋" w:hAnsi="仿宋" w:eastAsia="仿宋" w:cs="仿宋_GB2312"/>
          <w:sz w:val="32"/>
          <w:szCs w:val="32"/>
        </w:rPr>
        <w:t>中心202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年度部门整体支出绩效评价综合得分为97.</w:t>
      </w:r>
      <w:r>
        <w:rPr>
          <w:rFonts w:hint="eastAsia" w:ascii="仿宋" w:hAnsi="仿宋" w:eastAsia="仿宋" w:cs="仿宋_GB2312"/>
          <w:sz w:val="32"/>
          <w:szCs w:val="32"/>
          <w:lang w:val="en-US" w:eastAsia="zh-CN"/>
        </w:rPr>
        <w:t>05</w:t>
      </w:r>
      <w:r>
        <w:rPr>
          <w:rFonts w:hint="eastAsia" w:ascii="仿宋" w:hAnsi="仿宋" w:eastAsia="仿宋" w:cs="仿宋_GB2312"/>
          <w:sz w:val="32"/>
          <w:szCs w:val="32"/>
        </w:rPr>
        <w:t>分，其中预算执行率得分7.</w:t>
      </w:r>
      <w:r>
        <w:rPr>
          <w:rFonts w:hint="eastAsia" w:ascii="仿宋" w:hAnsi="仿宋" w:eastAsia="仿宋" w:cs="仿宋_GB2312"/>
          <w:sz w:val="32"/>
          <w:szCs w:val="32"/>
          <w:lang w:val="en-US" w:eastAsia="zh-CN"/>
        </w:rPr>
        <w:t>05</w:t>
      </w:r>
      <w:r>
        <w:rPr>
          <w:rFonts w:hint="eastAsia" w:ascii="仿宋" w:hAnsi="仿宋" w:eastAsia="仿宋" w:cs="仿宋_GB2312"/>
          <w:sz w:val="32"/>
          <w:szCs w:val="32"/>
        </w:rPr>
        <w:t>分、产出指标类得分50分、效益指标类得分30分、满意度指标得分10分。主要绩效情况如下：</w:t>
      </w:r>
    </w:p>
    <w:p>
      <w:pPr>
        <w:pStyle w:val="25"/>
        <w:spacing w:line="360" w:lineRule="auto"/>
        <w:outlineLvl w:val="1"/>
        <w:rPr>
          <w:rFonts w:ascii="仿宋" w:hAnsi="仿宋" w:eastAsia="仿宋" w:cs="华文楷体"/>
        </w:rPr>
      </w:pPr>
      <w:bookmarkStart w:id="3" w:name="_Toc15543"/>
      <w:r>
        <w:rPr>
          <w:rFonts w:hint="eastAsia" w:ascii="仿宋" w:hAnsi="仿宋" w:eastAsia="仿宋" w:cs="华文楷体"/>
        </w:rPr>
        <w:t>（一）预算执行情况</w:t>
      </w:r>
      <w:bookmarkEnd w:id="3"/>
    </w:p>
    <w:p>
      <w:pPr>
        <w:spacing w:line="360" w:lineRule="auto"/>
        <w:ind w:firstLine="640" w:firstLineChars="200"/>
        <w:rPr>
          <w:rFonts w:ascii="仿宋" w:hAnsi="仿宋" w:eastAsia="仿宋" w:cs="仿宋_GB2312"/>
          <w:sz w:val="32"/>
          <w:szCs w:val="32"/>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年全年预算数</w:t>
      </w:r>
      <w:r>
        <w:rPr>
          <w:rFonts w:hint="eastAsia" w:ascii="仿宋" w:hAnsi="仿宋" w:eastAsia="仿宋" w:cs="仿宋_GB2312"/>
          <w:sz w:val="32"/>
          <w:szCs w:val="32"/>
          <w:lang w:val="en-US" w:eastAsia="zh-CN"/>
        </w:rPr>
        <w:t>169.99</w:t>
      </w:r>
      <w:r>
        <w:rPr>
          <w:rFonts w:hint="eastAsia" w:ascii="仿宋" w:hAnsi="仿宋" w:eastAsia="仿宋" w:cs="仿宋_GB2312"/>
          <w:sz w:val="32"/>
          <w:szCs w:val="32"/>
        </w:rPr>
        <w:t>万元，</w:t>
      </w:r>
      <w:r>
        <w:rPr>
          <w:rFonts w:hint="eastAsia" w:ascii="仿宋" w:hAnsi="仿宋" w:eastAsia="仿宋" w:cs="仿宋_GB2312"/>
          <w:sz w:val="32"/>
          <w:szCs w:val="32"/>
          <w:lang w:eastAsia="zh-CN"/>
        </w:rPr>
        <w:t>全年执行数</w:t>
      </w:r>
      <w:r>
        <w:rPr>
          <w:rFonts w:hint="eastAsia" w:ascii="仿宋" w:hAnsi="仿宋" w:eastAsia="仿宋" w:cs="仿宋_GB2312"/>
          <w:sz w:val="32"/>
          <w:szCs w:val="32"/>
          <w:lang w:val="en-US" w:eastAsia="zh-CN"/>
        </w:rPr>
        <w:t>119.90</w:t>
      </w:r>
      <w:r>
        <w:rPr>
          <w:rFonts w:hint="eastAsia" w:ascii="仿宋" w:hAnsi="仿宋" w:eastAsia="仿宋" w:cs="仿宋_GB2312"/>
          <w:sz w:val="32"/>
          <w:szCs w:val="32"/>
        </w:rPr>
        <w:t>万元，预算执行率</w:t>
      </w:r>
      <w:r>
        <w:rPr>
          <w:rFonts w:hint="eastAsia" w:ascii="仿宋" w:hAnsi="仿宋" w:eastAsia="仿宋" w:cs="仿宋_GB2312"/>
          <w:sz w:val="32"/>
          <w:szCs w:val="32"/>
          <w:lang w:val="en-US" w:eastAsia="zh-CN"/>
        </w:rPr>
        <w:t>70.53</w:t>
      </w:r>
      <w:r>
        <w:rPr>
          <w:rFonts w:hint="eastAsia" w:ascii="仿宋" w:hAnsi="仿宋" w:eastAsia="仿宋" w:cs="仿宋_GB2312"/>
          <w:sz w:val="32"/>
          <w:szCs w:val="32"/>
        </w:rPr>
        <w:t>%。该指标得分为7.</w:t>
      </w:r>
      <w:r>
        <w:rPr>
          <w:rFonts w:hint="eastAsia" w:ascii="仿宋" w:hAnsi="仿宋" w:eastAsia="仿宋" w:cs="仿宋_GB2312"/>
          <w:sz w:val="32"/>
          <w:szCs w:val="32"/>
          <w:lang w:val="en-US" w:eastAsia="zh-CN"/>
        </w:rPr>
        <w:t>05</w:t>
      </w:r>
      <w:r>
        <w:rPr>
          <w:rFonts w:hint="eastAsia" w:ascii="仿宋" w:hAnsi="仿宋" w:eastAsia="仿宋" w:cs="仿宋_GB2312"/>
          <w:sz w:val="32"/>
          <w:szCs w:val="32"/>
        </w:rPr>
        <w:t>分。</w:t>
      </w:r>
    </w:p>
    <w:p>
      <w:pPr>
        <w:pStyle w:val="25"/>
        <w:spacing w:line="360" w:lineRule="auto"/>
        <w:outlineLvl w:val="1"/>
        <w:rPr>
          <w:rFonts w:ascii="仿宋" w:hAnsi="仿宋" w:eastAsia="仿宋" w:cs="华文楷体"/>
        </w:rPr>
      </w:pPr>
      <w:bookmarkStart w:id="4" w:name="_Toc30959"/>
      <w:r>
        <w:rPr>
          <w:rFonts w:hint="eastAsia" w:ascii="仿宋" w:hAnsi="仿宋" w:eastAsia="仿宋" w:cs="华文楷体"/>
        </w:rPr>
        <w:t>（二）产出指标绩效情况</w:t>
      </w:r>
      <w:bookmarkEnd w:id="4"/>
    </w:p>
    <w:p>
      <w:pPr>
        <w:pStyle w:val="26"/>
        <w:spacing w:line="360" w:lineRule="auto"/>
        <w:outlineLvl w:val="2"/>
        <w:rPr>
          <w:rFonts w:hint="default" w:ascii="仿宋" w:hAnsi="仿宋" w:eastAsia="仿宋" w:cs="仿宋_GB2312"/>
          <w:b w:val="0"/>
          <w:bCs w:val="0"/>
          <w:color w:val="auto"/>
        </w:rPr>
      </w:pPr>
      <w:bookmarkStart w:id="5" w:name="_Toc6959"/>
      <w:r>
        <w:rPr>
          <w:rFonts w:ascii="仿宋" w:hAnsi="仿宋" w:eastAsia="仿宋" w:cs="仿宋_GB2312"/>
          <w:b w:val="0"/>
          <w:bCs w:val="0"/>
          <w:color w:val="auto"/>
        </w:rPr>
        <w:t>1、数量指标</w:t>
      </w:r>
      <w:bookmarkEnd w:id="5"/>
    </w:p>
    <w:p>
      <w:pPr>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sz w:val="32"/>
          <w:szCs w:val="32"/>
          <w:lang w:val="en-US" w:eastAsia="zh-CN"/>
        </w:rPr>
        <w:t>2024年全省</w:t>
      </w:r>
      <w:r>
        <w:rPr>
          <w:rFonts w:hint="eastAsia" w:ascii="仿宋" w:hAnsi="仿宋" w:eastAsia="仿宋" w:cs="仿宋"/>
          <w:sz w:val="32"/>
          <w:szCs w:val="32"/>
          <w:lang w:eastAsia="zh-CN"/>
        </w:rPr>
        <w:t>培育</w:t>
      </w:r>
      <w:r>
        <w:rPr>
          <w:rFonts w:hint="eastAsia" w:ascii="仿宋" w:hAnsi="仿宋" w:eastAsia="仿宋" w:cs="仿宋_GB2312"/>
          <w:sz w:val="32"/>
          <w:szCs w:val="32"/>
          <w:lang w:eastAsia="zh-CN"/>
        </w:rPr>
        <w:t>乡村产业振兴带头人</w:t>
      </w:r>
      <w:r>
        <w:rPr>
          <w:rFonts w:hint="eastAsia" w:ascii="仿宋" w:hAnsi="仿宋" w:eastAsia="仿宋" w:cs="仿宋"/>
          <w:sz w:val="32"/>
          <w:szCs w:val="32"/>
          <w:lang w:eastAsia="zh-CN"/>
        </w:rPr>
        <w:t>“头雁”学员</w:t>
      </w:r>
      <w:r>
        <w:rPr>
          <w:rFonts w:hint="eastAsia" w:ascii="仿宋" w:hAnsi="仿宋" w:eastAsia="仿宋" w:cs="仿宋"/>
          <w:sz w:val="32"/>
          <w:szCs w:val="32"/>
          <w:lang w:val="en-US" w:eastAsia="zh-CN"/>
        </w:rPr>
        <w:t>900人，委托湖南农业大学、华中农业大学、浙江大学进行培育。</w:t>
      </w:r>
      <w:r>
        <w:rPr>
          <w:rFonts w:hint="eastAsia" w:ascii="仿宋_GB2312" w:hAnsi="仿宋_GB2312" w:eastAsia="仿宋_GB2312" w:cs="仿宋_GB2312"/>
          <w:b w:val="0"/>
          <w:bCs/>
          <w:sz w:val="32"/>
          <w:szCs w:val="32"/>
          <w:lang w:val="en-US" w:eastAsia="zh-CN"/>
        </w:rPr>
        <w:t>湖南承担中组部、农业农村部</w:t>
      </w:r>
      <w:r>
        <w:rPr>
          <w:rFonts w:hint="eastAsia" w:ascii="仿宋_GB2312" w:hAnsi="仿宋_GB2312" w:eastAsia="仿宋_GB2312" w:cs="仿宋_GB2312"/>
          <w:sz w:val="32"/>
          <w:szCs w:val="32"/>
          <w:lang w:val="en-US" w:eastAsia="zh-CN"/>
        </w:rPr>
        <w:t>农村实用人才带头人示范培训7期，培训学员700人，</w:t>
      </w:r>
      <w:r>
        <w:rPr>
          <w:rFonts w:hint="eastAsia" w:ascii="仿宋_GB2312" w:hAnsi="仿宋_GB2312" w:eastAsia="仿宋_GB2312" w:cs="仿宋_GB2312"/>
          <w:color w:val="000000"/>
          <w:sz w:val="32"/>
          <w:szCs w:val="32"/>
          <w:lang w:val="en-US" w:eastAsia="zh-CN"/>
        </w:rPr>
        <w:t>选派290人赴江西、湖北等省农村实用人才培训基地培训，</w:t>
      </w:r>
      <w:r>
        <w:rPr>
          <w:rFonts w:hint="eastAsia" w:ascii="仿宋" w:hAnsi="仿宋" w:eastAsia="仿宋" w:cs="仿宋"/>
          <w:sz w:val="32"/>
          <w:szCs w:val="32"/>
          <w:lang w:val="en-US" w:eastAsia="zh-CN"/>
        </w:rPr>
        <w:t>帮助农村实用人才带头人开阔视野、转变观念、拓展平台、提升能力。</w:t>
      </w:r>
      <w:r>
        <w:rPr>
          <w:rFonts w:hint="eastAsia" w:ascii="仿宋_GB2312" w:hAnsi="仿宋_GB2312" w:eastAsia="仿宋_GB2312" w:cs="仿宋_GB2312"/>
          <w:b w:val="0"/>
          <w:bCs w:val="0"/>
          <w:color w:val="auto"/>
          <w:sz w:val="32"/>
          <w:szCs w:val="32"/>
          <w:lang w:val="en-US" w:eastAsia="zh-CN"/>
        </w:rPr>
        <w:t>为深入了解全省农业农村人才工作状况</w:t>
      </w:r>
      <w:r>
        <w:rPr>
          <w:rFonts w:hint="eastAsia" w:ascii="仿宋_GB2312" w:hAnsi="仿宋_GB2312" w:eastAsia="仿宋_GB2312" w:cs="仿宋_GB2312"/>
          <w:sz w:val="32"/>
          <w:szCs w:val="32"/>
          <w:lang w:eastAsia="zh-CN"/>
        </w:rPr>
        <w:t>，</w:t>
      </w:r>
      <w:r>
        <w:rPr>
          <w:rFonts w:hint="eastAsia" w:ascii="Times New Roman" w:hAnsi="Times New Roman" w:eastAsia="仿宋_GB2312"/>
          <w:color w:val="auto"/>
          <w:sz w:val="32"/>
          <w:szCs w:val="32"/>
        </w:rPr>
        <w:t>先后赴湘潭、衡阳、郴州、益阳、常德等5个市</w:t>
      </w:r>
      <w:r>
        <w:rPr>
          <w:rFonts w:hint="eastAsia" w:ascii="Times New Roman" w:hAnsi="Times New Roman" w:eastAsia="仿宋_GB2312"/>
          <w:color w:val="auto"/>
          <w:sz w:val="32"/>
          <w:szCs w:val="32"/>
          <w:lang w:eastAsia="zh-CN"/>
        </w:rPr>
        <w:t>的</w:t>
      </w:r>
      <w:r>
        <w:rPr>
          <w:rFonts w:hint="eastAsia" w:ascii="Times New Roman" w:hAnsi="Times New Roman" w:eastAsia="仿宋_GB2312"/>
          <w:color w:val="auto"/>
          <w:sz w:val="32"/>
          <w:szCs w:val="32"/>
        </w:rPr>
        <w:t>10个县市区</w:t>
      </w:r>
      <w:r>
        <w:rPr>
          <w:rFonts w:hint="eastAsia" w:ascii="Times New Roman" w:hAnsi="Times New Roman" w:eastAsia="仿宋_GB2312"/>
          <w:color w:val="auto"/>
          <w:sz w:val="32"/>
          <w:szCs w:val="32"/>
          <w:lang w:eastAsia="zh-CN"/>
        </w:rPr>
        <w:t>开展调研，</w:t>
      </w:r>
      <w:r>
        <w:rPr>
          <w:rFonts w:hint="eastAsia" w:ascii="Times New Roman" w:hAnsi="Times New Roman" w:eastAsia="仿宋_GB2312"/>
          <w:color w:val="auto"/>
          <w:sz w:val="32"/>
          <w:szCs w:val="32"/>
        </w:rPr>
        <w:t>充分了解乡村人才队伍建设情况</w:t>
      </w:r>
      <w:r>
        <w:rPr>
          <w:rFonts w:hint="eastAsia" w:ascii="Times New Roman" w:hAnsi="Times New Roman" w:eastAsia="仿宋_GB2312"/>
          <w:color w:val="auto"/>
          <w:sz w:val="32"/>
          <w:szCs w:val="32"/>
          <w:lang w:eastAsia="zh-CN"/>
        </w:rPr>
        <w:t>，形成了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湖南省乡村人才队伍建设调研报告</w:t>
      </w:r>
      <w:r>
        <w:rPr>
          <w:rFonts w:hint="eastAsia" w:ascii="仿宋_GB2312" w:hAnsi="仿宋_GB2312" w:eastAsia="仿宋_GB2312" w:cs="仿宋_GB2312"/>
          <w:color w:val="auto"/>
          <w:sz w:val="32"/>
          <w:szCs w:val="32"/>
          <w:lang w:eastAsia="zh-CN"/>
        </w:rPr>
        <w:t>》。配合农业农村部调研组，到长沙、衡阳开展了</w:t>
      </w:r>
      <w:r>
        <w:rPr>
          <w:rFonts w:hint="default" w:ascii="Nimbus Roman No9 L" w:hAnsi="Nimbus Roman No9 L" w:eastAsia="仿宋_GB2312" w:cs="Nimbus Roman No9 L"/>
          <w:color w:val="auto"/>
          <w:sz w:val="32"/>
          <w:szCs w:val="32"/>
          <w:lang w:val="en-US" w:eastAsia="zh-CN"/>
        </w:rPr>
        <w:t>本地区培养留住用好乡村人才情况</w:t>
      </w:r>
      <w:r>
        <w:rPr>
          <w:rFonts w:hint="eastAsia" w:ascii="Nimbus Roman No9 L" w:hAnsi="Nimbus Roman No9 L" w:eastAsia="仿宋_GB2312" w:cs="Nimbus Roman No9 L"/>
          <w:color w:val="auto"/>
          <w:sz w:val="32"/>
          <w:szCs w:val="32"/>
          <w:lang w:val="en-US" w:eastAsia="zh-CN"/>
        </w:rPr>
        <w:t>、</w:t>
      </w:r>
      <w:r>
        <w:rPr>
          <w:rFonts w:hint="default" w:ascii="Nimbus Roman No9 L" w:hAnsi="Nimbus Roman No9 L" w:eastAsia="仿宋_GB2312" w:cs="Nimbus Roman No9 L"/>
          <w:color w:val="auto"/>
          <w:sz w:val="32"/>
          <w:szCs w:val="32"/>
          <w:lang w:val="en-US" w:eastAsia="zh-CN"/>
        </w:rPr>
        <w:t>乡村运营管理人才培养</w:t>
      </w:r>
      <w:r>
        <w:rPr>
          <w:rFonts w:hint="eastAsia" w:ascii="Nimbus Roman No9 L" w:hAnsi="Nimbus Roman No9 L" w:eastAsia="仿宋_GB2312" w:cs="Nimbus Roman No9 L"/>
          <w:color w:val="auto"/>
          <w:sz w:val="32"/>
          <w:szCs w:val="32"/>
          <w:lang w:val="en-US" w:eastAsia="zh-CN"/>
        </w:rPr>
        <w:t>、</w:t>
      </w:r>
      <w:r>
        <w:rPr>
          <w:rFonts w:hint="default" w:ascii="Nimbus Roman No9 L" w:hAnsi="Nimbus Roman No9 L" w:eastAsia="仿宋_GB2312" w:cs="Nimbus Roman No9 L"/>
          <w:color w:val="auto"/>
          <w:sz w:val="32"/>
          <w:szCs w:val="32"/>
          <w:lang w:val="en-US" w:eastAsia="zh-CN"/>
        </w:rPr>
        <w:t>外出人才返乡、城镇人才下乡、退休人才返聘等</w:t>
      </w:r>
      <w:r>
        <w:rPr>
          <w:rFonts w:hint="eastAsia" w:ascii="Nimbus Roman No9 L" w:hAnsi="Nimbus Roman No9 L" w:eastAsia="仿宋_GB2312" w:cs="Nimbus Roman No9 L"/>
          <w:color w:val="auto"/>
          <w:sz w:val="32"/>
          <w:szCs w:val="32"/>
          <w:lang w:val="en-US" w:eastAsia="zh-CN"/>
        </w:rPr>
        <w:t>情况的调研。</w:t>
      </w:r>
    </w:p>
    <w:p>
      <w:pPr>
        <w:pStyle w:val="27"/>
        <w:ind w:firstLine="640" w:firstLineChars="200"/>
        <w:rPr>
          <w:rFonts w:ascii="仿宋" w:hAnsi="仿宋" w:eastAsia="仿宋" w:cs="仿宋_GB2312"/>
          <w:sz w:val="32"/>
          <w:szCs w:val="32"/>
        </w:rPr>
      </w:pPr>
      <w:r>
        <w:rPr>
          <w:rFonts w:hint="eastAsia" w:ascii="仿宋" w:hAnsi="仿宋" w:eastAsia="仿宋"/>
          <w:sz w:val="32"/>
          <w:szCs w:val="32"/>
        </w:rPr>
        <w:t xml:space="preserve"> </w:t>
      </w:r>
      <w:r>
        <w:rPr>
          <w:rFonts w:hint="eastAsia" w:ascii="仿宋" w:hAnsi="仿宋" w:eastAsia="仿宋" w:cs="仿宋_GB2312"/>
          <w:sz w:val="32"/>
          <w:szCs w:val="32"/>
        </w:rPr>
        <w:t>2、质量指标</w:t>
      </w:r>
    </w:p>
    <w:p>
      <w:pPr>
        <w:pStyle w:val="9"/>
        <w:spacing w:line="360" w:lineRule="auto"/>
        <w:ind w:left="0" w:leftChars="0" w:firstLine="640" w:firstLineChars="200"/>
        <w:rPr>
          <w:rFonts w:hint="eastAsia" w:ascii="仿宋_GB2312" w:hAnsi="仿宋_GB2312" w:eastAsia="仿宋_GB2312" w:cs="仿宋_GB2312"/>
          <w:sz w:val="32"/>
          <w:szCs w:val="32"/>
        </w:rPr>
      </w:pPr>
      <w:r>
        <w:rPr>
          <w:rFonts w:hint="eastAsia" w:ascii="仿宋" w:hAnsi="仿宋" w:eastAsia="仿宋" w:cs="Times New Roman"/>
          <w:sz w:val="32"/>
          <w:szCs w:val="32"/>
          <w:lang w:val="en-US" w:eastAsia="zh-CN"/>
        </w:rPr>
        <w:t>严格程序，严明纪律，认真组织开展了2024年度农业系列职称评审</w:t>
      </w:r>
      <w:r>
        <w:rPr>
          <w:rFonts w:hint="eastAsia" w:ascii="仿宋" w:hAnsi="仿宋" w:eastAsia="仿宋" w:cs="Times New Roman"/>
          <w:sz w:val="32"/>
          <w:szCs w:val="32"/>
          <w:lang w:val="en" w:eastAsia="zh-CN"/>
        </w:rPr>
        <w:t>，全省农业系列职称参评人员达到</w:t>
      </w:r>
      <w:r>
        <w:rPr>
          <w:rFonts w:hint="eastAsia" w:ascii="仿宋" w:hAnsi="仿宋" w:eastAsia="仿宋" w:cs="Times New Roman"/>
          <w:sz w:val="32"/>
          <w:szCs w:val="32"/>
          <w:lang w:val="en-US" w:eastAsia="zh-CN"/>
        </w:rPr>
        <w:t>1061人，其中</w:t>
      </w:r>
      <w:r>
        <w:rPr>
          <w:rFonts w:hint="eastAsia" w:ascii="仿宋" w:hAnsi="仿宋" w:eastAsia="仿宋" w:cs="Times New Roman"/>
          <w:sz w:val="32"/>
          <w:szCs w:val="32"/>
          <w:lang w:val="en" w:eastAsia="zh-CN"/>
        </w:rPr>
        <w:t>正高职称</w:t>
      </w:r>
      <w:r>
        <w:rPr>
          <w:rFonts w:hint="eastAsia" w:ascii="仿宋" w:hAnsi="仿宋" w:eastAsia="仿宋" w:cs="Times New Roman"/>
          <w:sz w:val="32"/>
          <w:szCs w:val="32"/>
          <w:lang w:val="en-US" w:eastAsia="zh-CN"/>
        </w:rPr>
        <w:t>申报人员137人，经农业系列高评会组织专家评审，有54人通过评审，通过率为39.</w:t>
      </w:r>
      <w:r>
        <w:rPr>
          <w:rFonts w:hint="eastAsia" w:ascii="仿宋" w:hAnsi="仿宋" w:eastAsia="仿宋" w:cs="Times New Roman"/>
          <w:color w:val="auto"/>
          <w:sz w:val="32"/>
          <w:szCs w:val="32"/>
          <w:lang w:val="en-US" w:eastAsia="zh-CN"/>
        </w:rPr>
        <w:t>42%；</w:t>
      </w:r>
      <w:r>
        <w:rPr>
          <w:rFonts w:hint="eastAsia" w:ascii="仿宋" w:hAnsi="仿宋" w:eastAsia="仿宋" w:cs="Times New Roman"/>
          <w:sz w:val="32"/>
          <w:szCs w:val="32"/>
          <w:lang w:val="en-US" w:eastAsia="zh-CN"/>
        </w:rPr>
        <w:t>申报副</w:t>
      </w:r>
      <w:r>
        <w:rPr>
          <w:rFonts w:hint="eastAsia" w:ascii="仿宋" w:hAnsi="仿宋" w:eastAsia="仿宋" w:cs="Times New Roman"/>
          <w:sz w:val="32"/>
          <w:szCs w:val="32"/>
          <w:lang w:val="en" w:eastAsia="zh-CN"/>
        </w:rPr>
        <w:t>高职称人员</w:t>
      </w:r>
      <w:r>
        <w:rPr>
          <w:rFonts w:hint="eastAsia" w:ascii="仿宋" w:hAnsi="仿宋" w:eastAsia="仿宋" w:cs="Times New Roman"/>
          <w:sz w:val="32"/>
          <w:szCs w:val="32"/>
          <w:lang w:val="en-US" w:eastAsia="zh-CN"/>
        </w:rPr>
        <w:t>914人</w:t>
      </w:r>
      <w:r>
        <w:rPr>
          <w:rFonts w:hint="eastAsia" w:ascii="仿宋" w:hAnsi="仿宋" w:eastAsia="仿宋" w:cs="Times New Roman"/>
          <w:color w:val="auto"/>
          <w:sz w:val="32"/>
          <w:szCs w:val="32"/>
          <w:lang w:val="en-US" w:eastAsia="zh-CN"/>
        </w:rPr>
        <w:t>，经农业系列高评会组织专家评审，有520人获得通过评审，</w:t>
      </w:r>
      <w:r>
        <w:rPr>
          <w:rFonts w:hint="eastAsia" w:ascii="仿宋_GB2312" w:hAnsi="仿宋_GB2312" w:eastAsia="仿宋_GB2312" w:cs="仿宋_GB2312"/>
          <w:color w:val="auto"/>
          <w:sz w:val="32"/>
          <w:szCs w:val="32"/>
          <w:lang w:val="en-US" w:eastAsia="zh-CN"/>
        </w:rPr>
        <w:t>副高职称通过率达到56.89%（按照省人社厅规定</w:t>
      </w:r>
      <w:r>
        <w:rPr>
          <w:rFonts w:hint="eastAsia" w:ascii="仿宋_GB2312" w:hAnsi="Arial" w:eastAsia="仿宋_GB2312" w:cs="Arial"/>
          <w:kern w:val="0"/>
          <w:sz w:val="32"/>
          <w:szCs w:val="32"/>
        </w:rPr>
        <w:t>高级职称评审通过率一般控制在正高40%以内，副高55%以下</w:t>
      </w:r>
      <w:r>
        <w:rPr>
          <w:rFonts w:hint="eastAsia" w:ascii="仿宋_GB2312" w:hAnsi="Arial" w:eastAsia="仿宋_GB2312" w:cs="Arial"/>
          <w:kern w:val="0"/>
          <w:sz w:val="32"/>
          <w:szCs w:val="32"/>
          <w:lang w:eastAsia="zh-CN"/>
        </w:rPr>
        <w:t>，为切实做好职称评审向基层倾斜，经省农业系列职改办提前沟通协调，努力争取，</w:t>
      </w:r>
      <w:r>
        <w:rPr>
          <w:rFonts w:hint="eastAsia" w:ascii="仿宋_GB2312" w:hAnsi="Arial" w:eastAsia="仿宋_GB2312" w:cs="Arial"/>
          <w:kern w:val="0"/>
          <w:sz w:val="32"/>
          <w:szCs w:val="32"/>
          <w:lang w:val="en-US" w:eastAsia="zh-CN"/>
        </w:rPr>
        <w:t>2024年增加职数18个</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高质量做好湖南省</w:t>
      </w:r>
      <w:r>
        <w:rPr>
          <w:rFonts w:hint="eastAsia" w:ascii="仿宋_GB2312" w:hAnsi="仿宋_GB2312" w:eastAsia="仿宋_GB2312" w:cs="仿宋_GB2312"/>
          <w:b w:val="0"/>
          <w:bCs w:val="0"/>
          <w:sz w:val="32"/>
          <w:szCs w:val="32"/>
        </w:rPr>
        <w:t>农业农村系统国有单位人事劳动统计</w:t>
      </w:r>
      <w:r>
        <w:rPr>
          <w:rFonts w:hint="eastAsia" w:ascii="仿宋_GB2312" w:hAnsi="仿宋_GB2312" w:eastAsia="仿宋_GB2312" w:cs="仿宋_GB2312"/>
          <w:b w:val="0"/>
          <w:bCs w:val="0"/>
          <w:sz w:val="32"/>
          <w:szCs w:val="32"/>
          <w:lang w:eastAsia="zh-CN"/>
        </w:rPr>
        <w:t>工作，及时准确地完成了全省数据报送。</w:t>
      </w:r>
    </w:p>
    <w:p>
      <w:pPr>
        <w:pStyle w:val="9"/>
        <w:numPr>
          <w:ilvl w:val="0"/>
          <w:numId w:val="0"/>
        </w:numPr>
        <w:spacing w:line="360" w:lineRule="auto"/>
        <w:ind w:leftChars="200" w:firstLine="320" w:firstLineChars="100"/>
        <w:rPr>
          <w:rFonts w:ascii="仿宋" w:hAnsi="仿宋" w:eastAsia="仿宋" w:cs="仿宋_GB2312"/>
          <w:sz w:val="32"/>
          <w:szCs w:val="32"/>
        </w:rPr>
      </w:pPr>
      <w:r>
        <w:rPr>
          <w:rFonts w:hint="eastAsia" w:ascii="仿宋" w:hAnsi="仿宋" w:eastAsia="仿宋" w:cs="仿宋_GB2312"/>
          <w:sz w:val="32"/>
          <w:szCs w:val="32"/>
          <w:lang w:val="en-US" w:eastAsia="zh-CN"/>
        </w:rPr>
        <w:t>3、</w:t>
      </w:r>
      <w:r>
        <w:rPr>
          <w:rFonts w:hint="eastAsia" w:ascii="仿宋" w:hAnsi="仿宋" w:eastAsia="仿宋" w:cs="仿宋_GB2312"/>
          <w:sz w:val="32"/>
          <w:szCs w:val="32"/>
        </w:rPr>
        <w:t>时效指标</w:t>
      </w:r>
    </w:p>
    <w:p>
      <w:pPr>
        <w:pStyle w:val="25"/>
        <w:spacing w:line="360" w:lineRule="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2024年7月，</w:t>
      </w:r>
      <w:r>
        <w:rPr>
          <w:rFonts w:hint="eastAsia" w:ascii="仿宋_GB2312" w:hAnsi="仿宋_GB2312" w:eastAsia="仿宋_GB2312" w:cs="仿宋_GB2312"/>
          <w:b w:val="0"/>
          <w:bCs w:val="0"/>
          <w:sz w:val="32"/>
          <w:szCs w:val="32"/>
          <w:lang w:val="en-US" w:eastAsia="zh-CN"/>
        </w:rPr>
        <w:t>起草了《</w:t>
      </w:r>
      <w:r>
        <w:rPr>
          <w:rFonts w:hint="eastAsia" w:ascii="仿宋_GB2312" w:hAnsi="仿宋_GB2312" w:eastAsia="仿宋_GB2312" w:cs="仿宋_GB2312"/>
          <w:b w:val="0"/>
          <w:bCs w:val="0"/>
          <w:sz w:val="32"/>
          <w:szCs w:val="32"/>
        </w:rPr>
        <w:t>关于建立湖南省基层</w:t>
      </w:r>
      <w:r>
        <w:rPr>
          <w:rFonts w:hint="eastAsia" w:ascii="仿宋_GB2312" w:hAnsi="仿宋_GB2312" w:eastAsia="仿宋_GB2312" w:cs="仿宋_GB2312"/>
          <w:b w:val="0"/>
          <w:bCs w:val="0"/>
          <w:sz w:val="32"/>
          <w:szCs w:val="32"/>
          <w:lang w:eastAsia="zh-CN"/>
        </w:rPr>
        <w:t>农业专业技术人员</w:t>
      </w:r>
      <w:r>
        <w:rPr>
          <w:rFonts w:hint="eastAsia" w:ascii="仿宋_GB2312" w:hAnsi="仿宋_GB2312" w:eastAsia="仿宋_GB2312" w:cs="仿宋_GB2312"/>
          <w:b w:val="0"/>
          <w:bCs w:val="0"/>
          <w:sz w:val="32"/>
          <w:szCs w:val="32"/>
        </w:rPr>
        <w:t>职称制度的实施意见</w:t>
      </w:r>
      <w:r>
        <w:rPr>
          <w:rFonts w:hint="eastAsia" w:ascii="仿宋_GB2312" w:hAnsi="仿宋_GB2312" w:eastAsia="仿宋_GB2312" w:cs="仿宋_GB2312"/>
          <w:b w:val="0"/>
          <w:bCs w:val="0"/>
          <w:sz w:val="32"/>
          <w:szCs w:val="32"/>
          <w:lang w:val="en-US" w:eastAsia="zh-CN"/>
        </w:rPr>
        <w:t>》、修订了《</w:t>
      </w:r>
      <w:r>
        <w:rPr>
          <w:rFonts w:hint="eastAsia" w:ascii="仿宋_GB2312" w:hAnsi="仿宋_GB2312" w:eastAsia="仿宋_GB2312" w:cs="仿宋_GB2312"/>
          <w:b w:val="0"/>
          <w:bCs w:val="0"/>
          <w:sz w:val="32"/>
          <w:szCs w:val="32"/>
        </w:rPr>
        <w:t>湖南省农业系列专业技术职称申报评价办法</w:t>
      </w:r>
      <w:r>
        <w:rPr>
          <w:rFonts w:hint="eastAsia" w:ascii="仿宋_GB2312" w:hAnsi="仿宋_GB2312" w:eastAsia="仿宋_GB2312" w:cs="仿宋_GB2312"/>
          <w:b w:val="0"/>
          <w:bCs w:val="0"/>
          <w:sz w:val="32"/>
          <w:szCs w:val="32"/>
          <w:lang w:val="en-US" w:eastAsia="zh-CN"/>
        </w:rPr>
        <w:t>》，已经报送省人社厅。</w:t>
      </w:r>
    </w:p>
    <w:p>
      <w:pPr>
        <w:pStyle w:val="25"/>
        <w:spacing w:line="360" w:lineRule="auto"/>
        <w:outlineLvl w:val="1"/>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根据省人力资源和社会保障厅统一部署，2024年12月12日完成了2024年度全省农业系列职称评审。</w:t>
      </w:r>
    </w:p>
    <w:p>
      <w:pPr>
        <w:pStyle w:val="25"/>
        <w:numPr>
          <w:ilvl w:val="0"/>
          <w:numId w:val="3"/>
        </w:numPr>
        <w:spacing w:line="360" w:lineRule="auto"/>
        <w:outlineLvl w:val="1"/>
        <w:rPr>
          <w:rFonts w:hint="eastAsia" w:ascii="仿宋" w:hAnsi="仿宋" w:eastAsia="仿宋" w:cs="仿宋_GB2312"/>
          <w:b w:val="0"/>
          <w:bCs w:val="0"/>
          <w:kern w:val="2"/>
          <w:sz w:val="32"/>
          <w:szCs w:val="32"/>
          <w:lang w:val="en-US" w:eastAsia="zh-CN" w:bidi="ar-SA"/>
        </w:rPr>
      </w:pPr>
      <w:r>
        <w:rPr>
          <w:rFonts w:hint="eastAsia" w:ascii="仿宋" w:hAnsi="仿宋" w:eastAsia="仿宋" w:cs="仿宋_GB2312"/>
          <w:b w:val="0"/>
          <w:bCs w:val="0"/>
          <w:kern w:val="2"/>
          <w:sz w:val="32"/>
          <w:szCs w:val="32"/>
          <w:lang w:val="en-US" w:eastAsia="zh-CN" w:bidi="ar-SA"/>
        </w:rPr>
        <w:t>成本指标</w:t>
      </w:r>
    </w:p>
    <w:p>
      <w:pPr>
        <w:pStyle w:val="25"/>
        <w:numPr>
          <w:ilvl w:val="0"/>
          <w:numId w:val="0"/>
        </w:numPr>
        <w:spacing w:line="360" w:lineRule="auto"/>
        <w:outlineLvl w:val="1"/>
        <w:rPr>
          <w:rFonts w:hint="default" w:ascii="仿宋" w:hAnsi="仿宋" w:eastAsia="仿宋" w:cs="仿宋_GB2312"/>
          <w:b w:val="0"/>
          <w:bCs w:val="0"/>
          <w:kern w:val="2"/>
          <w:sz w:val="32"/>
          <w:szCs w:val="32"/>
          <w:lang w:val="en-US" w:eastAsia="zh-CN" w:bidi="ar-SA"/>
        </w:rPr>
      </w:pPr>
      <w:r>
        <w:rPr>
          <w:rFonts w:hint="eastAsia" w:ascii="仿宋" w:hAnsi="仿宋" w:eastAsia="仿宋" w:cs="仿宋_GB2312"/>
          <w:b w:val="0"/>
          <w:bCs w:val="0"/>
          <w:kern w:val="2"/>
          <w:sz w:val="32"/>
          <w:szCs w:val="32"/>
          <w:lang w:val="en-US" w:eastAsia="zh-CN" w:bidi="ar-SA"/>
        </w:rPr>
        <w:t xml:space="preserve">    2024年各项支出控制在预算范围内。</w:t>
      </w:r>
    </w:p>
    <w:p>
      <w:pPr>
        <w:pStyle w:val="25"/>
        <w:spacing w:line="360" w:lineRule="auto"/>
        <w:outlineLvl w:val="1"/>
        <w:rPr>
          <w:rFonts w:ascii="仿宋" w:hAnsi="仿宋" w:eastAsia="仿宋" w:cs="华文楷体"/>
        </w:rPr>
      </w:pPr>
      <w:r>
        <w:rPr>
          <w:rFonts w:hint="eastAsia" w:ascii="仿宋" w:hAnsi="仿宋" w:eastAsia="仿宋" w:cs="华文楷体"/>
        </w:rPr>
        <w:t>（三）效益指标绩效情况</w:t>
      </w:r>
    </w:p>
    <w:p>
      <w:pPr>
        <w:pStyle w:val="9"/>
        <w:spacing w:line="360" w:lineRule="auto"/>
        <w:ind w:left="0" w:leftChars="0"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sz w:val="32"/>
          <w:szCs w:val="32"/>
          <w:lang w:eastAsia="zh-CN"/>
        </w:rPr>
        <w:t>、</w:t>
      </w:r>
      <w:r>
        <w:rPr>
          <w:rFonts w:hint="eastAsia" w:ascii="仿宋" w:hAnsi="仿宋" w:eastAsia="仿宋" w:cs="仿宋_GB2312"/>
          <w:sz w:val="32"/>
          <w:szCs w:val="32"/>
        </w:rPr>
        <w:t>社会效益指标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 w:hAnsi="楷体" w:eastAsia="楷体" w:cs="楷体"/>
          <w:b/>
          <w:bCs/>
          <w:color w:val="auto"/>
          <w:kern w:val="2"/>
          <w:sz w:val="32"/>
          <w:szCs w:val="32"/>
          <w:lang w:val="en-US" w:eastAsia="zh-CN" w:bidi="ar-SA"/>
        </w:rPr>
      </w:pPr>
      <w:r>
        <w:rPr>
          <w:rFonts w:hint="eastAsia" w:ascii="仿宋_GB2312" w:hAnsi="仿宋_GB2312" w:eastAsia="仿宋_GB2312" w:cs="仿宋_GB2312"/>
          <w:b w:val="0"/>
          <w:bCs w:val="0"/>
          <w:sz w:val="32"/>
          <w:szCs w:val="32"/>
          <w:lang w:val="en-US" w:eastAsia="zh-CN"/>
        </w:rPr>
        <w:t>组织了2024年度“湖南省十佳农民”、“湖南省十佳农技推广标兵”评选工作，经过两轮评选，10人获“湖南省十佳农民”称号，10人获得“湖南省十佳农技推广标兵”称号。</w:t>
      </w:r>
    </w:p>
    <w:p>
      <w:pPr>
        <w:pStyle w:val="11"/>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2024年9月-11月，组织举办</w:t>
      </w:r>
      <w:r>
        <w:rPr>
          <w:rFonts w:hint="eastAsia" w:ascii="仿宋" w:hAnsi="仿宋" w:eastAsia="仿宋" w:cs="仿宋"/>
          <w:sz w:val="32"/>
          <w:szCs w:val="32"/>
        </w:rPr>
        <w:t>农业经理人、农业技术员（水产技术员）、茶叶加工工、动物疫病防治员、兽医化验员、渔业安全生产技能、生猪产能调控基地生产技能共计7个职业（工种）</w:t>
      </w:r>
      <w:r>
        <w:rPr>
          <w:rFonts w:hint="eastAsia" w:ascii="仿宋" w:hAnsi="仿宋" w:eastAsia="仿宋" w:cs="仿宋"/>
          <w:sz w:val="32"/>
          <w:szCs w:val="32"/>
          <w:lang w:eastAsia="zh-CN"/>
        </w:rPr>
        <w:t>的竞赛。来自全省</w:t>
      </w:r>
      <w:r>
        <w:rPr>
          <w:rFonts w:hint="eastAsia" w:ascii="仿宋" w:hAnsi="仿宋" w:eastAsia="仿宋" w:cs="仿宋"/>
          <w:sz w:val="32"/>
          <w:szCs w:val="32"/>
          <w:lang w:val="en-US" w:eastAsia="zh-CN"/>
        </w:rPr>
        <w:t>14</w:t>
      </w:r>
      <w:r>
        <w:rPr>
          <w:rFonts w:hint="eastAsia" w:ascii="仿宋" w:hAnsi="仿宋" w:eastAsia="仿宋" w:cs="仿宋"/>
          <w:color w:val="auto"/>
          <w:sz w:val="32"/>
          <w:szCs w:val="32"/>
          <w:lang w:val="en-US" w:eastAsia="zh-CN"/>
        </w:rPr>
        <w:t>个市州的225名选手和20个基地</w:t>
      </w:r>
      <w:r>
        <w:rPr>
          <w:rFonts w:hint="eastAsia" w:ascii="仿宋" w:hAnsi="仿宋" w:eastAsia="仿宋" w:cs="仿宋"/>
          <w:sz w:val="32"/>
          <w:szCs w:val="32"/>
          <w:lang w:val="en-US" w:eastAsia="zh-CN"/>
        </w:rPr>
        <w:t>参加竞赛。在</w:t>
      </w:r>
      <w:r>
        <w:rPr>
          <w:rFonts w:hint="eastAsia" w:ascii="仿宋" w:hAnsi="仿宋" w:eastAsia="仿宋" w:cs="仿宋"/>
          <w:sz w:val="32"/>
          <w:szCs w:val="32"/>
        </w:rPr>
        <w:t>大赛组委会和各执委会的精心组织下，省级选拔赛取得圆满成功。</w:t>
      </w:r>
    </w:p>
    <w:p>
      <w:pPr>
        <w:pStyle w:val="9"/>
        <w:spacing w:line="360" w:lineRule="auto"/>
        <w:ind w:left="0" w:leftChars="0"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2</w:t>
      </w:r>
      <w:r>
        <w:rPr>
          <w:rFonts w:hint="eastAsia" w:ascii="仿宋" w:hAnsi="仿宋" w:eastAsia="仿宋" w:cs="仿宋_GB2312"/>
          <w:sz w:val="32"/>
          <w:szCs w:val="32"/>
        </w:rPr>
        <w:t>、</w:t>
      </w:r>
      <w:r>
        <w:rPr>
          <w:rFonts w:hint="eastAsia" w:ascii="仿宋" w:hAnsi="仿宋" w:eastAsia="仿宋" w:cs="仿宋_GB2312"/>
          <w:sz w:val="32"/>
          <w:szCs w:val="32"/>
          <w:lang w:eastAsia="zh-CN"/>
        </w:rPr>
        <w:t>可持续影响</w:t>
      </w:r>
      <w:r>
        <w:rPr>
          <w:rFonts w:hint="eastAsia" w:ascii="仿宋" w:hAnsi="仿宋" w:eastAsia="仿宋" w:cs="仿宋_GB2312"/>
          <w:sz w:val="32"/>
          <w:szCs w:val="32"/>
        </w:rPr>
        <w:t>指标</w:t>
      </w:r>
    </w:p>
    <w:p>
      <w:pPr>
        <w:pStyle w:val="9"/>
        <w:spacing w:line="360" w:lineRule="auto"/>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组织厅直事业单位按照选拔条件和推荐程序进行了</w:t>
      </w:r>
      <w:r>
        <w:rPr>
          <w:rFonts w:hint="eastAsia" w:ascii="仿宋_GB2312" w:hAnsi="仿宋_GB2312" w:eastAsia="仿宋_GB2312" w:cs="仿宋_GB2312"/>
          <w:b w:val="0"/>
          <w:bCs w:val="0"/>
          <w:sz w:val="32"/>
          <w:szCs w:val="32"/>
        </w:rPr>
        <w:t>享受</w:t>
      </w:r>
      <w:r>
        <w:rPr>
          <w:rFonts w:hint="eastAsia" w:ascii="仿宋_GB2312" w:hAnsi="仿宋_GB2312" w:eastAsia="仿宋_GB2312" w:cs="仿宋_GB2312"/>
          <w:b w:val="0"/>
          <w:bCs w:val="0"/>
          <w:sz w:val="32"/>
          <w:szCs w:val="32"/>
          <w:lang w:eastAsia="zh-CN"/>
        </w:rPr>
        <w:t>国务院</w:t>
      </w:r>
      <w:r>
        <w:rPr>
          <w:rFonts w:hint="eastAsia" w:ascii="仿宋_GB2312" w:hAnsi="仿宋_GB2312" w:eastAsia="仿宋_GB2312" w:cs="仿宋_GB2312"/>
          <w:b w:val="0"/>
          <w:bCs w:val="0"/>
          <w:sz w:val="32"/>
          <w:szCs w:val="32"/>
        </w:rPr>
        <w:t>政府特殊津贴人员</w:t>
      </w:r>
      <w:r>
        <w:rPr>
          <w:rFonts w:hint="eastAsia" w:ascii="仿宋_GB2312" w:hAnsi="仿宋_GB2312" w:eastAsia="仿宋_GB2312" w:cs="仿宋_GB2312"/>
          <w:sz w:val="32"/>
          <w:szCs w:val="32"/>
        </w:rPr>
        <w:t>申报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对厅直单位推荐的4名申报人员进行了初选。经专家评议和投票表决，</w:t>
      </w:r>
      <w:r>
        <w:rPr>
          <w:rFonts w:hint="eastAsia" w:ascii="仿宋_GB2312" w:hAnsi="仿宋_GB2312" w:eastAsia="仿宋_GB2312" w:cs="仿宋_GB2312"/>
          <w:sz w:val="32"/>
          <w:szCs w:val="32"/>
          <w:lang w:eastAsia="zh-CN"/>
        </w:rPr>
        <w:t>推荐</w:t>
      </w:r>
      <w:r>
        <w:rPr>
          <w:rFonts w:hint="eastAsia" w:ascii="仿宋_GB2312" w:hAnsi="仿宋_GB2312" w:eastAsia="仿宋_GB2312" w:cs="仿宋_GB2312"/>
          <w:sz w:val="32"/>
          <w:szCs w:val="32"/>
          <w:lang w:val="en-US" w:eastAsia="zh-CN"/>
        </w:rPr>
        <w:t>1人参加省级、国家级评选，最终获评</w:t>
      </w:r>
      <w:r>
        <w:rPr>
          <w:rFonts w:hint="eastAsia" w:ascii="仿宋_GB2312" w:hAnsi="仿宋_GB2312" w:eastAsia="仿宋_GB2312" w:cs="仿宋_GB2312"/>
          <w:b w:val="0"/>
          <w:bCs w:val="0"/>
          <w:sz w:val="32"/>
          <w:szCs w:val="32"/>
        </w:rPr>
        <w:t>享受</w:t>
      </w:r>
      <w:r>
        <w:rPr>
          <w:rFonts w:hint="eastAsia" w:ascii="仿宋_GB2312" w:hAnsi="仿宋_GB2312" w:eastAsia="仿宋_GB2312" w:cs="仿宋_GB2312"/>
          <w:b w:val="0"/>
          <w:bCs w:val="0"/>
          <w:sz w:val="32"/>
          <w:szCs w:val="32"/>
          <w:lang w:eastAsia="zh-CN"/>
        </w:rPr>
        <w:t>国务院</w:t>
      </w:r>
      <w:r>
        <w:rPr>
          <w:rFonts w:hint="eastAsia" w:ascii="仿宋_GB2312" w:hAnsi="仿宋_GB2312" w:eastAsia="仿宋_GB2312" w:cs="仿宋_GB2312"/>
          <w:b w:val="0"/>
          <w:bCs w:val="0"/>
          <w:sz w:val="32"/>
          <w:szCs w:val="32"/>
        </w:rPr>
        <w:t>政府特殊津贴人员</w:t>
      </w:r>
      <w:r>
        <w:rPr>
          <w:rFonts w:hint="eastAsia" w:ascii="仿宋_GB2312" w:hAnsi="仿宋_GB2312" w:eastAsia="仿宋_GB2312" w:cs="仿宋_GB2312"/>
          <w:sz w:val="32"/>
          <w:szCs w:val="32"/>
          <w:lang w:val="en-US" w:eastAsia="zh-CN"/>
        </w:rPr>
        <w:t>。</w:t>
      </w:r>
    </w:p>
    <w:p>
      <w:pPr>
        <w:pStyle w:val="9"/>
        <w:spacing w:line="360" w:lineRule="auto"/>
        <w:ind w:left="0" w:leftChars="0" w:firstLine="640" w:firstLineChars="200"/>
        <w:rPr>
          <w:rFonts w:hint="eastAsia" w:ascii="仿宋" w:hAnsi="仿宋" w:eastAsia="仿宋" w:cs="华文楷体"/>
          <w:b/>
          <w:bCs/>
          <w:kern w:val="2"/>
          <w:sz w:val="32"/>
          <w:szCs w:val="32"/>
          <w:lang w:val="en-US" w:eastAsia="zh-CN" w:bidi="ar-SA"/>
        </w:rPr>
      </w:pPr>
      <w:r>
        <w:rPr>
          <w:rFonts w:hint="eastAsia" w:ascii="仿宋" w:hAnsi="仿宋" w:eastAsia="仿宋" w:cs="华文楷体"/>
          <w:b/>
          <w:bCs/>
          <w:kern w:val="2"/>
          <w:sz w:val="32"/>
          <w:szCs w:val="32"/>
          <w:lang w:val="en-US" w:eastAsia="zh-CN" w:bidi="ar-SA"/>
        </w:rPr>
        <w:t>（四）满意度指标绩效情况</w:t>
      </w:r>
    </w:p>
    <w:p>
      <w:pPr>
        <w:pStyle w:val="9"/>
        <w:spacing w:line="360" w:lineRule="auto"/>
        <w:ind w:left="0" w:leftChars="0" w:firstLine="640" w:firstLineChars="200"/>
        <w:rPr>
          <w:rFonts w:hint="eastAsia" w:ascii="仿宋" w:hAnsi="仿宋" w:eastAsia="仿宋" w:cs="仿宋_GB2312"/>
          <w:sz w:val="32"/>
          <w:szCs w:val="32"/>
          <w:lang w:eastAsia="zh-CN"/>
        </w:rPr>
      </w:pPr>
      <w:r>
        <w:rPr>
          <w:rFonts w:ascii="仿宋" w:hAnsi="仿宋" w:eastAsia="仿宋" w:cs="仿宋_GB2312"/>
          <w:sz w:val="32"/>
          <w:szCs w:val="32"/>
        </w:rPr>
        <w:t>服务对象的满意程度</w:t>
      </w:r>
      <w:r>
        <w:rPr>
          <w:rFonts w:hint="eastAsia" w:ascii="仿宋" w:hAnsi="仿宋" w:eastAsia="仿宋" w:cs="仿宋_GB2312"/>
          <w:sz w:val="32"/>
          <w:szCs w:val="32"/>
          <w:lang w:eastAsia="zh-CN"/>
        </w:rPr>
        <w:t>达</w:t>
      </w:r>
      <w:r>
        <w:rPr>
          <w:rFonts w:hint="eastAsia" w:ascii="仿宋" w:hAnsi="仿宋" w:eastAsia="仿宋" w:cs="仿宋_GB2312"/>
          <w:sz w:val="32"/>
          <w:szCs w:val="32"/>
        </w:rPr>
        <w:t>9</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w:t>
      </w:r>
      <w:r>
        <w:rPr>
          <w:rFonts w:hint="eastAsia" w:ascii="仿宋" w:hAnsi="仿宋" w:eastAsia="仿宋" w:cs="仿宋_GB2312"/>
          <w:sz w:val="32"/>
          <w:szCs w:val="32"/>
          <w:lang w:eastAsia="zh-CN"/>
        </w:rPr>
        <w:t>以上。</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七、存在问题及原因分析</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我中心整体预算执行率有待提高，全年支出预算数169.99万元，决算数119.90万元，执行率为70.53%，主要原因项目跨年度执行。</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八、下一步改进措施</w:t>
      </w:r>
    </w:p>
    <w:p>
      <w:pPr>
        <w:numPr>
          <w:ilvl w:val="0"/>
          <w:numId w:val="0"/>
        </w:num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完善单位的预算编制管理，定期对预算资金执行情况进行分析，作为下年预算编制的重要依据，进一步提高我单位预算编制的准确性。</w:t>
      </w:r>
    </w:p>
    <w:p>
      <w:pPr>
        <w:numPr>
          <w:ilvl w:val="0"/>
          <w:numId w:val="4"/>
        </w:numPr>
        <w:spacing w:line="600" w:lineRule="exact"/>
        <w:ind w:firstLine="640"/>
        <w:rPr>
          <w:rFonts w:hint="eastAsia" w:ascii="楷体" w:hAnsi="楷体" w:eastAsia="楷体" w:cs="楷体"/>
          <w:b/>
          <w:bCs/>
          <w:sz w:val="32"/>
          <w:szCs w:val="32"/>
        </w:rPr>
      </w:pPr>
      <w:r>
        <w:rPr>
          <w:rFonts w:hint="eastAsia" w:ascii="楷体" w:hAnsi="楷体" w:eastAsia="楷体" w:cs="楷体"/>
          <w:b/>
          <w:bCs/>
          <w:sz w:val="32"/>
          <w:szCs w:val="32"/>
        </w:rPr>
        <w:t>绩效自评结果拟应用和公开情况</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line="600" w:lineRule="exact"/>
        <w:textAlignment w:val="auto"/>
        <w:rPr>
          <w:rFonts w:hint="default" w:ascii="仿宋" w:hAnsi="仿宋" w:eastAsia="仿宋" w:cs="仿宋"/>
          <w:color w:val="auto"/>
          <w:kern w:val="2"/>
          <w:sz w:val="32"/>
          <w:szCs w:val="32"/>
          <w:lang w:val="en-US" w:eastAsia="zh-CN" w:bidi="ar-SA"/>
        </w:rPr>
      </w:pPr>
      <w:r>
        <w:rPr>
          <w:rFonts w:hint="eastAsia"/>
          <w:lang w:val="en-US" w:eastAsia="zh-CN"/>
        </w:rPr>
        <w:t xml:space="preserve">      </w:t>
      </w:r>
      <w:r>
        <w:rPr>
          <w:rFonts w:hint="eastAsia" w:ascii="仿宋" w:hAnsi="仿宋" w:eastAsia="仿宋" w:cs="仿宋"/>
          <w:color w:val="auto"/>
          <w:kern w:val="2"/>
          <w:sz w:val="32"/>
          <w:szCs w:val="32"/>
          <w:lang w:val="en-US" w:eastAsia="zh-CN" w:bidi="ar-SA"/>
        </w:rPr>
        <w:t>严格按照要求及时上报绩效自评结果，根据绩效自评结果，查漏补缺，进一步优化资源，为今后加强资金使用管理，提高资金使用效益提供参考。此次绩效自评结果将按照要求公开。</w:t>
      </w:r>
    </w:p>
    <w:p>
      <w:pPr>
        <w:spacing w:line="600" w:lineRule="exact"/>
        <w:ind w:firstLine="640"/>
        <w:rPr>
          <w:rFonts w:hint="eastAsia" w:ascii="楷体" w:hAnsi="楷体" w:eastAsia="楷体" w:cs="楷体"/>
          <w:b/>
          <w:bCs/>
          <w:sz w:val="32"/>
          <w:szCs w:val="32"/>
        </w:rPr>
      </w:pPr>
      <w:r>
        <w:rPr>
          <w:rFonts w:hint="eastAsia" w:ascii="楷体" w:hAnsi="楷体" w:eastAsia="楷体" w:cs="楷体"/>
          <w:b/>
          <w:bCs/>
          <w:sz w:val="32"/>
          <w:szCs w:val="32"/>
        </w:rPr>
        <w:t>其他需要说明的情况</w:t>
      </w:r>
    </w:p>
    <w:p>
      <w:pPr>
        <w:pStyle w:val="2"/>
        <w:rPr>
          <w:rFonts w:hint="default" w:ascii="仿宋" w:hAnsi="仿宋" w:eastAsia="仿宋" w:cs="仿宋"/>
          <w:color w:val="auto"/>
          <w:kern w:val="2"/>
          <w:sz w:val="32"/>
          <w:szCs w:val="32"/>
          <w:lang w:val="en-US" w:eastAsia="zh-CN" w:bidi="ar-SA"/>
        </w:rPr>
      </w:pPr>
      <w:r>
        <w:rPr>
          <w:rFonts w:hint="eastAsia" w:ascii="楷体" w:hAnsi="楷体" w:eastAsia="楷体" w:cs="楷体"/>
          <w:b/>
          <w:bCs/>
          <w:sz w:val="32"/>
          <w:szCs w:val="32"/>
          <w:lang w:val="en-US" w:eastAsia="zh-CN"/>
        </w:rPr>
        <w:t xml:space="preserve">    </w:t>
      </w:r>
      <w:r>
        <w:rPr>
          <w:rFonts w:hint="eastAsia" w:ascii="仿宋" w:hAnsi="仿宋" w:eastAsia="仿宋" w:cs="仿宋"/>
          <w:color w:val="auto"/>
          <w:kern w:val="2"/>
          <w:sz w:val="32"/>
          <w:szCs w:val="32"/>
          <w:lang w:val="en-US" w:eastAsia="zh-CN" w:bidi="ar-SA"/>
        </w:rPr>
        <w:t xml:space="preserve"> 无。</w:t>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附件：1、2024年度部门整体支出绩效评价基础数据表</w:t>
      </w:r>
    </w:p>
    <w:p>
      <w:pPr>
        <w:numPr>
          <w:ilvl w:val="0"/>
          <w:numId w:val="0"/>
        </w:numPr>
        <w:ind w:firstLine="960" w:firstLineChars="3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2、2024年度部门整体支出绩效自评表</w:t>
      </w:r>
    </w:p>
    <w:p>
      <w:pPr>
        <w:pStyle w:val="3"/>
        <w:numPr>
          <w:ilvl w:val="0"/>
          <w:numId w:val="0"/>
        </w:numPr>
        <w:spacing w:before="144" w:beforeLines="25" w:line="500" w:lineRule="exact"/>
        <w:ind w:left="800" w:leftChars="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3、2024年度项目支出绩效自评表（运行维护经费）</w:t>
      </w:r>
    </w:p>
    <w:p>
      <w:pPr>
        <w:pStyle w:val="3"/>
        <w:numPr>
          <w:ilvl w:val="0"/>
          <w:numId w:val="0"/>
        </w:numPr>
        <w:spacing w:before="144" w:beforeLines="25" w:line="500" w:lineRule="exact"/>
        <w:ind w:left="800" w:leftChars="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4、2024年度项目支出绩效自评表（其他事业发展资金）</w:t>
      </w:r>
    </w:p>
    <w:p>
      <w:pPr>
        <w:widowControl/>
        <w:adjustRightInd/>
        <w:snapToGrid/>
        <w:spacing w:before="144" w:beforeLines="25" w:after="144" w:afterLines="25" w:line="500" w:lineRule="exact"/>
        <w:ind w:firstLine="0" w:firstLineChars="0"/>
        <w:jc w:val="both"/>
        <w:rPr>
          <w:rFonts w:hint="eastAsia" w:ascii="仿宋" w:hAnsi="仿宋" w:eastAsia="仿宋" w:cs="仿宋"/>
          <w:color w:val="auto"/>
          <w:kern w:val="2"/>
          <w:sz w:val="32"/>
          <w:szCs w:val="32"/>
          <w:lang w:val="en-US" w:eastAsia="zh-CN" w:bidi="ar-SA"/>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eastAsia="zh-CN"/>
        </w:rPr>
      </w:pPr>
    </w:p>
    <w:p>
      <w:pPr>
        <w:widowControl/>
        <w:adjustRightInd/>
        <w:snapToGrid/>
        <w:spacing w:before="144" w:beforeLines="25" w:after="144" w:afterLines="25" w:line="500" w:lineRule="exact"/>
        <w:ind w:firstLine="0" w:firstLineChars="0"/>
        <w:jc w:val="both"/>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eastAsia="zh-CN"/>
        </w:rPr>
        <w:t>附件</w:t>
      </w:r>
      <w:r>
        <w:rPr>
          <w:rFonts w:hint="eastAsia" w:ascii="仿宋" w:hAnsi="仿宋" w:eastAsia="仿宋" w:cs="仿宋"/>
          <w:color w:val="000000"/>
          <w:sz w:val="32"/>
          <w:szCs w:val="32"/>
          <w:lang w:val="en-US" w:eastAsia="zh-CN"/>
        </w:rPr>
        <w:t>1</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w:t>
      </w:r>
      <w:r>
        <w:rPr>
          <w:rFonts w:hint="eastAsia" w:eastAsia="方正小标宋简体"/>
          <w:color w:val="000000"/>
          <w:sz w:val="36"/>
          <w:szCs w:val="36"/>
          <w:lang w:val="en-US" w:eastAsia="zh-CN"/>
        </w:rPr>
        <w:t>4</w:t>
      </w:r>
      <w:r>
        <w:rPr>
          <w:rFonts w:eastAsia="方正小标宋简体"/>
          <w:color w:val="000000"/>
          <w:sz w:val="36"/>
          <w:szCs w:val="36"/>
        </w:rPr>
        <w:t>年度部门整体支出绩效评价基础数据表</w:t>
      </w:r>
    </w:p>
    <w:tbl>
      <w:tblPr>
        <w:tblStyle w:val="14"/>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2</w:t>
            </w:r>
            <w:r>
              <w:rPr>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2</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100%</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3</w:t>
            </w:r>
            <w:r>
              <w:rPr>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w:t>
            </w:r>
            <w:r>
              <w:rPr>
                <w:rFonts w:hint="eastAsia"/>
                <w:b/>
                <w:bCs/>
                <w:sz w:val="20"/>
                <w:szCs w:val="20"/>
                <w:lang w:val="en-US" w:eastAsia="zh-CN"/>
              </w:rPr>
              <w:t>4</w:t>
            </w:r>
            <w:r>
              <w:rPr>
                <w:b/>
                <w:bCs/>
                <w:sz w:val="20"/>
                <w:szCs w:val="20"/>
              </w:rPr>
              <w:t>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sz w:val="20"/>
                <w:szCs w:val="20"/>
              </w:rPr>
              <w:t>　</w:t>
            </w:r>
            <w:r>
              <w:rPr>
                <w:rFonts w:hint="eastAsia"/>
                <w:sz w:val="20"/>
                <w:szCs w:val="20"/>
                <w:lang w:val="en-US" w:eastAsia="zh-CN"/>
              </w:rPr>
              <w:t>0.5</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0.5</w:t>
            </w:r>
            <w:r>
              <w:rPr>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48.12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56.04</w:t>
            </w:r>
            <w:r>
              <w:rPr>
                <w:color w:val="auto"/>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rFonts w:hint="eastAsia"/>
                <w:sz w:val="20"/>
                <w:szCs w:val="20"/>
                <w:lang w:val="en-US" w:eastAsia="zh-CN"/>
              </w:rPr>
              <w:t>40.26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14.86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25.26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37.41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28.33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numPr>
                <w:ilvl w:val="0"/>
                <w:numId w:val="0"/>
              </w:numPr>
              <w:adjustRightInd/>
              <w:snapToGrid/>
              <w:spacing w:line="360" w:lineRule="exact"/>
              <w:jc w:val="left"/>
              <w:textAlignment w:val="center"/>
              <w:rPr>
                <w:sz w:val="20"/>
                <w:szCs w:val="20"/>
              </w:rPr>
            </w:pPr>
            <w:r>
              <w:rPr>
                <w:rFonts w:hint="eastAsia"/>
                <w:sz w:val="20"/>
                <w:szCs w:val="20"/>
                <w:lang w:val="en-US" w:eastAsia="zh-CN"/>
              </w:rPr>
              <w:t>3、</w:t>
            </w:r>
            <w:r>
              <w:rPr>
                <w:sz w:val="20"/>
                <w:szCs w:val="20"/>
              </w:rPr>
              <w:t>省级专项资金（每个专项一行）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1.00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jc w:val="left"/>
              <w:textAlignment w:val="center"/>
              <w:rPr>
                <w:rFonts w:hint="eastAsia" w:eastAsia="仿宋_GB2312"/>
                <w:sz w:val="20"/>
                <w:szCs w:val="20"/>
                <w:lang w:eastAsia="zh-CN"/>
              </w:rPr>
            </w:pPr>
            <w:r>
              <w:rPr>
                <w:rFonts w:hint="eastAsia"/>
                <w:sz w:val="20"/>
                <w:szCs w:val="20"/>
                <w:lang w:val="en-US" w:eastAsia="zh-CN"/>
              </w:rPr>
              <w:t>4、</w:t>
            </w:r>
            <w:r>
              <w:rPr>
                <w:rFonts w:hint="eastAsia"/>
                <w:sz w:val="20"/>
                <w:szCs w:val="20"/>
                <w:lang w:eastAsia="zh-CN"/>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18.63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eastAsia="zh-CN"/>
              </w:rPr>
            </w:pPr>
            <w:r>
              <w:rPr>
                <w:rFonts w:hint="eastAsia"/>
                <w:sz w:val="20"/>
                <w:szCs w:val="20"/>
                <w:lang w:val="en-US" w:eastAsia="zh-CN"/>
              </w:rPr>
              <w:t>11.93</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left="0" w:leftChars="0" w:firstLine="200" w:firstLineChars="100"/>
              <w:jc w:val="left"/>
              <w:textAlignment w:val="center"/>
              <w:rPr>
                <w:rFonts w:hint="default" w:eastAsia="仿宋_GB2312"/>
                <w:sz w:val="20"/>
                <w:szCs w:val="20"/>
                <w:lang w:val="en-US" w:eastAsia="zh-CN"/>
              </w:rPr>
            </w:pPr>
            <w:r>
              <w:rPr>
                <w:rFonts w:hint="eastAsia"/>
                <w:sz w:val="20"/>
                <w:szCs w:val="20"/>
                <w:lang w:val="en-US" w:eastAsia="zh-CN"/>
              </w:rPr>
              <w:t xml:space="preserve"> 5、中央转移支付</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7.00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color w:val="auto"/>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left="0" w:leftChars="0" w:firstLine="600" w:firstLineChars="300"/>
              <w:jc w:val="both"/>
              <w:textAlignment w:val="center"/>
              <w:rPr>
                <w:rFonts w:hint="eastAsia" w:cs="Times New Roman"/>
                <w:color w:val="auto"/>
                <w:kern w:val="2"/>
                <w:sz w:val="20"/>
                <w:szCs w:val="20"/>
                <w:lang w:val="en-US" w:eastAsia="zh-CN" w:bidi="ar-SA"/>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10.55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14.19</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left="0" w:leftChars="0" w:firstLine="600" w:firstLineChars="300"/>
              <w:jc w:val="both"/>
              <w:textAlignment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10.80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0.45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0.30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0.20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eastAsia="zh-CN"/>
              </w:rPr>
            </w:pPr>
            <w:r>
              <w:rPr>
                <w:rFonts w:hint="eastAsia"/>
                <w:color w:val="auto"/>
                <w:sz w:val="20"/>
                <w:szCs w:val="20"/>
                <w:lang w:val="en-US" w:eastAsia="zh-CN"/>
              </w:rPr>
              <w:t>0.50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1.00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1.00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0.52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eastAsia="仿宋_GB2312"/>
                <w:color w:val="auto"/>
                <w:sz w:val="20"/>
                <w:szCs w:val="20"/>
                <w:lang w:val="en-US" w:eastAsia="zh-CN"/>
              </w:rPr>
            </w:pPr>
            <w:r>
              <w:rPr>
                <w:rFonts w:hint="eastAsia"/>
                <w:color w:val="auto"/>
                <w:sz w:val="20"/>
                <w:szCs w:val="20"/>
                <w:lang w:val="en-US" w:eastAsia="zh-CN"/>
              </w:rPr>
              <w:t>0.70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ascii="Times New Roman" w:hAnsi="Times New Roman" w:eastAsia="仿宋_GB2312" w:cs="Times New Roman"/>
                <w:color w:val="auto"/>
                <w:kern w:val="2"/>
                <w:sz w:val="20"/>
                <w:szCs w:val="20"/>
                <w:lang w:val="en-US" w:eastAsia="zh-CN" w:bidi="ar-SA"/>
              </w:rPr>
            </w:pPr>
            <w:r>
              <w:rPr>
                <w:rFonts w:hint="eastAsia"/>
                <w:color w:val="auto"/>
                <w:sz w:val="20"/>
                <w:szCs w:val="20"/>
                <w:lang w:val="en-US" w:eastAsia="zh-CN"/>
              </w:rPr>
              <w:t>0.26</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w:t>
            </w:r>
            <w:r>
              <w:rPr>
                <w:rFonts w:hint="eastAsia"/>
                <w:sz w:val="20"/>
                <w:szCs w:val="20"/>
                <w:lang w:val="en-US" w:eastAsia="zh-CN"/>
              </w:rPr>
              <w:t>4</w:t>
            </w:r>
            <w:r>
              <w:rPr>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Layout w:type="fixed"/>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bl>
    <w:p>
      <w:pPr>
        <w:widowControl/>
        <w:adjustRightInd/>
        <w:snapToGrid/>
        <w:spacing w:line="400" w:lineRule="exact"/>
        <w:ind w:firstLine="0" w:firstLineChars="0"/>
        <w:jc w:val="left"/>
        <w:rPr>
          <w:sz w:val="22"/>
        </w:rPr>
      </w:pPr>
      <w:r>
        <w:rPr>
          <w:sz w:val="22"/>
        </w:rPr>
        <w:t>说明：“项目支出”需要填报基本支出以外的所有项目支出情况，“公用经费”填报基本支出中的一般商品和服务支出。</w:t>
      </w:r>
    </w:p>
    <w:p>
      <w:pPr>
        <w:ind w:left="0" w:leftChars="0" w:firstLine="0" w:firstLineChars="0"/>
      </w:pPr>
      <w:r>
        <w:rPr>
          <w:sz w:val="22"/>
        </w:rPr>
        <w:t>填表人：</w:t>
      </w:r>
      <w:r>
        <w:rPr>
          <w:rFonts w:hint="eastAsia"/>
          <w:sz w:val="22"/>
          <w:lang w:eastAsia="zh-CN"/>
        </w:rPr>
        <w:t>骆群英</w:t>
      </w:r>
      <w:r>
        <w:rPr>
          <w:sz w:val="22"/>
        </w:rPr>
        <w:t xml:space="preserve">   填报日期：</w:t>
      </w:r>
      <w:r>
        <w:rPr>
          <w:rFonts w:hint="eastAsia"/>
          <w:sz w:val="22"/>
          <w:lang w:val="en-US" w:eastAsia="zh-CN"/>
        </w:rPr>
        <w:t>2025.4.8</w:t>
      </w:r>
      <w:r>
        <w:rPr>
          <w:sz w:val="22"/>
        </w:rPr>
        <w:t xml:space="preserve">  联系电话：</w:t>
      </w:r>
      <w:r>
        <w:rPr>
          <w:rFonts w:hint="eastAsia"/>
          <w:sz w:val="22"/>
          <w:lang w:val="en-US" w:eastAsia="zh-CN"/>
        </w:rPr>
        <w:t>84416355</w:t>
      </w:r>
      <w:r>
        <w:rPr>
          <w:sz w:val="22"/>
        </w:rPr>
        <w:t xml:space="preserve">   单位负责人签字：</w:t>
      </w:r>
    </w:p>
    <w:p>
      <w:pPr>
        <w:pStyle w:val="18"/>
        <w:keepNext w:val="0"/>
        <w:keepLines w:val="0"/>
        <w:pageBreakBefore w:val="0"/>
        <w:widowControl w:val="0"/>
        <w:kinsoku/>
        <w:wordWrap/>
        <w:overflowPunct/>
        <w:topLinePunct w:val="0"/>
        <w:bidi w:val="0"/>
        <w:snapToGrid/>
        <w:spacing w:line="600" w:lineRule="exact"/>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jc w:val="left"/>
        <w:textAlignment w:val="auto"/>
        <w:rPr>
          <w:rFonts w:hint="eastAsia" w:ascii="仿宋" w:hAnsi="仿宋" w:eastAsia="仿宋" w:cs="仿宋"/>
          <w:color w:val="auto"/>
          <w:sz w:val="32"/>
          <w:szCs w:val="32"/>
          <w:lang w:val="en-US" w:eastAsia="zh-CN"/>
        </w:rPr>
      </w:pPr>
      <w:bookmarkStart w:id="6" w:name="_GoBack"/>
      <w:bookmarkEnd w:id="6"/>
    </w:p>
    <w:p>
      <w:pPr>
        <w:pStyle w:val="18"/>
        <w:keepNext w:val="0"/>
        <w:keepLines w:val="0"/>
        <w:pageBreakBefore w:val="0"/>
        <w:widowControl w:val="0"/>
        <w:kinsoku/>
        <w:wordWrap/>
        <w:overflowPunct/>
        <w:topLinePunct w:val="0"/>
        <w:bidi w:val="0"/>
        <w:snapToGrid/>
        <w:spacing w:line="600" w:lineRule="exact"/>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附件2</w:t>
      </w:r>
    </w:p>
    <w:p>
      <w:pPr>
        <w:keepNext w:val="0"/>
        <w:keepLines w:val="0"/>
        <w:pageBreakBefore w:val="0"/>
        <w:widowControl/>
        <w:kinsoku/>
        <w:wordWrap/>
        <w:overflowPunct/>
        <w:topLinePunct w:val="0"/>
        <w:autoSpaceDE/>
        <w:autoSpaceDN/>
        <w:bidi w:val="0"/>
        <w:adjustRightInd/>
        <w:snapToGrid/>
        <w:spacing w:after="120" w:afterLines="50" w:line="440" w:lineRule="exact"/>
        <w:jc w:val="center"/>
        <w:textAlignment w:val="auto"/>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部门整体支出绩效自评表</w:t>
      </w:r>
    </w:p>
    <w:p>
      <w:pPr>
        <w:keepNext w:val="0"/>
        <w:keepLines w:val="0"/>
        <w:pageBreakBefore w:val="0"/>
        <w:widowControl/>
        <w:kinsoku/>
        <w:wordWrap/>
        <w:overflowPunct/>
        <w:topLinePunct w:val="0"/>
        <w:autoSpaceDE/>
        <w:autoSpaceDN/>
        <w:bidi w:val="0"/>
        <w:adjustRightInd/>
        <w:snapToGrid/>
        <w:spacing w:after="120" w:afterLines="50" w:line="440" w:lineRule="exact"/>
        <w:ind w:firstLine="3080" w:firstLineChars="11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202</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年</w:t>
      </w:r>
      <w:r>
        <w:rPr>
          <w:rFonts w:hint="eastAsia" w:ascii="仿宋" w:hAnsi="仿宋" w:eastAsia="仿宋" w:cs="仿宋"/>
          <w:color w:val="000000"/>
          <w:sz w:val="28"/>
          <w:szCs w:val="28"/>
          <w:lang w:eastAsia="zh-CN"/>
        </w:rPr>
        <w:t>度）</w:t>
      </w:r>
    </w:p>
    <w:tbl>
      <w:tblPr>
        <w:tblStyle w:val="14"/>
        <w:tblW w:w="10866" w:type="dxa"/>
        <w:jc w:val="center"/>
        <w:tblInd w:w="0" w:type="dxa"/>
        <w:tblLayout w:type="fixed"/>
        <w:tblCellMar>
          <w:top w:w="0" w:type="dxa"/>
          <w:left w:w="108" w:type="dxa"/>
          <w:bottom w:w="0" w:type="dxa"/>
          <w:right w:w="108" w:type="dxa"/>
        </w:tblCellMar>
      </w:tblPr>
      <w:tblGrid>
        <w:gridCol w:w="1080"/>
        <w:gridCol w:w="1080"/>
        <w:gridCol w:w="1034"/>
        <w:gridCol w:w="1984"/>
        <w:gridCol w:w="1165"/>
        <w:gridCol w:w="1670"/>
        <w:gridCol w:w="534"/>
        <w:gridCol w:w="1116"/>
        <w:gridCol w:w="1203"/>
      </w:tblGrid>
      <w:tr>
        <w:tblPrEx>
          <w:tblLayout w:type="fixed"/>
          <w:tblCellMar>
            <w:top w:w="0" w:type="dxa"/>
            <w:left w:w="108" w:type="dxa"/>
            <w:bottom w:w="0" w:type="dxa"/>
            <w:right w:w="108" w:type="dxa"/>
          </w:tblCellMar>
        </w:tblPrEx>
        <w:trPr>
          <w:trHeight w:val="320" w:hRule="atLeast"/>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省级预算部门</w:t>
            </w:r>
            <w:r>
              <w:rPr>
                <w:rFonts w:hint="eastAsia" w:ascii="Times New Roman" w:hAnsi="Times New Roman" w:eastAsia="仿宋_GB2312" w:cs="Times New Roman"/>
                <w:color w:val="000000"/>
                <w:sz w:val="16"/>
                <w:szCs w:val="16"/>
                <w:lang w:eastAsia="zh-CN"/>
              </w:rPr>
              <w:t>、单位</w:t>
            </w:r>
            <w:r>
              <w:rPr>
                <w:rFonts w:hint="default" w:ascii="Times New Roman" w:hAnsi="Times New Roman" w:eastAsia="仿宋_GB2312" w:cs="Times New Roman"/>
                <w:color w:val="000000"/>
                <w:sz w:val="16"/>
                <w:szCs w:val="16"/>
              </w:rPr>
              <w:t>名称</w:t>
            </w:r>
          </w:p>
        </w:tc>
        <w:tc>
          <w:tcPr>
            <w:tcW w:w="767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湖南省农业人才交流服务中心</w:t>
            </w: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505" w:hRule="atLeast"/>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年度预</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算申请</w:t>
            </w:r>
            <w:r>
              <w:rPr>
                <w:rFonts w:hint="default" w:ascii="Times New Roman" w:hAnsi="Times New Roman" w:eastAsia="仿宋_GB2312" w:cs="Times New Roman"/>
                <w:color w:val="000000"/>
                <w:sz w:val="16"/>
                <w:szCs w:val="16"/>
              </w:rPr>
              <w:br w:type="textWrapping"/>
            </w:r>
            <w:r>
              <w:rPr>
                <w:rFonts w:hint="default" w:ascii="Times New Roman" w:hAnsi="Times New Roman" w:eastAsia="仿宋_GB2312" w:cs="Times New Roman"/>
                <w:color w:val="000000"/>
                <w:sz w:val="16"/>
                <w:szCs w:val="16"/>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p>
        </w:tc>
        <w:tc>
          <w:tcPr>
            <w:tcW w:w="198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年初预算数</w:t>
            </w:r>
          </w:p>
        </w:tc>
        <w:tc>
          <w:tcPr>
            <w:tcW w:w="116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全年预算数</w:t>
            </w:r>
          </w:p>
        </w:tc>
        <w:tc>
          <w:tcPr>
            <w:tcW w:w="16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全年执行数</w:t>
            </w:r>
          </w:p>
        </w:tc>
        <w:tc>
          <w:tcPr>
            <w:tcW w:w="53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分值</w:t>
            </w:r>
          </w:p>
        </w:tc>
        <w:tc>
          <w:tcPr>
            <w:tcW w:w="11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sz w:val="16"/>
                <w:szCs w:val="16"/>
              </w:rPr>
              <w:t>执行率</w:t>
            </w:r>
          </w:p>
        </w:tc>
        <w:tc>
          <w:tcPr>
            <w:tcW w:w="120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eastAsia" w:ascii="Times New Roman" w:hAnsi="Times New Roman" w:eastAsia="仿宋_GB2312" w:cs="Times New Roman"/>
                <w:sz w:val="16"/>
                <w:szCs w:val="16"/>
                <w:lang w:eastAsia="zh-CN"/>
              </w:rPr>
              <w:t>自评</w:t>
            </w:r>
            <w:r>
              <w:rPr>
                <w:rFonts w:hint="default" w:ascii="Times New Roman" w:hAnsi="Times New Roman" w:eastAsia="仿宋_GB2312" w:cs="Times New Roman"/>
                <w:sz w:val="16"/>
                <w:szCs w:val="16"/>
              </w:rPr>
              <w:t>得分</w:t>
            </w:r>
          </w:p>
        </w:tc>
      </w:tr>
      <w:tr>
        <w:tblPrEx>
          <w:tblLayout w:type="fixed"/>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color w:val="000000"/>
                <w:sz w:val="16"/>
                <w:szCs w:val="16"/>
              </w:rPr>
              <w:t>年度资金总额</w:t>
            </w:r>
          </w:p>
        </w:tc>
        <w:tc>
          <w:tcPr>
            <w:tcW w:w="198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155.75</w:t>
            </w:r>
          </w:p>
        </w:tc>
        <w:tc>
          <w:tcPr>
            <w:tcW w:w="116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169.99</w:t>
            </w:r>
          </w:p>
        </w:tc>
        <w:tc>
          <w:tcPr>
            <w:tcW w:w="16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119.90</w:t>
            </w:r>
          </w:p>
        </w:tc>
        <w:tc>
          <w:tcPr>
            <w:tcW w:w="53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rPr>
            </w:pPr>
            <w:r>
              <w:rPr>
                <w:rFonts w:hint="default" w:ascii="Times New Roman" w:hAnsi="Times New Roman" w:eastAsia="仿宋_GB2312" w:cs="Times New Roman"/>
                <w:b/>
                <w:bCs/>
                <w:sz w:val="16"/>
                <w:szCs w:val="16"/>
              </w:rPr>
              <w:t>10</w:t>
            </w:r>
          </w:p>
        </w:tc>
        <w:tc>
          <w:tcPr>
            <w:tcW w:w="1116"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70.53%</w:t>
            </w:r>
          </w:p>
        </w:tc>
        <w:tc>
          <w:tcPr>
            <w:tcW w:w="120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16"/>
                <w:szCs w:val="16"/>
                <w:lang w:val="en-US" w:eastAsia="zh-CN"/>
              </w:rPr>
            </w:pPr>
            <w:r>
              <w:rPr>
                <w:rFonts w:hint="eastAsia" w:ascii="Times New Roman" w:hAnsi="Times New Roman" w:eastAsia="仿宋_GB2312" w:cs="Times New Roman"/>
                <w:sz w:val="16"/>
                <w:szCs w:val="16"/>
                <w:lang w:val="en-US" w:eastAsia="zh-CN"/>
              </w:rPr>
              <w:t>7.05</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按收入性质分：</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按支出性质分：</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xml:space="preserve">  其中：  一般公共预算：</w:t>
            </w:r>
            <w:r>
              <w:rPr>
                <w:rFonts w:hint="eastAsia" w:ascii="Times New Roman" w:hAnsi="Times New Roman" w:eastAsia="仿宋_GB2312" w:cs="Times New Roman"/>
                <w:color w:val="000000"/>
                <w:sz w:val="16"/>
                <w:szCs w:val="16"/>
                <w:lang w:val="en-US" w:eastAsia="zh-CN"/>
              </w:rPr>
              <w:t>169.99</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auto"/>
                <w:sz w:val="16"/>
                <w:szCs w:val="16"/>
                <w:lang w:val="en-US" w:eastAsia="zh-CN"/>
              </w:rPr>
            </w:pPr>
            <w:r>
              <w:rPr>
                <w:rFonts w:hint="default" w:ascii="Times New Roman" w:hAnsi="Times New Roman" w:eastAsia="仿宋_GB2312" w:cs="Times New Roman"/>
                <w:color w:val="auto"/>
                <w:sz w:val="16"/>
                <w:szCs w:val="16"/>
              </w:rPr>
              <w:t>其中：基本支出：</w:t>
            </w:r>
            <w:r>
              <w:rPr>
                <w:rFonts w:hint="eastAsia" w:ascii="Times New Roman" w:hAnsi="Times New Roman" w:eastAsia="仿宋_GB2312" w:cs="Times New Roman"/>
                <w:color w:val="auto"/>
                <w:sz w:val="16"/>
                <w:szCs w:val="16"/>
                <w:lang w:val="en-US" w:eastAsia="zh-CN"/>
              </w:rPr>
              <w:t>79.64</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ind w:firstLine="640" w:firstLineChars="400"/>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政府性基金拨款：</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ind w:firstLine="480" w:firstLineChars="300"/>
              <w:jc w:val="left"/>
              <w:rPr>
                <w:rFonts w:hint="default" w:ascii="Times New Roman" w:hAnsi="Times New Roman" w:eastAsia="仿宋_GB2312" w:cs="Times New Roman"/>
                <w:color w:val="auto"/>
                <w:sz w:val="16"/>
                <w:szCs w:val="16"/>
                <w:lang w:val="en-US" w:eastAsia="zh-CN"/>
              </w:rPr>
            </w:pPr>
            <w:r>
              <w:rPr>
                <w:rFonts w:hint="default" w:ascii="Times New Roman" w:hAnsi="Times New Roman" w:eastAsia="仿宋_GB2312" w:cs="Times New Roman"/>
                <w:color w:val="auto"/>
                <w:sz w:val="16"/>
                <w:szCs w:val="16"/>
              </w:rPr>
              <w:t>项目支出</w:t>
            </w:r>
            <w:r>
              <w:rPr>
                <w:rFonts w:hint="eastAsia" w:ascii="Times New Roman" w:hAnsi="Times New Roman" w:eastAsia="仿宋_GB2312" w:cs="Times New Roman"/>
                <w:color w:val="auto"/>
                <w:sz w:val="16"/>
                <w:szCs w:val="16"/>
                <w:lang w:eastAsia="zh-CN"/>
              </w:rPr>
              <w:t>：</w:t>
            </w:r>
            <w:r>
              <w:rPr>
                <w:rFonts w:hint="eastAsia" w:ascii="Times New Roman" w:hAnsi="Times New Roman" w:eastAsia="仿宋_GB2312" w:cs="Times New Roman"/>
                <w:color w:val="auto"/>
                <w:sz w:val="16"/>
                <w:szCs w:val="16"/>
                <w:lang w:val="en-US" w:eastAsia="zh-CN"/>
              </w:rPr>
              <w:t>40.26</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纳入专户管理的非税收入拨款：</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nil"/>
              <w:left w:val="nil"/>
              <w:bottom w:val="single" w:color="auto" w:sz="4" w:space="0"/>
              <w:right w:val="single" w:color="auto" w:sz="4" w:space="0"/>
            </w:tcBorders>
            <w:noWrap w:val="0"/>
            <w:vAlign w:val="center"/>
          </w:tcPr>
          <w:p>
            <w:pPr>
              <w:widowControl/>
              <w:spacing w:line="240" w:lineRule="exact"/>
              <w:ind w:firstLine="1120" w:firstLineChars="700"/>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其他资金：</w:t>
            </w:r>
          </w:p>
        </w:tc>
        <w:tc>
          <w:tcPr>
            <w:tcW w:w="4523"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年度总体目标</w:t>
            </w:r>
          </w:p>
        </w:tc>
        <w:tc>
          <w:tcPr>
            <w:tcW w:w="526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预期目标</w:t>
            </w:r>
          </w:p>
        </w:tc>
        <w:tc>
          <w:tcPr>
            <w:tcW w:w="4523"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实际完成情况　</w:t>
            </w:r>
          </w:p>
        </w:tc>
      </w:tr>
      <w:tr>
        <w:tblPrEx>
          <w:tblLayout w:type="fixed"/>
          <w:tblCellMar>
            <w:top w:w="0" w:type="dxa"/>
            <w:left w:w="108" w:type="dxa"/>
            <w:bottom w:w="0" w:type="dxa"/>
            <w:right w:w="108" w:type="dxa"/>
          </w:tblCellMar>
        </w:tblPrEx>
        <w:trPr>
          <w:trHeight w:val="45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5263"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单位工作正常进行，保障人员经费，保障运转类项目正常开展，各项工作顺利完成。</w:t>
            </w:r>
          </w:p>
        </w:tc>
        <w:tc>
          <w:tcPr>
            <w:tcW w:w="4523"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2024年</w:t>
            </w:r>
            <w:r>
              <w:rPr>
                <w:rFonts w:hint="default" w:ascii="Times New Roman" w:hAnsi="Times New Roman" w:eastAsia="仿宋_GB2312" w:cs="Times New Roman"/>
                <w:color w:val="000000"/>
                <w:sz w:val="16"/>
                <w:szCs w:val="16"/>
              </w:rPr>
              <w:t>单位</w:t>
            </w:r>
            <w:r>
              <w:rPr>
                <w:rFonts w:hint="eastAsia" w:ascii="Times New Roman" w:hAnsi="Times New Roman" w:eastAsia="仿宋_GB2312" w:cs="Times New Roman"/>
                <w:color w:val="000000"/>
                <w:sz w:val="16"/>
                <w:szCs w:val="16"/>
                <w:lang w:eastAsia="zh-CN"/>
              </w:rPr>
              <w:t>各项</w:t>
            </w:r>
            <w:r>
              <w:rPr>
                <w:rFonts w:hint="default" w:ascii="Times New Roman" w:hAnsi="Times New Roman" w:eastAsia="仿宋_GB2312" w:cs="Times New Roman"/>
                <w:color w:val="000000"/>
                <w:sz w:val="16"/>
                <w:szCs w:val="16"/>
              </w:rPr>
              <w:t>工作正常</w:t>
            </w:r>
            <w:r>
              <w:rPr>
                <w:rFonts w:hint="eastAsia" w:ascii="Times New Roman" w:hAnsi="Times New Roman" w:eastAsia="仿宋_GB2312" w:cs="Times New Roman"/>
                <w:color w:val="000000"/>
                <w:sz w:val="16"/>
                <w:szCs w:val="16"/>
                <w:lang w:eastAsia="zh-CN"/>
              </w:rPr>
              <w:t>开展并</w:t>
            </w:r>
            <w:r>
              <w:rPr>
                <w:rFonts w:hint="default" w:ascii="Times New Roman" w:hAnsi="Times New Roman" w:eastAsia="仿宋_GB2312" w:cs="Times New Roman"/>
                <w:color w:val="000000"/>
                <w:sz w:val="16"/>
                <w:szCs w:val="16"/>
              </w:rPr>
              <w:t>顺利完成，</w:t>
            </w:r>
            <w:r>
              <w:rPr>
                <w:rFonts w:hint="eastAsia" w:ascii="Times New Roman" w:hAnsi="Times New Roman" w:eastAsia="仿宋_GB2312" w:cs="Times New Roman"/>
                <w:color w:val="000000"/>
                <w:sz w:val="16"/>
                <w:szCs w:val="16"/>
                <w:lang w:eastAsia="zh-CN"/>
              </w:rPr>
              <w:t>运转正常</w:t>
            </w:r>
            <w:r>
              <w:rPr>
                <w:rFonts w:hint="default" w:ascii="Times New Roman" w:hAnsi="Times New Roman" w:eastAsia="仿宋_GB2312" w:cs="Times New Roman"/>
                <w:color w:val="000000"/>
                <w:sz w:val="16"/>
                <w:szCs w:val="16"/>
              </w:rPr>
              <w:t>。</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绩</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效</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指</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标</w:t>
            </w:r>
          </w:p>
          <w:p>
            <w:pPr>
              <w:widowControl/>
              <w:spacing w:line="240" w:lineRule="exact"/>
              <w:jc w:val="center"/>
              <w:rPr>
                <w:rFonts w:hint="default" w:ascii="Times New Roman" w:hAnsi="Times New Roman" w:eastAsia="仿宋_GB2312" w:cs="Times New Roman"/>
                <w:color w:val="000000"/>
                <w:sz w:val="16"/>
                <w:szCs w:val="16"/>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二级指标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三级指标</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年度指标值</w:t>
            </w:r>
          </w:p>
        </w:tc>
        <w:tc>
          <w:tcPr>
            <w:tcW w:w="1670"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实际完成值</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分值</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得分</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产出指标</w:t>
            </w:r>
          </w:p>
          <w:p>
            <w:pPr>
              <w:widowControl/>
              <w:spacing w:line="240" w:lineRule="exact"/>
              <w:jc w:val="center"/>
              <w:rPr>
                <w:rFonts w:hint="default" w:ascii="Times New Roman" w:hAnsi="Times New Roman" w:eastAsia="仿宋_GB2312" w:cs="Times New Roman"/>
                <w:color w:val="000000"/>
                <w:sz w:val="16"/>
                <w:szCs w:val="16"/>
              </w:rPr>
            </w:pP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(50分)</w:t>
            </w: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数量指标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全省</w:t>
            </w:r>
            <w:r>
              <w:rPr>
                <w:rFonts w:hint="eastAsia" w:ascii="Times New Roman" w:hAnsi="Times New Roman" w:eastAsia="仿宋_GB2312" w:cs="Times New Roman"/>
                <w:color w:val="000000"/>
                <w:sz w:val="16"/>
                <w:szCs w:val="16"/>
                <w:lang w:eastAsia="zh-CN"/>
              </w:rPr>
              <w:t>培育“头雁”学员</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800人</w:t>
            </w:r>
            <w:r>
              <w:rPr>
                <w:rFonts w:hint="default" w:ascii="Times New Roman" w:hAnsi="Times New Roman" w:eastAsia="仿宋_GB2312" w:cs="Times New Roman"/>
                <w:color w:val="000000"/>
                <w:sz w:val="16"/>
                <w:szCs w:val="16"/>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900人</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实用人才带头人示范培训</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500人</w:t>
            </w:r>
            <w:r>
              <w:rPr>
                <w:rFonts w:hint="default" w:ascii="Times New Roman" w:hAnsi="Times New Roman" w:eastAsia="仿宋_GB2312" w:cs="Times New Roman"/>
                <w:color w:val="000000"/>
                <w:sz w:val="16"/>
                <w:szCs w:val="16"/>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700人</w:t>
            </w:r>
            <w:r>
              <w:rPr>
                <w:rFonts w:hint="default" w:ascii="Times New Roman" w:hAnsi="Times New Roman" w:eastAsia="仿宋_GB2312" w:cs="Times New Roman"/>
                <w:color w:val="000000"/>
                <w:sz w:val="16"/>
                <w:szCs w:val="16"/>
              </w:rPr>
              <w:t>　</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在全省开展人才队伍建设情况调研</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5个县市区</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 w:eastAsia="zh-CN"/>
              </w:rPr>
              <w:t>对</w:t>
            </w:r>
            <w:r>
              <w:rPr>
                <w:rFonts w:hint="eastAsia" w:ascii="Times New Roman" w:hAnsi="Times New Roman" w:eastAsia="仿宋_GB2312" w:cs="Times New Roman"/>
                <w:color w:val="000000"/>
                <w:sz w:val="16"/>
                <w:szCs w:val="16"/>
                <w:lang w:val="en-US" w:eastAsia="zh-CN"/>
              </w:rPr>
              <w:t>5个市州的10个县市区进行调研</w:t>
            </w:r>
          </w:p>
        </w:tc>
        <w:tc>
          <w:tcPr>
            <w:tcW w:w="534"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6</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6</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质量指标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组织开展2024年度农业系列职称评审</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按要求完成</w:t>
            </w:r>
            <w:r>
              <w:rPr>
                <w:rFonts w:hint="default" w:ascii="Times New Roman" w:hAnsi="Times New Roman" w:eastAsia="仿宋_GB2312" w:cs="Times New Roman"/>
                <w:color w:val="000000"/>
                <w:sz w:val="16"/>
                <w:szCs w:val="16"/>
                <w:lang w:val="en-US" w:eastAsia="zh-CN"/>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 w:eastAsia="zh-CN"/>
              </w:rPr>
              <w:t>全省农业系列职称参评人员达到</w:t>
            </w:r>
            <w:r>
              <w:rPr>
                <w:rFonts w:hint="eastAsia" w:ascii="Times New Roman" w:hAnsi="Times New Roman" w:eastAsia="仿宋_GB2312" w:cs="Times New Roman"/>
                <w:color w:val="000000"/>
                <w:sz w:val="16"/>
                <w:szCs w:val="16"/>
                <w:lang w:val="en-US" w:eastAsia="zh-CN"/>
              </w:rPr>
              <w:t>1061人</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8</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8</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高质量做好了农业农村系统国有单位人事劳动统计工作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按要求完成</w:t>
            </w:r>
            <w:r>
              <w:rPr>
                <w:rFonts w:hint="default" w:ascii="Times New Roman" w:hAnsi="Times New Roman" w:eastAsia="仿宋_GB2312" w:cs="Times New Roman"/>
                <w:color w:val="000000"/>
                <w:sz w:val="16"/>
                <w:szCs w:val="16"/>
                <w:lang w:val="en-US" w:eastAsia="zh-CN"/>
              </w:rPr>
              <w:t>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7</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时效指标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按时完成职称评审工作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按规定时间</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起草</w:t>
            </w:r>
            <w:r>
              <w:rPr>
                <w:rFonts w:hint="default" w:ascii="Times New Roman" w:hAnsi="Times New Roman" w:eastAsia="仿宋_GB2312" w:cs="Times New Roman"/>
                <w:color w:val="000000"/>
                <w:sz w:val="16"/>
                <w:szCs w:val="16"/>
                <w:lang w:eastAsia="zh-CN"/>
              </w:rPr>
              <w:t>《</w:t>
            </w:r>
            <w:r>
              <w:rPr>
                <w:rFonts w:hint="eastAsia" w:ascii="Times New Roman" w:hAnsi="Times New Roman" w:eastAsia="仿宋_GB2312" w:cs="Times New Roman"/>
                <w:color w:val="000000"/>
                <w:sz w:val="16"/>
                <w:szCs w:val="16"/>
                <w:lang w:eastAsia="zh-CN"/>
              </w:rPr>
              <w:t>关于建立</w:t>
            </w:r>
            <w:r>
              <w:rPr>
                <w:rFonts w:hint="default" w:ascii="Times New Roman" w:hAnsi="Times New Roman" w:eastAsia="仿宋_GB2312" w:cs="Times New Roman"/>
                <w:color w:val="000000"/>
                <w:sz w:val="16"/>
                <w:szCs w:val="16"/>
              </w:rPr>
              <w:t>湖南省农</w:t>
            </w:r>
            <w:r>
              <w:rPr>
                <w:rFonts w:hint="eastAsia" w:ascii="Times New Roman" w:hAnsi="Times New Roman" w:eastAsia="仿宋_GB2312" w:cs="Times New Roman"/>
                <w:color w:val="000000"/>
                <w:sz w:val="16"/>
                <w:szCs w:val="16"/>
                <w:lang w:eastAsia="zh-CN"/>
              </w:rPr>
              <w:t>基层农业专业技术人员职称制度的实施意见</w:t>
            </w:r>
            <w:r>
              <w:rPr>
                <w:rFonts w:hint="default" w:ascii="Times New Roman" w:hAnsi="Times New Roman" w:eastAsia="仿宋_GB2312" w:cs="Times New Roman"/>
                <w:color w:val="000000"/>
                <w:sz w:val="16"/>
                <w:szCs w:val="16"/>
                <w:lang w:eastAsia="zh-CN"/>
              </w:rPr>
              <w:t>》</w:t>
            </w:r>
            <w:r>
              <w:rPr>
                <w:rFonts w:hint="eastAsia" w:ascii="Times New Roman" w:hAnsi="Times New Roman" w:eastAsia="仿宋_GB2312" w:cs="Times New Roman"/>
                <w:color w:val="000000"/>
                <w:sz w:val="16"/>
                <w:szCs w:val="16"/>
                <w:lang w:eastAsia="zh-CN"/>
              </w:rPr>
              <w:t>、修订《湖南省农业系列专业技术职称申报评价办法》</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 xml:space="preserve">2024年7月完成 </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成本指标</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各项支出控制在预算范围内</w:t>
            </w:r>
          </w:p>
        </w:tc>
        <w:tc>
          <w:tcPr>
            <w:tcW w:w="116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预算范围内</w:t>
            </w:r>
          </w:p>
        </w:tc>
        <w:tc>
          <w:tcPr>
            <w:tcW w:w="16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5</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效益指标</w:t>
            </w:r>
          </w:p>
          <w:p>
            <w:pPr>
              <w:widowControl/>
              <w:spacing w:line="240" w:lineRule="exact"/>
              <w:jc w:val="left"/>
              <w:rPr>
                <w:rFonts w:hint="default" w:ascii="Times New Roman" w:hAnsi="Times New Roman" w:eastAsia="仿宋_GB2312" w:cs="Times New Roman"/>
                <w:color w:val="000000"/>
                <w:sz w:val="16"/>
                <w:szCs w:val="16"/>
              </w:rPr>
            </w:pPr>
          </w:p>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（30分）</w:t>
            </w:r>
          </w:p>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c>
          <w:tcPr>
            <w:tcW w:w="1034"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社会效</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益指标</w:t>
            </w:r>
          </w:p>
        </w:tc>
        <w:tc>
          <w:tcPr>
            <w:tcW w:w="198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 w:eastAsia="zh-CN"/>
              </w:rPr>
              <w:t>组织“省双十佳”评选</w:t>
            </w:r>
          </w:p>
        </w:tc>
        <w:tc>
          <w:tcPr>
            <w:tcW w:w="1165"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20人获得“省双十佳”荣誉</w:t>
            </w:r>
          </w:p>
        </w:tc>
        <w:tc>
          <w:tcPr>
            <w:tcW w:w="1670"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完成</w:t>
            </w:r>
          </w:p>
        </w:tc>
        <w:tc>
          <w:tcPr>
            <w:tcW w:w="5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11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34" w:type="dxa"/>
            <w:vMerge w:val="continue"/>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16"/>
                <w:szCs w:val="16"/>
              </w:rPr>
            </w:pP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组织好农业职业技能竞赛工作</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按要求完成</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多名</w:t>
            </w:r>
            <w:r>
              <w:rPr>
                <w:rFonts w:hint="eastAsia" w:ascii="Times New Roman" w:hAnsi="Times New Roman" w:eastAsia="仿宋_GB2312" w:cs="Times New Roman"/>
                <w:color w:val="000000"/>
                <w:sz w:val="16"/>
                <w:szCs w:val="16"/>
                <w:lang w:val="en" w:eastAsia="zh-CN"/>
              </w:rPr>
              <w:t>选手和基地参加竞赛，省级选拔赛取得圆满成功</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p>
        </w:tc>
        <w:tc>
          <w:tcPr>
            <w:tcW w:w="1080" w:type="dxa"/>
            <w:vMerge w:val="continue"/>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可持续影响指标</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做好享受国务院政府特殊津贴专家推荐工作</w:t>
            </w:r>
          </w:p>
        </w:tc>
        <w:tc>
          <w:tcPr>
            <w:tcW w:w="116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做好享受国务院政府特殊津贴专家推荐工作</w:t>
            </w:r>
            <w:r>
              <w:rPr>
                <w:rFonts w:hint="default" w:ascii="Times New Roman" w:hAnsi="Times New Roman" w:eastAsia="仿宋_GB2312" w:cs="Times New Roman"/>
                <w:color w:val="000000"/>
                <w:sz w:val="16"/>
                <w:szCs w:val="16"/>
                <w:lang w:val="en" w:eastAsia="zh-CN"/>
              </w:rPr>
              <w:t>　</w:t>
            </w:r>
          </w:p>
        </w:tc>
        <w:tc>
          <w:tcPr>
            <w:tcW w:w="16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经专家综合评议</w:t>
            </w:r>
            <w:r>
              <w:rPr>
                <w:rFonts w:hint="default" w:ascii="Times New Roman" w:hAnsi="Times New Roman" w:eastAsia="仿宋_GB2312" w:cs="Times New Roman"/>
                <w:color w:val="000000"/>
                <w:sz w:val="16"/>
                <w:szCs w:val="16"/>
                <w:lang w:eastAsia="zh-CN"/>
              </w:rPr>
              <w:t>并经厅党组会议审定</w:t>
            </w:r>
            <w:r>
              <w:rPr>
                <w:rFonts w:hint="default" w:ascii="Times New Roman" w:hAnsi="Times New Roman" w:eastAsia="仿宋_GB2312" w:cs="Times New Roman"/>
                <w:color w:val="000000"/>
                <w:sz w:val="16"/>
                <w:szCs w:val="16"/>
              </w:rPr>
              <w:t>，</w:t>
            </w:r>
            <w:r>
              <w:rPr>
                <w:rFonts w:hint="default" w:ascii="Times New Roman" w:hAnsi="Times New Roman" w:eastAsia="仿宋_GB2312" w:cs="Times New Roman"/>
                <w:color w:val="000000"/>
                <w:sz w:val="16"/>
                <w:szCs w:val="16"/>
                <w:lang w:val="en" w:eastAsia="zh-CN"/>
              </w:rPr>
              <w:t>推荐</w:t>
            </w:r>
            <w:r>
              <w:rPr>
                <w:rFonts w:hint="default" w:ascii="Times New Roman" w:hAnsi="Times New Roman" w:eastAsia="仿宋_GB2312" w:cs="Times New Roman"/>
                <w:color w:val="000000"/>
                <w:sz w:val="16"/>
                <w:szCs w:val="16"/>
                <w:lang w:val="en-US" w:eastAsia="zh-CN"/>
              </w:rPr>
              <w:t>1名同志</w:t>
            </w:r>
            <w:r>
              <w:rPr>
                <w:rFonts w:hint="default" w:ascii="Times New Roman" w:hAnsi="Times New Roman" w:eastAsia="仿宋_GB2312" w:cs="Times New Roman"/>
                <w:color w:val="000000"/>
                <w:sz w:val="16"/>
                <w:szCs w:val="16"/>
                <w:lang w:val="en" w:eastAsia="zh-CN"/>
              </w:rPr>
              <w:t>参加全国评审</w:t>
            </w:r>
            <w:r>
              <w:rPr>
                <w:rFonts w:hint="eastAsia" w:ascii="Times New Roman" w:hAnsi="Times New Roman" w:eastAsia="仿宋_GB2312" w:cs="Times New Roman"/>
                <w:color w:val="000000"/>
                <w:sz w:val="16"/>
                <w:szCs w:val="16"/>
                <w:lang w:val="en" w:eastAsia="zh-CN"/>
              </w:rPr>
              <w:t>并获此殊荣</w:t>
            </w:r>
          </w:p>
        </w:tc>
        <w:tc>
          <w:tcPr>
            <w:tcW w:w="5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10</w:t>
            </w:r>
          </w:p>
        </w:tc>
        <w:tc>
          <w:tcPr>
            <w:tcW w:w="11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16"/>
                <w:szCs w:val="16"/>
              </w:rPr>
            </w:pPr>
          </w:p>
        </w:tc>
        <w:tc>
          <w:tcPr>
            <w:tcW w:w="108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满意度</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指标</w:t>
            </w:r>
          </w:p>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（10分）</w:t>
            </w:r>
          </w:p>
        </w:tc>
        <w:tc>
          <w:tcPr>
            <w:tcW w:w="1034"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服务对象满意度指标</w:t>
            </w:r>
          </w:p>
        </w:tc>
        <w:tc>
          <w:tcPr>
            <w:tcW w:w="198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lang w:val="en-US" w:eastAsia="zh-CN"/>
              </w:rPr>
            </w:pPr>
            <w:r>
              <w:rPr>
                <w:rFonts w:hint="eastAsia" w:ascii="Times New Roman" w:hAnsi="Times New Roman" w:eastAsia="仿宋_GB2312" w:cs="Times New Roman"/>
                <w:color w:val="000000"/>
                <w:sz w:val="16"/>
                <w:szCs w:val="16"/>
                <w:lang w:val="en-US" w:eastAsia="zh-CN"/>
              </w:rPr>
              <w:t>服务对象满意度</w:t>
            </w:r>
          </w:p>
        </w:tc>
        <w:tc>
          <w:tcPr>
            <w:tcW w:w="116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95%</w:t>
            </w:r>
          </w:p>
        </w:tc>
        <w:tc>
          <w:tcPr>
            <w:tcW w:w="167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rPr>
              <w:t>≧</w:t>
            </w:r>
            <w:r>
              <w:rPr>
                <w:rFonts w:hint="eastAsia" w:ascii="Times New Roman" w:hAnsi="Times New Roman" w:eastAsia="仿宋_GB2312" w:cs="Times New Roman"/>
                <w:color w:val="000000"/>
                <w:sz w:val="16"/>
                <w:szCs w:val="16"/>
                <w:lang w:val="en-US" w:eastAsia="zh-CN"/>
              </w:rPr>
              <w:t>95%</w:t>
            </w:r>
          </w:p>
        </w:tc>
        <w:tc>
          <w:tcPr>
            <w:tcW w:w="53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lang w:val="en-US" w:eastAsia="zh-CN"/>
              </w:rPr>
            </w:pPr>
            <w:r>
              <w:rPr>
                <w:rFonts w:hint="default" w:ascii="Times New Roman" w:hAnsi="Times New Roman" w:eastAsia="仿宋_GB2312" w:cs="Times New Roman"/>
                <w:color w:val="000000"/>
                <w:sz w:val="16"/>
                <w:szCs w:val="16"/>
              </w:rPr>
              <w:t>　</w:t>
            </w:r>
            <w:r>
              <w:rPr>
                <w:rFonts w:hint="eastAsia" w:ascii="Times New Roman" w:hAnsi="Times New Roman" w:eastAsia="仿宋_GB2312" w:cs="Times New Roman"/>
                <w:color w:val="000000"/>
                <w:sz w:val="16"/>
                <w:szCs w:val="16"/>
                <w:lang w:val="en-US" w:eastAsia="zh-CN"/>
              </w:rPr>
              <w:t>10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16"/>
                <w:szCs w:val="16"/>
              </w:rPr>
            </w:pPr>
            <w:r>
              <w:rPr>
                <w:rFonts w:hint="eastAsia" w:ascii="Times New Roman" w:hAnsi="Times New Roman" w:eastAsia="仿宋_GB2312" w:cs="Times New Roman"/>
                <w:color w:val="000000"/>
                <w:sz w:val="16"/>
                <w:szCs w:val="16"/>
                <w:lang w:val="en-US" w:eastAsia="zh-CN"/>
              </w:rPr>
              <w:t>10</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16"/>
                <w:szCs w:val="16"/>
              </w:rPr>
            </w:pPr>
            <w:r>
              <w:rPr>
                <w:rFonts w:hint="default" w:ascii="Times New Roman" w:hAnsi="Times New Roman" w:eastAsia="仿宋_GB2312" w:cs="Times New Roman"/>
                <w:color w:val="000000"/>
                <w:sz w:val="16"/>
                <w:szCs w:val="16"/>
              </w:rPr>
              <w:t>　</w:t>
            </w:r>
          </w:p>
        </w:tc>
      </w:tr>
      <w:tr>
        <w:tblPrEx>
          <w:tblLayout w:type="fixed"/>
          <w:tblCellMar>
            <w:top w:w="0" w:type="dxa"/>
            <w:left w:w="108" w:type="dxa"/>
            <w:bottom w:w="0" w:type="dxa"/>
            <w:right w:w="108" w:type="dxa"/>
          </w:tblCellMar>
        </w:tblPrEx>
        <w:trPr>
          <w:trHeight w:val="270" w:hRule="atLeast"/>
          <w:jc w:val="center"/>
        </w:trPr>
        <w:tc>
          <w:tcPr>
            <w:tcW w:w="8013"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5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111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97.05</w:t>
            </w:r>
          </w:p>
        </w:tc>
        <w:tc>
          <w:tcPr>
            <w:tcW w:w="120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附件3</w:t>
      </w:r>
    </w:p>
    <w:p>
      <w:pPr>
        <w:pStyle w:val="3"/>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 xml:space="preserve"> 年度）</w:t>
      </w:r>
    </w:p>
    <w:tbl>
      <w:tblPr>
        <w:tblStyle w:val="14"/>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644"/>
        <w:gridCol w:w="1290"/>
        <w:gridCol w:w="1035"/>
        <w:gridCol w:w="675"/>
        <w:gridCol w:w="975"/>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auto"/>
                <w:kern w:val="0"/>
                <w:sz w:val="21"/>
                <w:szCs w:val="21"/>
                <w:lang w:eastAsia="zh-CN"/>
              </w:rPr>
              <w:t>运行维护经费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642"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lang w:eastAsia="zh-CN"/>
              </w:rPr>
              <w:t>湖南省农业人才交流服务中心</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67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97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99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37.41</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51.65</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28.33</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r>
              <w:rPr>
                <w:color w:val="000000"/>
                <w:kern w:val="0"/>
                <w:sz w:val="18"/>
                <w:szCs w:val="18"/>
              </w:rPr>
              <w:t>10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54.85%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37.41</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37.41</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15.11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18"/>
                <w:szCs w:val="18"/>
                <w:lang w:val="en-US" w:eastAsia="zh-CN"/>
              </w:rPr>
            </w:pPr>
            <w:r>
              <w:rPr>
                <w:color w:val="000000"/>
                <w:kern w:val="0"/>
                <w:sz w:val="18"/>
                <w:szCs w:val="18"/>
              </w:rPr>
              <w:t>　</w:t>
            </w:r>
            <w:r>
              <w:rPr>
                <w:rFonts w:hint="eastAsia"/>
                <w:color w:val="000000"/>
                <w:kern w:val="0"/>
                <w:sz w:val="18"/>
                <w:szCs w:val="18"/>
                <w:lang w:val="en-US" w:eastAsia="zh-CN"/>
              </w:rPr>
              <w:t>14.24</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18"/>
                <w:szCs w:val="18"/>
                <w:lang w:val="en-US" w:eastAsia="zh-CN"/>
              </w:rPr>
            </w:pPr>
            <w:r>
              <w:rPr>
                <w:color w:val="000000"/>
                <w:kern w:val="0"/>
                <w:sz w:val="18"/>
                <w:szCs w:val="18"/>
              </w:rPr>
              <w:t>　</w:t>
            </w:r>
            <w:r>
              <w:rPr>
                <w:rFonts w:hint="eastAsia"/>
                <w:color w:val="000000"/>
                <w:kern w:val="0"/>
                <w:sz w:val="18"/>
                <w:szCs w:val="18"/>
                <w:lang w:val="en-US" w:eastAsia="zh-CN"/>
              </w:rPr>
              <w:t>13.22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67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组织实施全省农业系列高级职称评审工作</w:t>
            </w:r>
            <w:r>
              <w:rPr>
                <w:color w:val="000000"/>
                <w:kern w:val="0"/>
                <w:sz w:val="21"/>
                <w:szCs w:val="21"/>
              </w:rPr>
              <w:t>　　</w:t>
            </w:r>
          </w:p>
        </w:tc>
        <w:tc>
          <w:tcPr>
            <w:tcW w:w="367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eastAsia="zh-CN"/>
              </w:rPr>
              <w:t>圆满完成</w:t>
            </w:r>
            <w:r>
              <w:rPr>
                <w:rFonts w:hint="eastAsia"/>
                <w:color w:val="000000"/>
                <w:kern w:val="0"/>
                <w:sz w:val="21"/>
                <w:szCs w:val="21"/>
                <w:lang w:val="en-US" w:eastAsia="zh-CN"/>
              </w:rPr>
              <w:t>2024年度农业系列高级职称评审工作任务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评审对象人数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850人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1061人</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评审专家人数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50人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48人</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正高评审通过率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40%</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39.42%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lang w:eastAsia="zh-CN"/>
              </w:rPr>
              <w:t>副高评审通过率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55%</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56.89%</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向基层倾斜，多争取部分</w:t>
            </w:r>
            <w:r>
              <w:rPr>
                <w:rFonts w:hint="eastAsia" w:ascii="仿宋" w:hAnsi="仿宋" w:eastAsia="仿宋" w:cs="仿宋"/>
                <w:color w:val="000000"/>
                <w:kern w:val="0"/>
                <w:sz w:val="15"/>
                <w:szCs w:val="15"/>
                <w:lang w:val="en-US" w:eastAsia="zh-CN"/>
              </w:rPr>
              <w:t>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正高评审完成时点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按规定时间</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完成</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副高评审完成时点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按规定时间</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完成</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专家评审费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14.37</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10.44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3.63</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项目跨年度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评审会务及其他</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23.04</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17.89</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3.88</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项目跨年度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single" w:color="auto" w:sz="4" w:space="0"/>
              <w:left w:val="single" w:color="auto" w:sz="4" w:space="0"/>
              <w:right w:val="single" w:color="auto" w:sz="4" w:space="0"/>
            </w:tcBorders>
            <w:noWrap w:val="0"/>
            <w:vAlign w:val="center"/>
          </w:tcPr>
          <w:p>
            <w:pPr>
              <w:widowControl/>
              <w:adjustRightInd/>
              <w:spacing w:line="280" w:lineRule="exact"/>
              <w:ind w:left="0" w:leftChars="0" w:firstLine="0" w:firstLineChars="0"/>
              <w:jc w:val="left"/>
              <w:textAlignment w:val="center"/>
              <w:rPr>
                <w:rFonts w:hint="eastAsia"/>
                <w:color w:val="000000"/>
                <w:kern w:val="0"/>
                <w:sz w:val="21"/>
                <w:szCs w:val="21"/>
                <w:lang w:eastAsia="zh-CN"/>
              </w:rPr>
            </w:pPr>
            <w:r>
              <w:rPr>
                <w:rFonts w:hint="eastAsia"/>
                <w:color w:val="000000"/>
                <w:kern w:val="0"/>
                <w:sz w:val="21"/>
                <w:szCs w:val="21"/>
                <w:lang w:eastAsia="zh-CN"/>
              </w:rPr>
              <w:t>效益指标</w:t>
            </w:r>
          </w:p>
          <w:p>
            <w:pPr>
              <w:widowControl/>
              <w:adjustRightInd/>
              <w:spacing w:line="280" w:lineRule="exact"/>
              <w:ind w:left="0" w:leftChars="0" w:firstLine="0" w:firstLineChars="0"/>
              <w:jc w:val="left"/>
              <w:textAlignment w:val="center"/>
              <w:rPr>
                <w:rFonts w:hint="eastAsia"/>
                <w:color w:val="000000"/>
                <w:kern w:val="0"/>
                <w:sz w:val="21"/>
                <w:szCs w:val="21"/>
                <w:lang w:eastAsia="zh-CN"/>
              </w:rPr>
            </w:pPr>
            <w:r>
              <w:rPr>
                <w:rFonts w:hint="eastAsia"/>
                <w:color w:val="000000"/>
                <w:kern w:val="0"/>
                <w:sz w:val="21"/>
                <w:szCs w:val="21"/>
                <w:lang w:eastAsia="zh-CN"/>
              </w:rPr>
              <w:t>（</w:t>
            </w:r>
            <w:r>
              <w:rPr>
                <w:rFonts w:hint="eastAsia"/>
                <w:color w:val="000000"/>
                <w:kern w:val="0"/>
                <w:sz w:val="21"/>
                <w:szCs w:val="21"/>
                <w:lang w:val="en-US" w:eastAsia="zh-CN"/>
              </w:rPr>
              <w:t>30分</w:t>
            </w:r>
            <w:r>
              <w:rPr>
                <w:rFonts w:hint="eastAsia"/>
                <w:color w:val="000000"/>
                <w:kern w:val="0"/>
                <w:sz w:val="21"/>
                <w:szCs w:val="21"/>
                <w:lang w:eastAsia="zh-CN"/>
              </w:rPr>
              <w:t>）</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color w:val="000000"/>
                <w:kern w:val="0"/>
                <w:sz w:val="21"/>
                <w:szCs w:val="21"/>
              </w:rPr>
              <w:t>社会效益指标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3"/>
                <w:szCs w:val="13"/>
                <w:lang w:eastAsia="zh-CN"/>
              </w:rPr>
            </w:pPr>
            <w:r>
              <w:rPr>
                <w:rFonts w:hint="eastAsia" w:ascii="仿宋" w:hAnsi="仿宋" w:eastAsia="仿宋" w:cs="仿宋"/>
                <w:color w:val="000000"/>
                <w:kern w:val="0"/>
                <w:sz w:val="13"/>
                <w:szCs w:val="13"/>
                <w:lang w:eastAsia="zh-CN"/>
              </w:rPr>
              <w:t>组织做好农业系列高级职称评审工作</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3"/>
                <w:szCs w:val="13"/>
              </w:rPr>
            </w:pPr>
            <w:r>
              <w:rPr>
                <w:rFonts w:hint="eastAsia" w:ascii="仿宋" w:hAnsi="仿宋" w:eastAsia="仿宋" w:cs="仿宋"/>
                <w:color w:val="000000"/>
                <w:kern w:val="0"/>
                <w:sz w:val="13"/>
                <w:szCs w:val="13"/>
                <w:lang w:eastAsia="zh-CN"/>
              </w:rPr>
              <w:t>通过职称评审，提高专技人员队伍整体水平</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仿宋" w:hAnsi="仿宋" w:eastAsia="仿宋" w:cs="仿宋"/>
                <w:color w:val="000000"/>
                <w:kern w:val="0"/>
                <w:sz w:val="13"/>
                <w:szCs w:val="13"/>
                <w:lang w:eastAsia="zh-CN"/>
              </w:rPr>
            </w:pPr>
            <w:r>
              <w:rPr>
                <w:rFonts w:hint="eastAsia" w:ascii="仿宋" w:hAnsi="仿宋" w:eastAsia="仿宋" w:cs="仿宋"/>
                <w:color w:val="000000"/>
                <w:kern w:val="0"/>
                <w:sz w:val="13"/>
                <w:szCs w:val="13"/>
                <w:lang w:eastAsia="zh-CN"/>
              </w:rPr>
              <w:t>有所提升</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20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20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bidi="ar-SA"/>
              </w:rPr>
            </w:pPr>
            <w:r>
              <w:rPr>
                <w:rFonts w:hint="eastAsia" w:ascii="仿宋" w:hAnsi="仿宋" w:eastAsia="仿宋" w:cs="仿宋"/>
                <w:color w:val="000000"/>
                <w:kern w:val="0"/>
                <w:sz w:val="15"/>
                <w:szCs w:val="15"/>
                <w:lang w:eastAsia="zh-CN"/>
              </w:rPr>
              <w:t>做好农业系列职称评审工作</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充分调动专技人员积极性，更好看滴服务三农工作</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有所提升</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公众影响社会满意度</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100%</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评审对象满意度</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仿宋" w:hAnsi="仿宋" w:eastAsia="仿宋" w:cs="仿宋"/>
                <w:color w:val="000000"/>
                <w:kern w:val="0"/>
                <w:sz w:val="15"/>
                <w:szCs w:val="15"/>
                <w:lang w:val="en-US" w:eastAsia="zh-CN"/>
              </w:rPr>
              <w:t>95%</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仿宋" w:hAnsi="仿宋" w:eastAsia="仿宋" w:cs="仿宋"/>
                <w:color w:val="000000"/>
                <w:kern w:val="0"/>
                <w:sz w:val="15"/>
                <w:szCs w:val="15"/>
                <w:lang w:val="en-US" w:eastAsia="zh-CN"/>
              </w:rPr>
              <w:t>95%</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7209"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r>
              <w:rPr>
                <w:color w:val="000000"/>
                <w:kern w:val="0"/>
                <w:sz w:val="18"/>
                <w:szCs w:val="18"/>
              </w:rPr>
              <w:t>100</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93.00</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r>
    </w:tbl>
    <w:p>
      <w:pPr>
        <w:spacing w:line="240" w:lineRule="exact"/>
        <w:ind w:firstLine="0" w:firstLineChars="0"/>
      </w:pPr>
    </w:p>
    <w:p>
      <w:pPr>
        <w:pStyle w:val="18"/>
        <w:keepNext w:val="0"/>
        <w:keepLines w:val="0"/>
        <w:pageBreakBefore w:val="0"/>
        <w:widowControl w:val="0"/>
        <w:kinsoku/>
        <w:wordWrap/>
        <w:overflowPunct/>
        <w:topLinePunct w:val="0"/>
        <w:bidi w:val="0"/>
        <w:snapToGrid/>
        <w:spacing w:line="600" w:lineRule="exact"/>
        <w:jc w:val="lef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附件4</w:t>
      </w:r>
    </w:p>
    <w:p>
      <w:pPr>
        <w:pStyle w:val="3"/>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 xml:space="preserve"> 年度）</w:t>
      </w:r>
    </w:p>
    <w:tbl>
      <w:tblPr>
        <w:tblStyle w:val="14"/>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644"/>
        <w:gridCol w:w="1290"/>
        <w:gridCol w:w="1035"/>
        <w:gridCol w:w="675"/>
        <w:gridCol w:w="934"/>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auto"/>
                <w:kern w:val="0"/>
                <w:sz w:val="21"/>
                <w:szCs w:val="21"/>
                <w:lang w:eastAsia="zh-CN"/>
              </w:rPr>
              <w:t>其他事业发展资金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642"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lang w:eastAsia="zh-CN"/>
              </w:rPr>
              <w:t>湖南省农业人才交流服务中心</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67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9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18.63</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18.63</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11.93</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r>
              <w:rPr>
                <w:color w:val="000000"/>
                <w:kern w:val="0"/>
                <w:sz w:val="18"/>
                <w:szCs w:val="18"/>
              </w:rPr>
              <w:t>10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64.04%</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18.63</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18.63</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11.93</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18"/>
                <w:szCs w:val="18"/>
              </w:rPr>
            </w:pPr>
            <w:r>
              <w:rPr>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67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509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组织实施全省农业系列高级职称评审工作</w:t>
            </w:r>
            <w:r>
              <w:rPr>
                <w:color w:val="000000"/>
                <w:kern w:val="0"/>
                <w:sz w:val="21"/>
                <w:szCs w:val="21"/>
              </w:rPr>
              <w:t>　　</w:t>
            </w:r>
          </w:p>
        </w:tc>
        <w:tc>
          <w:tcPr>
            <w:tcW w:w="367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eastAsia="zh-CN"/>
              </w:rPr>
              <w:t>圆满完成</w:t>
            </w:r>
            <w:r>
              <w:rPr>
                <w:rFonts w:hint="eastAsia"/>
                <w:color w:val="000000"/>
                <w:kern w:val="0"/>
                <w:sz w:val="21"/>
                <w:szCs w:val="21"/>
                <w:lang w:val="en-US" w:eastAsia="zh-CN"/>
              </w:rPr>
              <w:t>2024年度农业系列高级职称评审工作任务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评审对象人数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850人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1061人</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评审专家人数</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50人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48人</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正高评审通过率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40%</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39.42%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7</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7</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lang w:eastAsia="zh-CN"/>
              </w:rPr>
              <w:t>副高评审通过率</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Arial" w:hAnsi="Arial" w:eastAsia="仿宋" w:cs="Arial"/>
                <w:color w:val="000000"/>
                <w:kern w:val="0"/>
                <w:sz w:val="15"/>
                <w:szCs w:val="15"/>
                <w:lang w:val="en-US" w:eastAsia="zh-CN"/>
              </w:rPr>
              <w:t>55%</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56.89%</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7</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7</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向基层倾斜，多争取部分</w:t>
            </w:r>
            <w:r>
              <w:rPr>
                <w:rFonts w:hint="eastAsia" w:ascii="仿宋" w:hAnsi="仿宋" w:eastAsia="仿宋" w:cs="仿宋"/>
                <w:color w:val="000000"/>
                <w:kern w:val="0"/>
                <w:sz w:val="15"/>
                <w:szCs w:val="15"/>
                <w:lang w:val="en-US" w:eastAsia="zh-CN"/>
              </w:rPr>
              <w:t>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正高评审完成时点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按规定时间</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完成</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副高评审完成时点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按规定时间</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完成</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专家评审费</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18.63</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11.93</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6</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3.84</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项目跨年度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single" w:color="auto" w:sz="4" w:space="0"/>
              <w:left w:val="single" w:color="auto" w:sz="4" w:space="0"/>
              <w:right w:val="single" w:color="auto" w:sz="4" w:space="0"/>
            </w:tcBorders>
            <w:noWrap w:val="0"/>
            <w:vAlign w:val="center"/>
          </w:tcPr>
          <w:p>
            <w:pPr>
              <w:widowControl/>
              <w:adjustRightInd/>
              <w:spacing w:line="280" w:lineRule="exact"/>
              <w:ind w:left="0" w:leftChars="0" w:firstLine="0" w:firstLineChars="0"/>
              <w:jc w:val="left"/>
              <w:textAlignment w:val="center"/>
              <w:rPr>
                <w:rFonts w:hint="eastAsia"/>
                <w:color w:val="000000"/>
                <w:kern w:val="0"/>
                <w:sz w:val="21"/>
                <w:szCs w:val="21"/>
                <w:lang w:eastAsia="zh-CN"/>
              </w:rPr>
            </w:pPr>
            <w:r>
              <w:rPr>
                <w:rFonts w:hint="eastAsia"/>
                <w:color w:val="000000"/>
                <w:kern w:val="0"/>
                <w:sz w:val="21"/>
                <w:szCs w:val="21"/>
                <w:lang w:eastAsia="zh-CN"/>
              </w:rPr>
              <w:t>效益指标</w:t>
            </w:r>
          </w:p>
          <w:p>
            <w:pPr>
              <w:widowControl/>
              <w:adjustRightInd/>
              <w:spacing w:line="280" w:lineRule="exact"/>
              <w:ind w:left="0" w:leftChars="0" w:firstLine="0" w:firstLineChars="0"/>
              <w:jc w:val="left"/>
              <w:textAlignment w:val="center"/>
              <w:rPr>
                <w:rFonts w:hint="eastAsia"/>
                <w:color w:val="000000"/>
                <w:kern w:val="0"/>
                <w:sz w:val="21"/>
                <w:szCs w:val="21"/>
                <w:lang w:eastAsia="zh-CN"/>
              </w:rPr>
            </w:pPr>
            <w:r>
              <w:rPr>
                <w:rFonts w:hint="eastAsia"/>
                <w:color w:val="000000"/>
                <w:kern w:val="0"/>
                <w:sz w:val="21"/>
                <w:szCs w:val="21"/>
                <w:lang w:eastAsia="zh-CN"/>
              </w:rPr>
              <w:t>（</w:t>
            </w:r>
            <w:r>
              <w:rPr>
                <w:rFonts w:hint="eastAsia"/>
                <w:color w:val="000000"/>
                <w:kern w:val="0"/>
                <w:sz w:val="21"/>
                <w:szCs w:val="21"/>
                <w:lang w:val="en-US" w:eastAsia="zh-CN"/>
              </w:rPr>
              <w:t>30分</w:t>
            </w:r>
            <w:r>
              <w:rPr>
                <w:rFonts w:hint="eastAsia"/>
                <w:color w:val="000000"/>
                <w:kern w:val="0"/>
                <w:sz w:val="21"/>
                <w:szCs w:val="21"/>
                <w:lang w:eastAsia="zh-CN"/>
              </w:rPr>
              <w:t>）</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color w:val="000000"/>
                <w:kern w:val="0"/>
                <w:sz w:val="21"/>
                <w:szCs w:val="21"/>
              </w:rPr>
            </w:pPr>
            <w:r>
              <w:rPr>
                <w:color w:val="000000"/>
                <w:kern w:val="0"/>
                <w:sz w:val="21"/>
                <w:szCs w:val="21"/>
              </w:rPr>
              <w:t>社会效益指标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3"/>
                <w:szCs w:val="13"/>
                <w:lang w:eastAsia="zh-CN"/>
              </w:rPr>
            </w:pPr>
            <w:r>
              <w:rPr>
                <w:rFonts w:hint="eastAsia" w:ascii="仿宋" w:hAnsi="仿宋" w:eastAsia="仿宋" w:cs="仿宋"/>
                <w:color w:val="000000"/>
                <w:kern w:val="0"/>
                <w:sz w:val="13"/>
                <w:szCs w:val="13"/>
                <w:lang w:eastAsia="zh-CN"/>
              </w:rPr>
              <w:t>组织做好农业系列高级职称评审工作</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3"/>
                <w:szCs w:val="13"/>
              </w:rPr>
            </w:pPr>
            <w:r>
              <w:rPr>
                <w:rFonts w:hint="eastAsia" w:ascii="仿宋" w:hAnsi="仿宋" w:eastAsia="仿宋" w:cs="仿宋"/>
                <w:color w:val="000000"/>
                <w:kern w:val="0"/>
                <w:sz w:val="13"/>
                <w:szCs w:val="13"/>
                <w:lang w:eastAsia="zh-CN"/>
              </w:rPr>
              <w:t>通过职称评审，提高专技人员队伍整体水平</w:t>
            </w:r>
            <w:r>
              <w:rPr>
                <w:rFonts w:hint="eastAsia" w:ascii="仿宋" w:hAnsi="仿宋" w:eastAsia="仿宋" w:cs="仿宋"/>
                <w:color w:val="000000"/>
                <w:kern w:val="0"/>
                <w:sz w:val="13"/>
                <w:szCs w:val="13"/>
              </w:rPr>
              <w:t>　</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3"/>
                <w:szCs w:val="13"/>
                <w:lang w:eastAsia="zh-CN"/>
              </w:rPr>
            </w:pPr>
            <w:r>
              <w:rPr>
                <w:rFonts w:hint="eastAsia" w:ascii="仿宋" w:hAnsi="仿宋" w:eastAsia="仿宋" w:cs="仿宋"/>
                <w:color w:val="000000"/>
                <w:kern w:val="0"/>
                <w:sz w:val="13"/>
                <w:szCs w:val="13"/>
              </w:rPr>
              <w:t>　</w:t>
            </w:r>
            <w:r>
              <w:rPr>
                <w:rFonts w:hint="eastAsia" w:ascii="仿宋" w:hAnsi="仿宋" w:eastAsia="仿宋" w:cs="仿宋"/>
                <w:color w:val="000000"/>
                <w:kern w:val="0"/>
                <w:sz w:val="13"/>
                <w:szCs w:val="13"/>
                <w:lang w:eastAsia="zh-CN"/>
              </w:rPr>
              <w:t>有所提升</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20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20</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bidi="ar-SA"/>
              </w:rPr>
            </w:pPr>
            <w:r>
              <w:rPr>
                <w:rFonts w:hint="eastAsia" w:ascii="仿宋" w:hAnsi="仿宋" w:eastAsia="仿宋" w:cs="仿宋"/>
                <w:color w:val="000000"/>
                <w:kern w:val="0"/>
                <w:sz w:val="15"/>
                <w:szCs w:val="15"/>
                <w:lang w:eastAsia="zh-CN"/>
              </w:rPr>
              <w:t>做好农业系列职称评审工作</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充分调动专技人员积极性，更好看滴服务三农工作</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eastAsia="zh-CN"/>
              </w:rPr>
              <w:t>有所提升</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lang w:val="en-US" w:eastAsia="zh-CN"/>
              </w:rPr>
              <w:t>10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公众影响社会满意度</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100%</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100%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64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lang w:eastAsia="zh-CN"/>
              </w:rPr>
              <w:t>评审对象满意度</w:t>
            </w:r>
          </w:p>
        </w:tc>
        <w:tc>
          <w:tcPr>
            <w:tcW w:w="12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仿宋" w:hAnsi="仿宋" w:eastAsia="仿宋" w:cs="仿宋"/>
                <w:color w:val="000000"/>
                <w:kern w:val="0"/>
                <w:sz w:val="15"/>
                <w:szCs w:val="15"/>
                <w:lang w:val="en-US" w:eastAsia="zh-CN"/>
              </w:rPr>
              <w:t>95%</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default" w:ascii="Arial" w:hAnsi="Arial" w:eastAsia="仿宋" w:cs="Arial"/>
                <w:color w:val="000000"/>
                <w:kern w:val="0"/>
                <w:sz w:val="15"/>
                <w:szCs w:val="15"/>
              </w:rPr>
              <w:t>≧</w:t>
            </w:r>
            <w:r>
              <w:rPr>
                <w:rFonts w:hint="eastAsia" w:ascii="仿宋" w:hAnsi="仿宋" w:eastAsia="仿宋" w:cs="仿宋"/>
                <w:color w:val="000000"/>
                <w:kern w:val="0"/>
                <w:sz w:val="15"/>
                <w:szCs w:val="15"/>
                <w:lang w:val="en-US" w:eastAsia="zh-CN"/>
              </w:rPr>
              <w:t>95%</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lang w:val="en-US" w:eastAsia="zh-CN"/>
              </w:rPr>
            </w:pPr>
            <w:r>
              <w:rPr>
                <w:rFonts w:hint="eastAsia" w:ascii="仿宋" w:hAnsi="仿宋" w:eastAsia="仿宋" w:cs="仿宋"/>
                <w:color w:val="000000"/>
                <w:kern w:val="0"/>
                <w:sz w:val="15"/>
                <w:szCs w:val="15"/>
              </w:rPr>
              <w:t>　</w:t>
            </w:r>
            <w:r>
              <w:rPr>
                <w:rFonts w:hint="eastAsia" w:ascii="仿宋" w:hAnsi="仿宋" w:eastAsia="仿宋" w:cs="仿宋"/>
                <w:color w:val="000000"/>
                <w:kern w:val="0"/>
                <w:sz w:val="15"/>
                <w:szCs w:val="15"/>
                <w:lang w:val="en-US" w:eastAsia="zh-CN"/>
              </w:rPr>
              <w:t>5</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7209"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18"/>
                <w:szCs w:val="18"/>
              </w:rPr>
            </w:pPr>
            <w:r>
              <w:rPr>
                <w:color w:val="000000"/>
                <w:kern w:val="0"/>
                <w:sz w:val="18"/>
                <w:szCs w:val="18"/>
              </w:rPr>
              <w:t>100</w:t>
            </w:r>
          </w:p>
        </w:tc>
        <w:tc>
          <w:tcPr>
            <w:tcW w:w="9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18"/>
                <w:szCs w:val="18"/>
                <w:lang w:val="en-US" w:eastAsia="zh-CN"/>
              </w:rPr>
            </w:pPr>
            <w:r>
              <w:rPr>
                <w:rFonts w:hint="eastAsia"/>
                <w:color w:val="000000"/>
                <w:kern w:val="0"/>
                <w:sz w:val="18"/>
                <w:szCs w:val="18"/>
                <w:lang w:val="en-US" w:eastAsia="zh-CN"/>
              </w:rPr>
              <w:t>94.24</w:t>
            </w:r>
          </w:p>
        </w:tc>
        <w:tc>
          <w:tcPr>
            <w:tcW w:w="103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r>
    </w:tbl>
    <w:p>
      <w:pPr>
        <w:spacing w:line="240" w:lineRule="exact"/>
        <w:ind w:firstLine="0" w:firstLineChars="0"/>
      </w:pPr>
    </w:p>
    <w:p>
      <w:pPr>
        <w:spacing w:line="600" w:lineRule="exact"/>
        <w:ind w:firstLine="640"/>
      </w:pPr>
      <w:r>
        <w:br w:type="page"/>
      </w: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pStyle w:val="18"/>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 w:hAnsi="仿宋" w:eastAsia="仿宋" w:cs="仿宋"/>
          <w:color w:val="auto"/>
          <w:sz w:val="32"/>
          <w:szCs w:val="32"/>
          <w:lang w:val="en-US" w:eastAsia="zh-CN"/>
        </w:rPr>
      </w:pPr>
    </w:p>
    <w:p>
      <w:pPr>
        <w:rPr>
          <w:rFonts w:hint="eastAsia" w:ascii="仿宋" w:hAnsi="仿宋" w:eastAsia="仿宋" w:cs="仿宋"/>
          <w:sz w:val="32"/>
          <w:szCs w:val="32"/>
          <w:lang w:val="en-US" w:eastAsia="zh-CN"/>
        </w:rPr>
      </w:pPr>
    </w:p>
    <w:p>
      <w:pPr>
        <w:pStyle w:val="6"/>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1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FDAABA"/>
    <w:multiLevelType w:val="singleLevel"/>
    <w:tmpl w:val="9FFDAABA"/>
    <w:lvl w:ilvl="0" w:tentative="0">
      <w:start w:val="4"/>
      <w:numFmt w:val="chineseCounting"/>
      <w:suff w:val="nothing"/>
      <w:lvlText w:val="%1、"/>
      <w:lvlJc w:val="left"/>
      <w:rPr>
        <w:rFonts w:hint="eastAsia"/>
      </w:rPr>
    </w:lvl>
  </w:abstractNum>
  <w:abstractNum w:abstractNumId="1">
    <w:nsid w:val="DBDB1D47"/>
    <w:multiLevelType w:val="singleLevel"/>
    <w:tmpl w:val="DBDB1D47"/>
    <w:lvl w:ilvl="0" w:tentative="0">
      <w:start w:val="9"/>
      <w:numFmt w:val="chineseCounting"/>
      <w:suff w:val="nothing"/>
      <w:lvlText w:val="%1、"/>
      <w:lvlJc w:val="left"/>
      <w:rPr>
        <w:rFonts w:hint="eastAsia"/>
      </w:rPr>
    </w:lvl>
  </w:abstractNum>
  <w:abstractNum w:abstractNumId="2">
    <w:nsid w:val="1D7E4A0A"/>
    <w:multiLevelType w:val="singleLevel"/>
    <w:tmpl w:val="1D7E4A0A"/>
    <w:lvl w:ilvl="0" w:tentative="0">
      <w:start w:val="4"/>
      <w:numFmt w:val="decimal"/>
      <w:suff w:val="nothing"/>
      <w:lvlText w:val="%1、"/>
      <w:lvlJc w:val="left"/>
    </w:lvl>
  </w:abstractNum>
  <w:abstractNum w:abstractNumId="3">
    <w:nsid w:val="7EEC5F22"/>
    <w:multiLevelType w:val="singleLevel"/>
    <w:tmpl w:val="7EEC5F22"/>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413E"/>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28B9"/>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64204C4"/>
    <w:rsid w:val="169B7345"/>
    <w:rsid w:val="1C590213"/>
    <w:rsid w:val="1C8F6DD1"/>
    <w:rsid w:val="1D97DEFF"/>
    <w:rsid w:val="1DFF72E5"/>
    <w:rsid w:val="1EFC6F07"/>
    <w:rsid w:val="2FDF85B8"/>
    <w:rsid w:val="2FFFEE04"/>
    <w:rsid w:val="32151454"/>
    <w:rsid w:val="346066E2"/>
    <w:rsid w:val="34DF85B0"/>
    <w:rsid w:val="3B8F36BC"/>
    <w:rsid w:val="433430C7"/>
    <w:rsid w:val="491FF225"/>
    <w:rsid w:val="4FFD214C"/>
    <w:rsid w:val="5777D4F5"/>
    <w:rsid w:val="59DD8326"/>
    <w:rsid w:val="5DEF592A"/>
    <w:rsid w:val="5FC6BB1E"/>
    <w:rsid w:val="5FF720F1"/>
    <w:rsid w:val="67FF5C0B"/>
    <w:rsid w:val="68557D7F"/>
    <w:rsid w:val="6C6E2909"/>
    <w:rsid w:val="6C8A2C50"/>
    <w:rsid w:val="6EFC0924"/>
    <w:rsid w:val="6FB74722"/>
    <w:rsid w:val="6FEF8B7E"/>
    <w:rsid w:val="71A6591B"/>
    <w:rsid w:val="7226462A"/>
    <w:rsid w:val="737D59BA"/>
    <w:rsid w:val="77C37683"/>
    <w:rsid w:val="79D19834"/>
    <w:rsid w:val="79FF515B"/>
    <w:rsid w:val="7A2C3E1E"/>
    <w:rsid w:val="7A73285F"/>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4">
    <w:name w:val="heading 2"/>
    <w:basedOn w:val="1"/>
    <w:next w:val="1"/>
    <w:qFormat/>
    <w:uiPriority w:val="0"/>
    <w:pPr>
      <w:spacing w:line="579" w:lineRule="atLeast"/>
      <w:outlineLvl w:val="1"/>
    </w:pPr>
    <w:rPr>
      <w:rFonts w:eastAsia="黑体"/>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5">
    <w:name w:val="index 5"/>
    <w:basedOn w:val="1"/>
    <w:next w:val="1"/>
    <w:qFormat/>
    <w:uiPriority w:val="0"/>
    <w:pPr>
      <w:ind w:left="800" w:leftChars="800"/>
    </w:pPr>
    <w:rPr>
      <w:rFonts w:ascii="Calibri" w:hAnsi="Calibri"/>
      <w:szCs w:val="24"/>
    </w:rPr>
  </w:style>
  <w:style w:type="paragraph" w:styleId="6">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7">
    <w:name w:val="Body Text"/>
    <w:basedOn w:val="1"/>
    <w:next w:val="1"/>
    <w:unhideWhenUsed/>
    <w:qFormat/>
    <w:uiPriority w:val="99"/>
    <w:pPr>
      <w:adjustRightInd/>
      <w:snapToGrid/>
      <w:spacing w:after="120" w:line="240" w:lineRule="auto"/>
      <w:ind w:firstLine="0" w:firstLineChars="0"/>
    </w:pPr>
    <w:rPr>
      <w:rFonts w:ascii="Calibri" w:hAnsi="Calibri" w:eastAsia="宋体"/>
      <w:sz w:val="21"/>
      <w:szCs w:val="24"/>
    </w:rPr>
  </w:style>
  <w:style w:type="paragraph" w:styleId="8">
    <w:name w:val="Body Text Indent"/>
    <w:basedOn w:val="1"/>
    <w:next w:val="9"/>
    <w:unhideWhenUsed/>
    <w:qFormat/>
    <w:uiPriority w:val="99"/>
    <w:pPr>
      <w:widowControl/>
      <w:spacing w:after="120"/>
      <w:ind w:left="420" w:leftChars="200"/>
      <w:jc w:val="left"/>
    </w:pPr>
    <w:rPr>
      <w:rFonts w:ascii="宋体" w:hAnsi="宋体" w:eastAsia="宋体" w:cs="宋体"/>
      <w:kern w:val="0"/>
      <w:sz w:val="24"/>
    </w:rPr>
  </w:style>
  <w:style w:type="paragraph" w:styleId="9">
    <w:name w:val="Body Text First Indent 2"/>
    <w:basedOn w:val="8"/>
    <w:next w:val="6"/>
    <w:unhideWhenUsed/>
    <w:qFormat/>
    <w:uiPriority w:val="99"/>
    <w:pPr>
      <w:ind w:firstLine="420" w:firstLineChars="200"/>
    </w:pPr>
  </w:style>
  <w:style w:type="paragraph" w:styleId="10">
    <w:name w:val="Balloon Text"/>
    <w:basedOn w:val="1"/>
    <w:link w:val="20"/>
    <w:semiHidden/>
    <w:unhideWhenUsed/>
    <w:qFormat/>
    <w:uiPriority w:val="99"/>
    <w:rPr>
      <w:sz w:val="18"/>
      <w:szCs w:val="18"/>
    </w:rPr>
  </w:style>
  <w:style w:type="paragraph" w:styleId="11">
    <w:name w:val="footer"/>
    <w:basedOn w:val="1"/>
    <w:next w:val="5"/>
    <w:link w:val="17"/>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next w:val="9"/>
    <w:semiHidden/>
    <w:qFormat/>
    <w:uiPriority w:val="0"/>
    <w:pPr>
      <w:snapToGrid w:val="0"/>
      <w:jc w:val="left"/>
    </w:pPr>
    <w:rPr>
      <w:sz w:val="18"/>
      <w:szCs w:val="18"/>
    </w:rPr>
  </w:style>
  <w:style w:type="character" w:customStyle="1" w:styleId="16">
    <w:name w:val="页眉 Char"/>
    <w:basedOn w:val="15"/>
    <w:link w:val="12"/>
    <w:qFormat/>
    <w:uiPriority w:val="99"/>
    <w:rPr>
      <w:sz w:val="18"/>
      <w:szCs w:val="18"/>
    </w:rPr>
  </w:style>
  <w:style w:type="character" w:customStyle="1" w:styleId="17">
    <w:name w:val="页脚 Char"/>
    <w:basedOn w:val="15"/>
    <w:link w:val="11"/>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5"/>
    <w:link w:val="10"/>
    <w:semiHidden/>
    <w:qFormat/>
    <w:uiPriority w:val="99"/>
    <w:rPr>
      <w:sz w:val="18"/>
      <w:szCs w:val="18"/>
    </w:rPr>
  </w:style>
  <w:style w:type="character" w:customStyle="1" w:styleId="21">
    <w:name w:val="font01"/>
    <w:basedOn w:val="15"/>
    <w:qFormat/>
    <w:uiPriority w:val="0"/>
    <w:rPr>
      <w:rFonts w:hint="eastAsia" w:ascii="宋体" w:hAnsi="宋体" w:eastAsia="宋体" w:cs="宋体"/>
      <w:color w:val="000000"/>
      <w:sz w:val="22"/>
      <w:szCs w:val="22"/>
      <w:u w:val="none"/>
    </w:rPr>
  </w:style>
  <w:style w:type="character" w:customStyle="1" w:styleId="22">
    <w:name w:val="font21"/>
    <w:basedOn w:val="15"/>
    <w:qFormat/>
    <w:uiPriority w:val="0"/>
    <w:rPr>
      <w:rFonts w:hint="eastAsia" w:ascii="宋体" w:hAnsi="宋体" w:eastAsia="宋体" w:cs="宋体"/>
      <w:color w:val="000000"/>
      <w:sz w:val="24"/>
      <w:szCs w:val="24"/>
      <w:u w:val="none"/>
    </w:rPr>
  </w:style>
  <w:style w:type="character" w:customStyle="1" w:styleId="23">
    <w:name w:val="font11"/>
    <w:basedOn w:val="15"/>
    <w:qFormat/>
    <w:uiPriority w:val="0"/>
    <w:rPr>
      <w:rFonts w:hint="eastAsia" w:ascii="宋体" w:hAnsi="宋体" w:eastAsia="宋体" w:cs="宋体"/>
      <w:color w:val="000000"/>
      <w:sz w:val="24"/>
      <w:szCs w:val="24"/>
      <w:u w:val="none"/>
    </w:rPr>
  </w:style>
  <w:style w:type="paragraph" w:customStyle="1" w:styleId="24">
    <w:name w:val="列出段落1"/>
    <w:basedOn w:val="1"/>
    <w:qFormat/>
    <w:uiPriority w:val="0"/>
    <w:pPr>
      <w:adjustRightInd/>
      <w:snapToGrid/>
      <w:spacing w:line="360" w:lineRule="auto"/>
      <w:ind w:firstLine="420"/>
    </w:pPr>
    <w:rPr>
      <w:rFonts w:ascii="Calibri" w:hAnsi="Calibri" w:eastAsia="宋体"/>
      <w:sz w:val="24"/>
    </w:rPr>
  </w:style>
  <w:style w:type="paragraph" w:customStyle="1" w:styleId="25">
    <w:name w:val="标题二级"/>
    <w:basedOn w:val="1"/>
    <w:qFormat/>
    <w:uiPriority w:val="0"/>
    <w:pPr>
      <w:adjustRightInd w:val="0"/>
      <w:snapToGrid w:val="0"/>
      <w:spacing w:line="560" w:lineRule="exact"/>
      <w:ind w:firstLine="643" w:firstLineChars="200"/>
    </w:pPr>
    <w:rPr>
      <w:rFonts w:ascii="楷体" w:hAnsi="楷体" w:eastAsia="楷体" w:cs="楷体"/>
      <w:b/>
      <w:bCs/>
      <w:sz w:val="32"/>
      <w:szCs w:val="32"/>
    </w:rPr>
  </w:style>
  <w:style w:type="paragraph" w:customStyle="1" w:styleId="26">
    <w:name w:val="标题三级2020"/>
    <w:basedOn w:val="1"/>
    <w:qFormat/>
    <w:uiPriority w:val="0"/>
    <w:pPr>
      <w:autoSpaceDE w:val="0"/>
      <w:autoSpaceDN w:val="0"/>
      <w:adjustRightInd w:val="0"/>
      <w:spacing w:line="580" w:lineRule="exact"/>
      <w:ind w:firstLine="640" w:firstLineChars="200"/>
      <w:outlineLvl w:val="0"/>
    </w:pPr>
    <w:rPr>
      <w:rFonts w:hint="eastAsia" w:ascii="Times New Roman" w:hAnsi="Times New Roman" w:eastAsia="仿宋_GB2312"/>
      <w:b/>
      <w:bCs/>
      <w:color w:val="010101"/>
      <w:sz w:val="32"/>
      <w:szCs w:val="32"/>
    </w:rPr>
  </w:style>
  <w:style w:type="paragraph" w:customStyle="1" w:styleId="27">
    <w:name w:val="列表段落"/>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12879</Words>
  <Characters>15422</Characters>
  <Lines>69</Lines>
  <Paragraphs>19</Paragraphs>
  <TotalTime>8</TotalTime>
  <ScaleCrop>false</ScaleCrop>
  <LinksUpToDate>false</LinksUpToDate>
  <CharactersWithSpaces>16683</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lenovo</cp:lastModifiedBy>
  <cp:lastPrinted>2024-08-08T18:20:00Z</cp:lastPrinted>
  <dcterms:modified xsi:type="dcterms:W3CDTF">2025-09-15T08:08:59Z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