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rFonts w:ascii="Times New Roman" w:hAnsi="Times New Roman" w:cs="Times New Roman"/>
          <w:sz w:val="56"/>
          <w:szCs w:val="56"/>
        </w:rPr>
      </w:pPr>
    </w:p>
    <w:p>
      <w:pPr>
        <w:pStyle w:val="16"/>
        <w:jc w:val="center"/>
        <w:rPr>
          <w:rFonts w:ascii="Times New Roman" w:hAnsi="Times New Roman" w:cs="Times New Roman"/>
          <w:sz w:val="84"/>
          <w:szCs w:val="84"/>
        </w:rPr>
      </w:pPr>
    </w:p>
    <w:p>
      <w:pPr>
        <w:pStyle w:val="16"/>
        <w:jc w:val="center"/>
        <w:rPr>
          <w:rFonts w:ascii="Times New Roman" w:hAnsi="Times New Roman" w:cs="Times New Roman"/>
          <w:sz w:val="84"/>
          <w:szCs w:val="84"/>
        </w:rPr>
      </w:pPr>
    </w:p>
    <w:p>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6"/>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湖南省农业产业化发展服务</w:t>
      </w:r>
      <w:r>
        <w:rPr>
          <w:rFonts w:ascii="Times New Roman" w:hAnsi="Times New Roman" w:eastAsia="方正小标宋简体" w:cs="Times New Roman"/>
          <w:sz w:val="72"/>
          <w:szCs w:val="72"/>
        </w:rPr>
        <w:t>部门决算</w:t>
      </w:r>
    </w:p>
    <w:p>
      <w:pPr>
        <w:pStyle w:val="16"/>
        <w:jc w:val="center"/>
        <w:rPr>
          <w:rFonts w:ascii="Times New Roman" w:hAnsi="Times New Roman" w:eastAsia="方正小标宋_GBK" w:cs="Times New Roman"/>
          <w:sz w:val="56"/>
          <w:szCs w:val="56"/>
        </w:rPr>
      </w:pPr>
    </w:p>
    <w:p>
      <w:pPr>
        <w:pStyle w:val="16"/>
        <w:jc w:val="center"/>
        <w:rPr>
          <w:rFonts w:ascii="Times New Roman" w:hAnsi="Times New Roman" w:cs="Times New Roman"/>
          <w:sz w:val="56"/>
          <w:szCs w:val="56"/>
        </w:rPr>
      </w:pPr>
    </w:p>
    <w:p>
      <w:pPr>
        <w:pStyle w:val="16"/>
        <w:rPr>
          <w:rFonts w:ascii="Times New Roman" w:hAnsi="Times New Roman" w:cs="Times New Roman"/>
          <w:sz w:val="56"/>
          <w:szCs w:val="56"/>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pPr>
        <w:pStyle w:val="16"/>
        <w:spacing w:line="600" w:lineRule="exact"/>
        <w:jc w:val="both"/>
        <w:rPr>
          <w:rFonts w:ascii="Times New Roman" w:hAnsi="Times New Roman" w:cs="Times New Roman"/>
          <w:b/>
          <w:sz w:val="36"/>
          <w:szCs w:val="28"/>
        </w:rPr>
      </w:pPr>
    </w:p>
    <w:p>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6"/>
        <w:spacing w:line="600" w:lineRule="exact"/>
        <w:jc w:val="center"/>
        <w:rPr>
          <w:rFonts w:ascii="Times New Roman" w:hAnsi="Times New Roman" w:cs="Times New Roman"/>
          <w:b/>
          <w:sz w:val="36"/>
          <w:szCs w:val="28"/>
        </w:rPr>
      </w:pPr>
    </w:p>
    <w:p>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rPr>
        <w:t>湖南省农业产业化发展服务</w:t>
      </w:r>
      <w:r>
        <w:rPr>
          <w:rFonts w:ascii="Times New Roman" w:hAnsi="Times New Roman" w:cs="Times New Roman"/>
          <w:bCs/>
          <w:sz w:val="32"/>
          <w:szCs w:val="32"/>
        </w:rPr>
        <w:t>概况</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6"/>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1"/>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湖南省农业产业化发展服务</w:t>
      </w:r>
      <w:r>
        <w:rPr>
          <w:rFonts w:ascii="Times New Roman" w:hAnsi="Times New Roman" w:eastAsia="方正小标宋_GBK" w:cs="Times New Roman"/>
          <w:sz w:val="52"/>
          <w:szCs w:val="52"/>
        </w:rPr>
        <w:t>概况</w:t>
      </w:r>
    </w:p>
    <w:p>
      <w:pPr>
        <w:pStyle w:val="7"/>
        <w:ind w:left="0" w:leftChars="0" w:firstLine="0" w:firstLineChars="0"/>
        <w:rPr>
          <w:rFonts w:ascii="Times New Roman" w:hAnsi="Times New Roman" w:cs="Times New Roman"/>
        </w:rPr>
      </w:pPr>
    </w:p>
    <w:p>
      <w:pPr>
        <w:pStyle w:val="17"/>
        <w:spacing w:line="600" w:lineRule="exact"/>
        <w:ind w:firstLine="0" w:firstLineChars="0"/>
        <w:jc w:val="left"/>
        <w:rPr>
          <w:rFonts w:ascii="Times New Roman" w:hAnsi="Times New Roman" w:eastAsia="仿宋_GB2312"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spacing w:line="600" w:lineRule="exact"/>
        <w:ind w:firstLine="800" w:firstLineChars="25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（一）农产品加工服务体系建设；</w:t>
      </w:r>
    </w:p>
    <w:p>
      <w:pPr>
        <w:spacing w:line="600" w:lineRule="exact"/>
        <w:ind w:firstLine="800" w:firstLineChars="25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（二）农产品加工、包装、运输、贮藏新成果、新技术引进推广；</w:t>
      </w:r>
    </w:p>
    <w:p>
      <w:pPr>
        <w:spacing w:line="600" w:lineRule="exact"/>
        <w:ind w:firstLine="800" w:firstLineChars="25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（三）农产品加工与休闲农业从业人员职业技能培训与考核鉴定的业务指导；</w:t>
      </w:r>
    </w:p>
    <w:p>
      <w:pPr>
        <w:spacing w:line="600" w:lineRule="exact"/>
        <w:ind w:firstLine="800" w:firstLineChars="25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（四）返乡下乡人员创业创新业务指导及承担返乡农民工就地就近就业工作。</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仿宋_GB2312" w:hAnsi="仿宋_GB2312" w:eastAsia="仿宋_GB2312" w:cs="仿宋_GB2312"/>
          <w:bCs/>
          <w:kern w:val="0"/>
          <w:sz w:val="32"/>
          <w:szCs w:val="32"/>
        </w:rPr>
        <w:t>本单位隶属于湖南省农业农村厅的财政全额拨款正处级二级预算单位</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单位内设有综合科、创业指导科、技术推广科。</w:t>
      </w:r>
    </w:p>
    <w:p>
      <w:pPr>
        <w:widowControl/>
        <w:spacing w:line="600" w:lineRule="exact"/>
        <w:ind w:firstLine="640" w:firstLineChars="200"/>
        <w:rPr>
          <w:rFonts w:ascii="Times New Roman" w:hAnsi="Times New Roman" w:eastAsia="仿宋_GB2312" w:cs="Times New Roman"/>
          <w:sz w:val="28"/>
          <w:szCs w:val="32"/>
          <w:highlight w:val="yellow"/>
        </w:rPr>
      </w:pPr>
      <w:r>
        <w:rPr>
          <w:rFonts w:ascii="Times New Roman" w:hAnsi="Times New Roman" w:eastAsia="仿宋_GB2312" w:cs="Times New Roman"/>
          <w:bCs/>
          <w:kern w:val="0"/>
          <w:sz w:val="32"/>
          <w:szCs w:val="32"/>
        </w:rPr>
        <w:t>（二）决算单位构成。</w:t>
      </w:r>
      <w:r>
        <w:rPr>
          <w:rFonts w:hint="eastAsia" w:ascii="仿宋_GB2312" w:hAnsi="仿宋_GB2312" w:eastAsia="仿宋_GB2312" w:cs="仿宋_GB2312"/>
          <w:bCs/>
          <w:kern w:val="0"/>
          <w:sz w:val="32"/>
          <w:szCs w:val="32"/>
          <w:highlight w:val="none"/>
        </w:rPr>
        <w:t>湖南省农业产业化发展服务中心</w:t>
      </w:r>
      <w:r>
        <w:rPr>
          <w:rFonts w:hint="default" w:ascii="Times New Roman" w:hAnsi="Times New Roman" w:eastAsia="仿宋_GB2312" w:cs="Times New Roman"/>
          <w:bCs/>
          <w:kern w:val="0"/>
          <w:sz w:val="32"/>
          <w:szCs w:val="32"/>
          <w:highlight w:val="none"/>
        </w:rPr>
        <w:t>202</w:t>
      </w:r>
      <w:r>
        <w:rPr>
          <w:rFonts w:hint="default" w:ascii="Times New Roman" w:hAnsi="Times New Roman" w:eastAsia="仿宋_GB2312" w:cs="Times New Roman"/>
          <w:bCs/>
          <w:kern w:val="0"/>
          <w:sz w:val="32"/>
          <w:szCs w:val="32"/>
          <w:highlight w:val="none"/>
          <w:lang w:val="en-US" w:eastAsia="zh-CN"/>
        </w:rPr>
        <w:t>4</w:t>
      </w:r>
      <w:r>
        <w:rPr>
          <w:rFonts w:hint="default" w:ascii="Times New Roman" w:hAnsi="Times New Roman" w:eastAsia="仿宋_GB2312" w:cs="Times New Roman"/>
          <w:bCs/>
          <w:kern w:val="0"/>
          <w:sz w:val="32"/>
          <w:szCs w:val="32"/>
          <w:highlight w:val="none"/>
        </w:rPr>
        <w:t>年部</w:t>
      </w:r>
      <w:r>
        <w:rPr>
          <w:rFonts w:hint="eastAsia" w:ascii="仿宋_GB2312" w:hAnsi="仿宋_GB2312" w:eastAsia="仿宋_GB2312" w:cs="仿宋_GB2312"/>
          <w:bCs/>
          <w:kern w:val="0"/>
          <w:sz w:val="32"/>
          <w:szCs w:val="32"/>
          <w:highlight w:val="none"/>
        </w:rPr>
        <w:t>门决算汇总公开单位构成包括：湖南省农业产业化发展服务中心本级</w:t>
      </w:r>
      <w:r>
        <w:rPr>
          <w:rFonts w:hint="eastAsia" w:ascii="仿宋_GB2312" w:hAnsi="仿宋_GB2312" w:eastAsia="仿宋_GB2312" w:cs="仿宋_GB2312"/>
          <w:bCs/>
          <w:kern w:val="0"/>
          <w:sz w:val="32"/>
          <w:szCs w:val="32"/>
          <w:highlight w:val="none"/>
          <w:lang w:eastAsia="zh-CN"/>
        </w:rPr>
        <w:t>。</w:t>
      </w:r>
    </w:p>
    <w:p>
      <w:pPr>
        <w:jc w:val="center"/>
        <w:rPr>
          <w:rFonts w:ascii="Times New Roman" w:hAnsi="Times New Roman" w:eastAsia="黑体" w:cs="Times New Roman"/>
          <w:sz w:val="28"/>
          <w:szCs w:val="28"/>
          <w:highlight w:val="yellow"/>
        </w:rPr>
      </w:pPr>
    </w:p>
    <w:p>
      <w:pPr>
        <w:jc w:val="both"/>
        <w:rPr>
          <w:rFonts w:ascii="Times New Roman" w:hAnsi="Times New Roman" w:eastAsia="黑体" w:cs="Times New Roman"/>
          <w:sz w:val="28"/>
          <w:szCs w:val="28"/>
        </w:rPr>
      </w:pPr>
    </w:p>
    <w:p>
      <w:pPr>
        <w:pStyle w:val="11"/>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6"/>
        <w:jc w:val="center"/>
        <w:rPr>
          <w:rFonts w:ascii="Times New Roman" w:hAnsi="Times New Roman" w:eastAsia="方正小标宋_GBK" w:cs="Times New Roman"/>
          <w:sz w:val="52"/>
          <w:szCs w:val="52"/>
        </w:rPr>
      </w:pPr>
    </w:p>
    <w:p>
      <w:pPr>
        <w:pStyle w:val="16"/>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2"/>
        <w:tblW w:w="14896" w:type="dxa"/>
        <w:jc w:val="center"/>
        <w:tblLayout w:type="autofit"/>
        <w:tblCellMar>
          <w:top w:w="0" w:type="dxa"/>
          <w:left w:w="108" w:type="dxa"/>
          <w:bottom w:w="0" w:type="dxa"/>
          <w:right w:w="108" w:type="dxa"/>
        </w:tblCellMar>
      </w:tblPr>
      <w:tblGrid>
        <w:gridCol w:w="5762"/>
        <w:gridCol w:w="850"/>
        <w:gridCol w:w="1291"/>
        <w:gridCol w:w="4851"/>
        <w:gridCol w:w="850"/>
        <w:gridCol w:w="1292"/>
      </w:tblGrid>
      <w:tr>
        <w:tblPrEx>
          <w:tblCellMar>
            <w:top w:w="0" w:type="dxa"/>
            <w:left w:w="108" w:type="dxa"/>
            <w:bottom w:w="0" w:type="dxa"/>
            <w:right w:w="108" w:type="dxa"/>
          </w:tblCellMar>
        </w:tblPrEx>
        <w:trPr>
          <w:trHeight w:val="340" w:hRule="exac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收入</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支出</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仿宋_GB2312" w:cs="Times New Roman"/>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仿宋_GB2312" w:cs="Times New Roman"/>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499.94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0.46</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r>
              <w:rPr>
                <w:rFonts w:hint="eastAsia" w:ascii="Times New Roman" w:hAnsi="Times New Roman" w:eastAsia="仿宋_GB2312" w:cs="Times New Roman"/>
                <w:b w:val="0"/>
                <w:bCs w:val="0"/>
                <w:color w:val="000000"/>
                <w:sz w:val="22"/>
              </w:rPr>
              <w:t>52.41</w:t>
            </w: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val="0"/>
                <w:color w:val="000000"/>
                <w:sz w:val="22"/>
                <w:lang w:val="en-US" w:eastAsia="zh-CN"/>
              </w:rPr>
            </w:pPr>
            <w:r>
              <w:rPr>
                <w:rFonts w:hint="eastAsia" w:ascii="Times New Roman" w:hAnsi="Times New Roman" w:eastAsia="仿宋_GB2312" w:cs="Times New Roman"/>
                <w:b w:val="0"/>
                <w:bCs w:val="0"/>
                <w:color w:val="000000"/>
                <w:sz w:val="22"/>
              </w:rPr>
              <w:t>1</w:t>
            </w:r>
            <w:r>
              <w:rPr>
                <w:rFonts w:hint="eastAsia" w:ascii="Times New Roman" w:hAnsi="Times New Roman" w:eastAsia="仿宋_GB2312" w:cs="Times New Roman"/>
                <w:b w:val="0"/>
                <w:bCs w:val="0"/>
                <w:color w:val="000000"/>
                <w:sz w:val="22"/>
                <w:lang w:val="en-US" w:eastAsia="zh-CN"/>
              </w:rPr>
              <w:t>.00</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r>
              <w:rPr>
                <w:rFonts w:hint="eastAsia" w:ascii="Times New Roman" w:hAnsi="Times New Roman" w:eastAsia="仿宋_GB2312" w:cs="Times New Roman"/>
                <w:b w:val="0"/>
                <w:bCs w:val="0"/>
                <w:color w:val="000000"/>
                <w:sz w:val="22"/>
              </w:rPr>
              <w:t>331.32</w:t>
            </w: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ordWrap w:val="0"/>
              <w:jc w:val="right"/>
              <w:rPr>
                <w:rFonts w:hint="eastAsia" w:ascii="Times New Roman" w:hAnsi="Times New Roman" w:eastAsia="仿宋_GB2312" w:cs="Times New Roman"/>
                <w:b w:val="0"/>
                <w:bCs w:val="0"/>
                <w:color w:val="000000"/>
                <w:sz w:val="22"/>
                <w:lang w:val="en-US" w:eastAsia="zh-CN"/>
              </w:rPr>
            </w:pPr>
            <w:r>
              <w:rPr>
                <w:rFonts w:hint="eastAsia" w:ascii="Times New Roman" w:hAnsi="Times New Roman" w:eastAsia="仿宋_GB2312" w:cs="Times New Roman"/>
                <w:b w:val="0"/>
                <w:bCs w:val="0"/>
                <w:color w:val="000000"/>
                <w:sz w:val="22"/>
              </w:rPr>
              <w:t>18.5</w:t>
            </w:r>
            <w:r>
              <w:rPr>
                <w:rFonts w:hint="eastAsia" w:ascii="Times New Roman" w:hAnsi="Times New Roman" w:eastAsia="仿宋_GB2312" w:cs="Times New Roman"/>
                <w:b w:val="0"/>
                <w:bCs w:val="0"/>
                <w:color w:val="000000"/>
                <w:sz w:val="22"/>
                <w:lang w:val="en-US" w:eastAsia="zh-CN"/>
              </w:rPr>
              <w:t>0</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0"/>
                <w:sz w:val="22"/>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kern w:val="2"/>
                <w:sz w:val="22"/>
                <w:szCs w:val="22"/>
                <w:lang w:val="en-US" w:eastAsia="zh-CN" w:bidi="ar-SA"/>
              </w:rPr>
            </w:pPr>
            <w:r>
              <w:rPr>
                <w:rFonts w:ascii="Times New Roman" w:hAnsi="Times New Roman" w:eastAsia="仿宋_GB2312" w:cs="Times New Roman"/>
                <w:b/>
                <w:color w:val="000000"/>
                <w:kern w:val="0"/>
                <w:sz w:val="22"/>
                <w:lang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sz w:val="22"/>
                <w:lang w:val="en-US" w:eastAsia="zh-CN"/>
              </w:rPr>
              <w:t>499.94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kern w:val="2"/>
                <w:sz w:val="22"/>
                <w:szCs w:val="22"/>
                <w:lang w:val="en-US" w:eastAsia="zh-CN" w:bidi="ar-SA"/>
              </w:rPr>
            </w:pPr>
            <w:r>
              <w:rPr>
                <w:rFonts w:ascii="Times New Roman" w:hAnsi="Times New Roman" w:eastAsia="仿宋_GB2312" w:cs="Times New Roman"/>
                <w:b/>
                <w:color w:val="000000"/>
                <w:kern w:val="0"/>
                <w:sz w:val="22"/>
                <w:lang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403.68</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2"/>
                <w:sz w:val="22"/>
                <w:szCs w:val="22"/>
                <w:lang w:val="en-US" w:eastAsia="zh-CN" w:bidi="ar-SA"/>
              </w:rPr>
            </w:pPr>
            <w:r>
              <w:rPr>
                <w:rFonts w:ascii="Times New Roman" w:hAnsi="Times New Roman" w:eastAsia="仿宋_GB2312" w:cs="Times New Roman"/>
                <w:color w:val="000000"/>
                <w:kern w:val="0"/>
                <w:sz w:val="22"/>
                <w:lang w:bidi="ar"/>
              </w:rPr>
              <w:t xml:space="preserve">    使用非财政拨款结余（含专用结余）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kern w:val="2"/>
                <w:sz w:val="22"/>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2"/>
                <w:sz w:val="22"/>
                <w:szCs w:val="22"/>
                <w:lang w:val="en-US" w:eastAsia="zh-CN" w:bidi="ar-SA"/>
              </w:rPr>
            </w:pPr>
            <w:r>
              <w:rPr>
                <w:rFonts w:ascii="Times New Roman" w:hAnsi="Times New Roman" w:eastAsia="仿宋_GB2312" w:cs="Times New Roman"/>
                <w:color w:val="000000"/>
                <w:kern w:val="0"/>
                <w:sz w:val="22"/>
                <w:lang w:bidi="ar"/>
              </w:rPr>
              <w:t xml:space="preserve">                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r>
      <w:tr>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2"/>
                <w:sz w:val="22"/>
                <w:szCs w:val="22"/>
                <w:lang w:val="en-US" w:eastAsia="zh-CN" w:bidi="ar-SA"/>
              </w:rPr>
            </w:pPr>
            <w:r>
              <w:rPr>
                <w:rFonts w:ascii="Times New Roman" w:hAnsi="Times New Roman" w:eastAsia="仿宋_GB2312" w:cs="Times New Roman"/>
                <w:color w:val="000000"/>
                <w:kern w:val="0"/>
                <w:sz w:val="22"/>
                <w:lang w:bidi="ar"/>
              </w:rPr>
              <w:t xml:space="preserve">         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sz w:val="22"/>
              </w:rPr>
              <w:t>7.74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2"/>
                <w:sz w:val="22"/>
                <w:szCs w:val="22"/>
                <w:lang w:val="en-US" w:eastAsia="zh-CN" w:bidi="ar-SA"/>
              </w:rPr>
            </w:pPr>
            <w:r>
              <w:rPr>
                <w:rFonts w:ascii="Times New Roman" w:hAnsi="Times New Roman" w:eastAsia="仿宋_GB2312" w:cs="Times New Roman"/>
                <w:color w:val="000000"/>
                <w:kern w:val="0"/>
                <w:sz w:val="22"/>
                <w:lang w:bidi="ar"/>
              </w:rPr>
              <w:t xml:space="preserve">                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104.00</w:t>
            </w:r>
          </w:p>
        </w:tc>
      </w:tr>
      <w:tr>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2"/>
                <w:sz w:val="22"/>
                <w:szCs w:val="22"/>
                <w:lang w:val="en-US" w:eastAsia="zh-CN" w:bidi="ar-SA"/>
              </w:rPr>
            </w:pPr>
            <w:r>
              <w:rPr>
                <w:rFonts w:ascii="Times New Roman" w:hAnsi="Times New Roman" w:eastAsia="仿宋_GB2312" w:cs="Times New Roman"/>
                <w:b/>
                <w:color w:val="000000"/>
                <w:kern w:val="0"/>
                <w:sz w:val="22"/>
                <w:lang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kern w:val="2"/>
                <w:sz w:val="22"/>
                <w:szCs w:val="22"/>
                <w:lang w:val="en-US" w:eastAsia="zh-CN" w:bidi="ar-SA"/>
              </w:rPr>
            </w:pPr>
            <w:r>
              <w:rPr>
                <w:rFonts w:hint="eastAsia" w:ascii="Times New Roman" w:hAnsi="Times New Roman" w:eastAsia="仿宋_GB2312" w:cs="Times New Roman"/>
                <w:color w:val="000000"/>
                <w:sz w:val="22"/>
              </w:rPr>
              <w:t>507.68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kern w:val="2"/>
                <w:sz w:val="22"/>
                <w:szCs w:val="22"/>
                <w:lang w:val="en-US" w:eastAsia="zh-CN" w:bidi="ar-SA"/>
              </w:rPr>
            </w:pPr>
            <w:r>
              <w:rPr>
                <w:rFonts w:ascii="Times New Roman" w:hAnsi="Times New Roman" w:eastAsia="仿宋_GB2312" w:cs="Times New Roman"/>
                <w:b/>
                <w:color w:val="000000"/>
                <w:kern w:val="0"/>
                <w:sz w:val="22"/>
                <w:lang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507.68</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rPr>
        <w:t>湖南省农业产业化发展服务中心</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2"/>
        <w:tblW w:w="14666" w:type="dxa"/>
        <w:jc w:val="center"/>
        <w:tblLayout w:type="fixed"/>
        <w:tblCellMar>
          <w:top w:w="0" w:type="dxa"/>
          <w:left w:w="0" w:type="dxa"/>
          <w:bottom w:w="0" w:type="dxa"/>
          <w:right w:w="0" w:type="dxa"/>
        </w:tblCellMar>
      </w:tblPr>
      <w:tblGrid>
        <w:gridCol w:w="1886"/>
        <w:gridCol w:w="1300"/>
        <w:gridCol w:w="1640"/>
        <w:gridCol w:w="1640"/>
        <w:gridCol w:w="1640"/>
        <w:gridCol w:w="1640"/>
        <w:gridCol w:w="1640"/>
        <w:gridCol w:w="1897"/>
        <w:gridCol w:w="1383"/>
      </w:tblGrid>
      <w:tr>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189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38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tblPrEx>
          <w:tblCellMar>
            <w:top w:w="0" w:type="dxa"/>
            <w:left w:w="0" w:type="dxa"/>
            <w:bottom w:w="0" w:type="dxa"/>
            <w:right w:w="0" w:type="dxa"/>
          </w:tblCellMar>
        </w:tblPrEx>
        <w:trPr>
          <w:trHeight w:val="334" w:hRule="exact"/>
          <w:jc w:val="center"/>
        </w:trPr>
        <w:tc>
          <w:tcPr>
            <w:tcW w:w="188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130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12"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00" w:type="dxa"/>
            <w:vMerge w:val="continue"/>
            <w:tcBorders>
              <w:top w:val="nil"/>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1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38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499.94</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499.94</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b/>
                <w:bCs/>
                <w:color w:val="000000"/>
                <w:sz w:val="22"/>
                <w:lang w:val="en-US" w:eastAsia="zh-CN"/>
              </w:rPr>
            </w:pPr>
            <w:r>
              <w:rPr>
                <w:rFonts w:hint="eastAsia" w:ascii="Times New Roman" w:hAnsi="Times New Roman" w:eastAsia="仿宋_GB2312" w:cs="Times New Roman"/>
                <w:b/>
                <w:bCs/>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2050803</w:t>
            </w:r>
          </w:p>
        </w:tc>
        <w:tc>
          <w:tcPr>
            <w:tcW w:w="130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Times New Roman" w:hAnsi="Times New Roman" w:eastAsia="仿宋_GB2312" w:cs="Times New Roman"/>
                <w:sz w:val="24"/>
                <w:szCs w:val="24"/>
              </w:rPr>
            </w:pPr>
            <w:r>
              <w:rPr>
                <w:rFonts w:hint="eastAsia" w:ascii="Times New Roman" w:hAnsi="Times New Roman" w:eastAsia="仿宋_GB2312" w:cs="Times New Roman"/>
              </w:rPr>
              <w:t>培训支出</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0.50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0.50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2080502</w:t>
            </w:r>
          </w:p>
        </w:tc>
        <w:tc>
          <w:tcPr>
            <w:tcW w:w="1300" w:type="dxa"/>
            <w:tcBorders>
              <w:top w:val="nil"/>
              <w:left w:val="nil"/>
              <w:bottom w:val="single" w:color="auto" w:sz="4" w:space="0"/>
              <w:right w:val="single" w:color="auto" w:sz="4" w:space="0"/>
            </w:tcBorders>
            <w:shd w:val="solid" w:color="FFFFFF" w:fill="auto"/>
            <w:noWrap/>
            <w:tcMar>
              <w:top w:w="15" w:type="dxa"/>
              <w:left w:w="15" w:type="dxa"/>
              <w:bottom w:w="0" w:type="dxa"/>
              <w:right w:w="15" w:type="dxa"/>
            </w:tcMar>
            <w:vAlign w:val="center"/>
          </w:tcPr>
          <w:p>
            <w:pPr>
              <w:jc w:val="both"/>
              <w:rPr>
                <w:rFonts w:hint="eastAsia" w:ascii="Times New Roman" w:hAnsi="Times New Roman" w:eastAsia="仿宋_GB2312" w:cs="Times New Roman"/>
                <w:lang w:val="en-US" w:eastAsia="zh-CN"/>
              </w:rPr>
            </w:pPr>
            <w:r>
              <w:rPr>
                <w:rFonts w:hint="eastAsia" w:ascii="Times New Roman" w:hAnsi="Times New Roman" w:eastAsia="仿宋_GB2312" w:cs="Times New Roman"/>
              </w:rPr>
              <w:t>事业单位离退休</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40.48</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40.48</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solid" w:color="FFFFFF" w:fill="auto"/>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2080505</w:t>
            </w:r>
          </w:p>
        </w:tc>
        <w:tc>
          <w:tcPr>
            <w:tcW w:w="1300" w:type="dxa"/>
            <w:tcBorders>
              <w:top w:val="nil"/>
              <w:left w:val="nil"/>
              <w:bottom w:val="single" w:color="auto" w:sz="4" w:space="0"/>
              <w:right w:val="single" w:color="auto" w:sz="4" w:space="0"/>
            </w:tcBorders>
            <w:shd w:val="solid" w:color="FFFFFF" w:fill="auto"/>
            <w:noWrap/>
            <w:tcMar>
              <w:top w:w="15" w:type="dxa"/>
              <w:left w:w="15" w:type="dxa"/>
              <w:bottom w:w="0" w:type="dxa"/>
              <w:right w:w="15" w:type="dxa"/>
            </w:tcMar>
            <w:vAlign w:val="center"/>
          </w:tcPr>
          <w:p>
            <w:pPr>
              <w:jc w:val="both"/>
              <w:rPr>
                <w:rFonts w:hint="eastAsia" w:ascii="Times New Roman" w:hAnsi="Times New Roman" w:eastAsia="仿宋_GB2312" w:cs="Times New Roman"/>
                <w:lang w:val="en-US" w:eastAsia="zh-CN"/>
              </w:rPr>
            </w:pPr>
            <w:r>
              <w:rPr>
                <w:rFonts w:hint="eastAsia" w:ascii="Times New Roman" w:hAnsi="Times New Roman" w:eastAsia="仿宋_GB2312" w:cs="Times New Roman"/>
              </w:rPr>
              <w:t>机关事业单位基本养老保险缴费支出</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21.00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21.00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solid" w:color="FFFFFF" w:fill="auto"/>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2101102</w:t>
            </w:r>
          </w:p>
        </w:tc>
        <w:tc>
          <w:tcPr>
            <w:tcW w:w="1300" w:type="dxa"/>
            <w:tcBorders>
              <w:top w:val="nil"/>
              <w:left w:val="nil"/>
              <w:bottom w:val="single" w:color="auto" w:sz="4" w:space="0"/>
              <w:right w:val="single" w:color="auto" w:sz="4" w:space="0"/>
            </w:tcBorders>
            <w:shd w:val="solid" w:color="FFFFFF" w:fill="auto"/>
            <w:noWrap/>
            <w:tcMar>
              <w:top w:w="15" w:type="dxa"/>
              <w:left w:w="15" w:type="dxa"/>
              <w:bottom w:w="0" w:type="dxa"/>
              <w:right w:w="15" w:type="dxa"/>
            </w:tcMar>
            <w:vAlign w:val="center"/>
          </w:tcPr>
          <w:p>
            <w:pPr>
              <w:jc w:val="both"/>
              <w:rPr>
                <w:rFonts w:hint="eastAsia" w:ascii="Times New Roman" w:hAnsi="Times New Roman" w:eastAsia="仿宋_GB2312" w:cs="Times New Roman"/>
                <w:lang w:val="en-US" w:eastAsia="zh-CN"/>
              </w:rPr>
            </w:pPr>
            <w:r>
              <w:rPr>
                <w:rFonts w:hint="eastAsia" w:ascii="Times New Roman" w:hAnsi="Times New Roman" w:eastAsia="仿宋_GB2312" w:cs="Times New Roman"/>
              </w:rPr>
              <w:t>事业单位医疗</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solid" w:color="FFFFFF" w:fill="auto"/>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2130104</w:t>
            </w:r>
          </w:p>
        </w:tc>
        <w:tc>
          <w:tcPr>
            <w:tcW w:w="1300" w:type="dxa"/>
            <w:tcBorders>
              <w:top w:val="nil"/>
              <w:left w:val="nil"/>
              <w:bottom w:val="single" w:color="auto" w:sz="4" w:space="0"/>
              <w:right w:val="single" w:color="auto" w:sz="4" w:space="0"/>
            </w:tcBorders>
            <w:shd w:val="solid" w:color="FFFFFF" w:fill="auto"/>
            <w:noWrap/>
            <w:tcMar>
              <w:top w:w="15" w:type="dxa"/>
              <w:left w:w="15" w:type="dxa"/>
              <w:bottom w:w="0" w:type="dxa"/>
              <w:right w:w="15" w:type="dxa"/>
            </w:tcMar>
            <w:vAlign w:val="center"/>
          </w:tcPr>
          <w:p>
            <w:pPr>
              <w:jc w:val="both"/>
              <w:rPr>
                <w:rFonts w:hint="eastAsia" w:ascii="Times New Roman" w:hAnsi="Times New Roman" w:eastAsia="仿宋_GB2312" w:cs="Times New Roman"/>
                <w:lang w:val="en-US" w:eastAsia="zh-CN"/>
              </w:rPr>
            </w:pPr>
            <w:r>
              <w:rPr>
                <w:rFonts w:hint="eastAsia" w:ascii="Times New Roman" w:hAnsi="Times New Roman" w:eastAsia="仿宋_GB2312" w:cs="Times New Roman"/>
              </w:rPr>
              <w:t>事业运行</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227.85</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227.85</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nil"/>
              <w:left w:val="nil"/>
              <w:bottom w:val="single" w:color="auto" w:sz="4" w:space="0"/>
              <w:right w:val="single" w:color="auto"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solid" w:color="FFFFFF" w:fill="auto"/>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2130122</w:t>
            </w:r>
          </w:p>
        </w:tc>
        <w:tc>
          <w:tcPr>
            <w:tcW w:w="1300" w:type="dxa"/>
            <w:tcBorders>
              <w:top w:val="single" w:color="000000" w:sz="4" w:space="0"/>
              <w:left w:val="single" w:color="000000" w:sz="4" w:space="0"/>
              <w:bottom w:val="single" w:color="000000" w:sz="4" w:space="0"/>
              <w:right w:val="single" w:color="000000" w:sz="4" w:space="0"/>
              <w:tl2br w:val="nil"/>
            </w:tcBorders>
            <w:shd w:val="solid" w:color="FFFFFF" w:fill="auto"/>
            <w:noWrap/>
            <w:tcMar>
              <w:top w:w="15" w:type="dxa"/>
              <w:left w:w="15" w:type="dxa"/>
              <w:bottom w:w="0" w:type="dxa"/>
              <w:right w:w="15" w:type="dxa"/>
            </w:tcMar>
            <w:vAlign w:val="center"/>
          </w:tcPr>
          <w:p>
            <w:pPr>
              <w:jc w:val="both"/>
              <w:rPr>
                <w:rFonts w:hint="eastAsia" w:ascii="Times New Roman" w:hAnsi="Times New Roman" w:eastAsia="仿宋_GB2312" w:cs="Times New Roman"/>
                <w:lang w:val="en-US" w:eastAsia="zh-CN"/>
              </w:rPr>
            </w:pPr>
            <w:r>
              <w:rPr>
                <w:rFonts w:hint="eastAsia" w:ascii="Times New Roman" w:hAnsi="Times New Roman" w:eastAsia="仿宋_GB2312" w:cs="Times New Roman"/>
              </w:rPr>
              <w:t>农业生产发展</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189.50</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189.50</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tblPrEx>
          <w:tblCellMar>
            <w:top w:w="0" w:type="dxa"/>
            <w:left w:w="0" w:type="dxa"/>
            <w:bottom w:w="0" w:type="dxa"/>
            <w:right w:w="0" w:type="dxa"/>
          </w:tblCellMar>
        </w:tblPrEx>
        <w:trPr>
          <w:trHeight w:val="450" w:hRule="atLeast"/>
          <w:jc w:val="center"/>
        </w:trPr>
        <w:tc>
          <w:tcPr>
            <w:tcW w:w="1886" w:type="dxa"/>
            <w:tcBorders>
              <w:top w:val="single" w:color="auto" w:sz="4" w:space="0"/>
              <w:left w:val="single" w:color="auto" w:sz="4" w:space="0"/>
              <w:bottom w:val="single" w:color="auto" w:sz="4" w:space="0"/>
              <w:right w:val="single" w:color="auto" w:sz="4" w:space="0"/>
            </w:tcBorders>
            <w:shd w:val="solid" w:color="FFFFFF" w:fill="auto"/>
            <w:noWrap/>
            <w:tcMar>
              <w:top w:w="15" w:type="dxa"/>
              <w:left w:w="15" w:type="dxa"/>
              <w:bottom w:w="0" w:type="dxa"/>
              <w:right w:w="15" w:type="dxa"/>
            </w:tcMar>
            <w:vAlign w:val="center"/>
          </w:tcPr>
          <w:p>
            <w:pPr>
              <w:jc w:val="center"/>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2210201</w:t>
            </w:r>
          </w:p>
        </w:tc>
        <w:tc>
          <w:tcPr>
            <w:tcW w:w="1300" w:type="dxa"/>
            <w:tcBorders>
              <w:top w:val="single" w:color="000000" w:sz="4" w:space="0"/>
              <w:left w:val="single" w:color="000000" w:sz="4" w:space="0"/>
              <w:bottom w:val="single" w:color="000000" w:sz="4" w:space="0"/>
              <w:right w:val="single" w:color="000000" w:sz="4" w:space="0"/>
            </w:tcBorders>
            <w:shd w:val="solid" w:color="FFFFFF" w:fill="auto"/>
            <w:noWrap/>
            <w:tcMar>
              <w:top w:w="15" w:type="dxa"/>
              <w:left w:w="15" w:type="dxa"/>
              <w:bottom w:w="0" w:type="dxa"/>
              <w:right w:w="15" w:type="dxa"/>
            </w:tcMar>
            <w:vAlign w:val="center"/>
          </w:tcPr>
          <w:p>
            <w:pPr>
              <w:jc w:val="both"/>
              <w:rPr>
                <w:rFonts w:hint="eastAsia" w:ascii="Times New Roman" w:hAnsi="Times New Roman" w:eastAsia="仿宋_GB2312" w:cs="Times New Roman"/>
                <w:lang w:val="en-US" w:eastAsia="zh-CN"/>
              </w:rPr>
            </w:pPr>
            <w:r>
              <w:rPr>
                <w:rFonts w:hint="eastAsia" w:ascii="Times New Roman" w:hAnsi="Times New Roman" w:eastAsia="仿宋_GB2312" w:cs="Times New Roman"/>
              </w:rPr>
              <w:t>住房公积金</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19.61</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19.61</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6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8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38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bottom w:w="0" w:type="dxa"/>
              <w:right w:w="15" w:type="dxa"/>
            </w:tcMar>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both"/>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2"/>
        <w:tblW w:w="4996" w:type="pct"/>
        <w:jc w:val="center"/>
        <w:tblLayout w:type="autofit"/>
        <w:tblCellMar>
          <w:top w:w="0" w:type="dxa"/>
          <w:left w:w="108" w:type="dxa"/>
          <w:bottom w:w="0" w:type="dxa"/>
          <w:right w:w="108" w:type="dxa"/>
        </w:tblCellMar>
      </w:tblPr>
      <w:tblGrid>
        <w:gridCol w:w="2078"/>
        <w:gridCol w:w="3740"/>
        <w:gridCol w:w="1533"/>
        <w:gridCol w:w="990"/>
        <w:gridCol w:w="990"/>
        <w:gridCol w:w="1533"/>
        <w:gridCol w:w="990"/>
        <w:gridCol w:w="2355"/>
      </w:tblGrid>
      <w:tr>
        <w:tblPrEx>
          <w:tblCellMar>
            <w:top w:w="0" w:type="dxa"/>
            <w:left w:w="108" w:type="dxa"/>
            <w:bottom w:w="0" w:type="dxa"/>
            <w:right w:w="108" w:type="dxa"/>
          </w:tblCellMar>
        </w:tblPrEx>
        <w:trPr>
          <w:trHeight w:val="595" w:hRule="atLeast"/>
          <w:jc w:val="center"/>
        </w:trPr>
        <w:tc>
          <w:tcPr>
            <w:tcW w:w="204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    目</w:t>
            </w:r>
          </w:p>
        </w:tc>
        <w:tc>
          <w:tcPr>
            <w:tcW w:w="539"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本年支出合计</w:t>
            </w:r>
          </w:p>
        </w:tc>
        <w:tc>
          <w:tcPr>
            <w:tcW w:w="348"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基本支出</w:t>
            </w:r>
          </w:p>
        </w:tc>
        <w:tc>
          <w:tcPr>
            <w:tcW w:w="348"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项目支出</w:t>
            </w:r>
          </w:p>
        </w:tc>
        <w:tc>
          <w:tcPr>
            <w:tcW w:w="539"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上缴上级支出</w:t>
            </w:r>
          </w:p>
        </w:tc>
        <w:tc>
          <w:tcPr>
            <w:tcW w:w="348"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经营支出</w:t>
            </w:r>
          </w:p>
        </w:tc>
        <w:tc>
          <w:tcPr>
            <w:tcW w:w="828"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对附属单位补助支出</w:t>
            </w:r>
          </w:p>
        </w:tc>
      </w:tr>
      <w:tr>
        <w:tblPrEx>
          <w:tblCellMar>
            <w:top w:w="0" w:type="dxa"/>
            <w:left w:w="108" w:type="dxa"/>
            <w:bottom w:w="0" w:type="dxa"/>
            <w:right w:w="108" w:type="dxa"/>
          </w:tblCellMar>
        </w:tblPrEx>
        <w:trPr>
          <w:trHeight w:val="312" w:hRule="exact"/>
          <w:jc w:val="center"/>
        </w:trPr>
        <w:tc>
          <w:tcPr>
            <w:tcW w:w="731"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功能分类科目编码</w:t>
            </w:r>
          </w:p>
        </w:tc>
        <w:tc>
          <w:tcPr>
            <w:tcW w:w="1314"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科目名称</w:t>
            </w: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82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r>
      <w:tr>
        <w:tblPrEx>
          <w:tblCellMar>
            <w:top w:w="0" w:type="dxa"/>
            <w:left w:w="108" w:type="dxa"/>
            <w:bottom w:w="0" w:type="dxa"/>
            <w:right w:w="108" w:type="dxa"/>
          </w:tblCellMar>
        </w:tblPrEx>
        <w:trPr>
          <w:trHeight w:val="595" w:hRule="atLeast"/>
          <w:jc w:val="center"/>
        </w:trPr>
        <w:tc>
          <w:tcPr>
            <w:tcW w:w="73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314"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82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595" w:hRule="atLeast"/>
          <w:jc w:val="center"/>
        </w:trPr>
        <w:tc>
          <w:tcPr>
            <w:tcW w:w="2046" w:type="pct"/>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栏次</w:t>
            </w:r>
          </w:p>
        </w:tc>
        <w:tc>
          <w:tcPr>
            <w:tcW w:w="539"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48"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348"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539"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348"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828"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r>
      <w:tr>
        <w:tblPrEx>
          <w:tblCellMar>
            <w:top w:w="0" w:type="dxa"/>
            <w:left w:w="108" w:type="dxa"/>
            <w:bottom w:w="0" w:type="dxa"/>
            <w:right w:w="108" w:type="dxa"/>
          </w:tblCellMar>
        </w:tblPrEx>
        <w:trPr>
          <w:trHeight w:val="595" w:hRule="atLeast"/>
          <w:jc w:val="center"/>
        </w:trPr>
        <w:tc>
          <w:tcPr>
            <w:tcW w:w="2046" w:type="pct"/>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539"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403.68</w:t>
            </w: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260.71</w:t>
            </w: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142.97</w:t>
            </w:r>
          </w:p>
        </w:tc>
        <w:tc>
          <w:tcPr>
            <w:tcW w:w="539"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34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2050803</w:t>
            </w:r>
          </w:p>
        </w:tc>
        <w:tc>
          <w:tcPr>
            <w:tcW w:w="1314"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培训支出</w:t>
            </w:r>
          </w:p>
        </w:tc>
        <w:tc>
          <w:tcPr>
            <w:tcW w:w="539"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0.46</w:t>
            </w:r>
          </w:p>
        </w:tc>
        <w:tc>
          <w:tcPr>
            <w:tcW w:w="348" w:type="pct"/>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0.46</w:t>
            </w:r>
          </w:p>
        </w:tc>
        <w:tc>
          <w:tcPr>
            <w:tcW w:w="539"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34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2080502</w:t>
            </w:r>
          </w:p>
        </w:tc>
        <w:tc>
          <w:tcPr>
            <w:tcW w:w="1314"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事业单位离退休</w:t>
            </w:r>
          </w:p>
        </w:tc>
        <w:tc>
          <w:tcPr>
            <w:tcW w:w="539"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31.41</w:t>
            </w: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31.41</w:t>
            </w:r>
          </w:p>
        </w:tc>
        <w:tc>
          <w:tcPr>
            <w:tcW w:w="348" w:type="pct"/>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539"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34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2080505</w:t>
            </w:r>
          </w:p>
        </w:tc>
        <w:tc>
          <w:tcPr>
            <w:tcW w:w="1314"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机关事业单位基本养老保险缴费支出</w:t>
            </w:r>
          </w:p>
        </w:tc>
        <w:tc>
          <w:tcPr>
            <w:tcW w:w="539"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21.00</w:t>
            </w: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21.00</w:t>
            </w:r>
          </w:p>
        </w:tc>
        <w:tc>
          <w:tcPr>
            <w:tcW w:w="348" w:type="pct"/>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539"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34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2101102</w:t>
            </w:r>
          </w:p>
        </w:tc>
        <w:tc>
          <w:tcPr>
            <w:tcW w:w="1314"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事业单位医疗</w:t>
            </w:r>
          </w:p>
        </w:tc>
        <w:tc>
          <w:tcPr>
            <w:tcW w:w="539"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348" w:type="pct"/>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539"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34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2130104</w:t>
            </w:r>
          </w:p>
        </w:tc>
        <w:tc>
          <w:tcPr>
            <w:tcW w:w="1314"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事业运行</w:t>
            </w:r>
          </w:p>
        </w:tc>
        <w:tc>
          <w:tcPr>
            <w:tcW w:w="539"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188.81</w:t>
            </w:r>
          </w:p>
        </w:tc>
        <w:tc>
          <w:tcPr>
            <w:tcW w:w="348" w:type="pct"/>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188.81</w:t>
            </w:r>
          </w:p>
        </w:tc>
        <w:tc>
          <w:tcPr>
            <w:tcW w:w="348" w:type="pct"/>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539"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34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8" w:type="pct"/>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2130122</w:t>
            </w:r>
          </w:p>
        </w:tc>
        <w:tc>
          <w:tcPr>
            <w:tcW w:w="1314" w:type="pc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农业生产发展</w:t>
            </w:r>
          </w:p>
        </w:tc>
        <w:tc>
          <w:tcPr>
            <w:tcW w:w="53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142.51</w:t>
            </w:r>
          </w:p>
        </w:tc>
        <w:tc>
          <w:tcPr>
            <w:tcW w:w="3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142.51</w:t>
            </w:r>
          </w:p>
        </w:tc>
        <w:tc>
          <w:tcPr>
            <w:tcW w:w="53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4"/>
                <w:szCs w:val="24"/>
              </w:rPr>
            </w:pPr>
            <w:r>
              <w:rPr>
                <w:rFonts w:ascii="Times New Roman" w:hAnsi="Times New Roman" w:eastAsia="仿宋_GB2312" w:cs="Times New Roman"/>
                <w:b w:val="0"/>
                <w:color w:val="000000"/>
                <w:kern w:val="0"/>
                <w:sz w:val="24"/>
                <w:szCs w:val="24"/>
              </w:rPr>
              <w:t>　</w:t>
            </w:r>
          </w:p>
        </w:tc>
        <w:tc>
          <w:tcPr>
            <w:tcW w:w="3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4"/>
                <w:szCs w:val="24"/>
              </w:rPr>
            </w:pPr>
            <w:r>
              <w:rPr>
                <w:rFonts w:ascii="Times New Roman" w:hAnsi="Times New Roman" w:eastAsia="仿宋_GB2312" w:cs="Times New Roman"/>
                <w:b w:val="0"/>
                <w:color w:val="000000"/>
                <w:kern w:val="0"/>
                <w:sz w:val="24"/>
                <w:szCs w:val="24"/>
              </w:rPr>
              <w:t>　</w:t>
            </w:r>
          </w:p>
        </w:tc>
        <w:tc>
          <w:tcPr>
            <w:tcW w:w="8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4"/>
                <w:szCs w:val="24"/>
              </w:rPr>
            </w:pPr>
            <w:r>
              <w:rPr>
                <w:rFonts w:ascii="Times New Roman" w:hAnsi="Times New Roman" w:eastAsia="仿宋_GB2312" w:cs="Times New Roman"/>
                <w:b w:val="0"/>
                <w:color w:val="000000"/>
                <w:kern w:val="0"/>
                <w:sz w:val="24"/>
                <w:szCs w:val="24"/>
              </w:rPr>
              <w:t>　</w:t>
            </w:r>
          </w:p>
        </w:tc>
      </w:tr>
      <w:tr>
        <w:tblPrEx>
          <w:tblCellMar>
            <w:top w:w="0" w:type="dxa"/>
            <w:left w:w="108" w:type="dxa"/>
            <w:bottom w:w="0" w:type="dxa"/>
            <w:right w:w="108" w:type="dxa"/>
          </w:tblCellMar>
        </w:tblPrEx>
        <w:trPr>
          <w:trHeight w:val="595" w:hRule="atLeast"/>
          <w:jc w:val="center"/>
        </w:trPr>
        <w:tc>
          <w:tcPr>
            <w:tcW w:w="731" w:type="pct"/>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2210201</w:t>
            </w:r>
          </w:p>
        </w:tc>
        <w:tc>
          <w:tcPr>
            <w:tcW w:w="13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住房公积金</w:t>
            </w:r>
          </w:p>
        </w:tc>
        <w:tc>
          <w:tcPr>
            <w:tcW w:w="53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3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3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4"/>
                <w:szCs w:val="24"/>
              </w:rPr>
            </w:pPr>
          </w:p>
        </w:tc>
        <w:tc>
          <w:tcPr>
            <w:tcW w:w="3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4"/>
                <w:szCs w:val="24"/>
              </w:rPr>
            </w:pPr>
          </w:p>
        </w:tc>
        <w:tc>
          <w:tcPr>
            <w:tcW w:w="8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4"/>
                <w:szCs w:val="24"/>
              </w:rPr>
            </w:pPr>
          </w:p>
        </w:tc>
      </w:tr>
    </w:tbl>
    <w:p>
      <w:pPr>
        <w:widowControl/>
        <w:spacing w:before="120"/>
        <w:jc w:val="left"/>
        <w:rPr>
          <w:rFonts w:ascii="Times New Roman" w:hAnsi="Times New Roman" w:eastAsia="宋体" w:cs="Times New Roman"/>
          <w:kern w:val="0"/>
          <w:sz w:val="24"/>
          <w:szCs w:val="24"/>
        </w:rPr>
      </w:pPr>
      <w:r>
        <w:rPr>
          <w:rFonts w:ascii="Times New Roman" w:hAnsi="Times New Roman" w:eastAsia="仿宋_GB2312" w:cs="Times New Roman"/>
          <w:kern w:val="0"/>
          <w:sz w:val="24"/>
          <w:szCs w:val="24"/>
        </w:rPr>
        <w:t>注：本表反映部门本年度各项支出情况。</w:t>
      </w: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2"/>
        <w:tblW w:w="0" w:type="auto"/>
        <w:jc w:val="center"/>
        <w:tblLayout w:type="autofit"/>
        <w:tblCellMar>
          <w:top w:w="0" w:type="dxa"/>
          <w:left w:w="108" w:type="dxa"/>
          <w:bottom w:w="0" w:type="dxa"/>
          <w:right w:w="108" w:type="dxa"/>
        </w:tblCellMar>
      </w:tblPr>
      <w:tblGrid>
        <w:gridCol w:w="3516"/>
        <w:gridCol w:w="616"/>
        <w:gridCol w:w="821"/>
        <w:gridCol w:w="3516"/>
        <w:gridCol w:w="616"/>
        <w:gridCol w:w="821"/>
        <w:gridCol w:w="1499"/>
        <w:gridCol w:w="1362"/>
        <w:gridCol w:w="1453"/>
      </w:tblGrid>
      <w:tr>
        <w:tblPrEx>
          <w:tblCellMar>
            <w:top w:w="0" w:type="dxa"/>
            <w:left w:w="108" w:type="dxa"/>
            <w:bottom w:w="0" w:type="dxa"/>
            <w:right w:w="108" w:type="dxa"/>
          </w:tblCellMar>
        </w:tblPrEx>
        <w:trPr>
          <w:trHeight w:val="402"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收入</w:t>
            </w:r>
          </w:p>
        </w:tc>
        <w:tc>
          <w:tcPr>
            <w:tcW w:w="0" w:type="auto"/>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支出</w:t>
            </w:r>
          </w:p>
        </w:tc>
      </w:tr>
      <w:tr>
        <w:tblPrEx>
          <w:tblCellMar>
            <w:top w:w="0" w:type="dxa"/>
            <w:left w:w="108" w:type="dxa"/>
            <w:bottom w:w="0" w:type="dxa"/>
            <w:right w:w="108" w:type="dxa"/>
          </w:tblCellMar>
        </w:tblPrEx>
        <w:trPr>
          <w:trHeight w:val="63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一般公共预算财政拨款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政府性基金预算财政拨款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国有资本经营预算财政拨款</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499.94</w:t>
            </w: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一、一般公共服务支出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二、政府性基金预算财政拨款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二、外交支出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34</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三、国有资本经营预算财政拨款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三、国防支出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四、公共安全支出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五、教育支出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0.46</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6</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六、科学技术支出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七、文化旅游体育与传媒支出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8</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八、社会保障和就业支出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52.41</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52.41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bCs/>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九、卫生健康支出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十、节能环保支出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11</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十一、城乡社区支出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43</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12</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十二、农林水支出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331.32</w:t>
            </w:r>
          </w:p>
        </w:tc>
        <w:tc>
          <w:tcPr>
            <w:tcW w:w="0" w:type="auto"/>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331.32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13</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十三、交通运输支出</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l2br w:val="nil"/>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color w:val="000000"/>
                <w:kern w:val="0"/>
                <w:sz w:val="22"/>
              </w:rPr>
            </w:pPr>
            <w:r>
              <w:rPr>
                <w:rFonts w:ascii="Times New Roman" w:hAnsi="Times New Roman" w:eastAsia="仿宋_GB2312" w:cs="Times New Roman"/>
                <w:b w:val="0"/>
                <w:color w:val="000000"/>
                <w:kern w:val="0"/>
                <w:sz w:val="22"/>
              </w:rPr>
              <w:t>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r>
              <w:rPr>
                <w:rFonts w:ascii="Times New Roman" w:hAnsi="Times New Roman" w:eastAsia="仿宋_GB2312" w:cs="Times New Roman"/>
                <w:b w:val="0"/>
                <w:color w:val="000000"/>
                <w:kern w:val="0"/>
                <w:sz w:val="22"/>
              </w:rPr>
              <w:t>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r>
              <w:rPr>
                <w:rFonts w:ascii="Times New Roman" w:hAnsi="Times New Roman" w:eastAsia="仿宋_GB2312" w:cs="Times New Roman"/>
                <w:b w:val="0"/>
                <w:bCs/>
                <w:color w:val="000000"/>
                <w:kern w:val="0"/>
                <w:sz w:val="22"/>
              </w:rPr>
              <w:t>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r>
              <w:rPr>
                <w:rFonts w:ascii="Times New Roman" w:hAnsi="Times New Roman" w:eastAsia="仿宋_GB2312" w:cs="Times New Roman"/>
                <w:b w:val="0"/>
                <w:bCs/>
                <w:color w:val="000000"/>
                <w:kern w:val="0"/>
                <w:sz w:val="22"/>
              </w:rPr>
              <w:t>　</w:t>
            </w: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rPr>
                <w:rFonts w:hint="default" w:ascii="Times New Roman" w:hAnsi="Times New Roman" w:eastAsia="仿宋_GB2312" w:cs="Times New Roman"/>
                <w:b w:val="0"/>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b/>
                <w:bCs/>
                <w:kern w:val="0"/>
                <w:sz w:val="22"/>
                <w:szCs w:val="22"/>
                <w:lang w:val="en-US" w:eastAsia="zh-CN" w:bidi="ar-SA"/>
              </w:rPr>
            </w:pPr>
            <w:r>
              <w:rPr>
                <w:rFonts w:ascii="Times New Roman" w:hAnsi="Times New Roman" w:eastAsia="仿宋_GB2312" w:cs="Times New Roman"/>
                <w:b/>
                <w:bCs/>
                <w:kern w:val="0"/>
                <w:sz w:val="22"/>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499.94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b/>
                <w:bCs/>
                <w:kern w:val="0"/>
                <w:sz w:val="22"/>
                <w:szCs w:val="22"/>
                <w:lang w:val="en-US" w:eastAsia="zh-CN" w:bidi="ar-SA"/>
              </w:rPr>
            </w:pPr>
            <w:r>
              <w:rPr>
                <w:rFonts w:ascii="Times New Roman" w:hAnsi="Times New Roman" w:eastAsia="仿宋_GB2312" w:cs="Times New Roman"/>
                <w:b/>
                <w:bCs/>
                <w:kern w:val="0"/>
                <w:sz w:val="22"/>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403.68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403.68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年初财政拨款结转和结余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7.74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年末财政拨款结转和结余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104.00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104.00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 xml:space="preserve">   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7.74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 xml:space="preserve">     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 xml:space="preserve">      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Times New Roman" w:hAnsi="Times New Roman" w:eastAsia="仿宋_GB2312" w:cs="Times New Roman"/>
                <w:kern w:val="0"/>
                <w:sz w:val="22"/>
                <w:szCs w:val="22"/>
                <w:lang w:val="en-US" w:eastAsia="zh-CN" w:bidi="ar-SA"/>
              </w:rPr>
            </w:pPr>
            <w:r>
              <w:rPr>
                <w:rFonts w:ascii="Times New Roman" w:hAnsi="Times New Roman" w:eastAsia="仿宋_GB2312" w:cs="Times New Roman"/>
                <w:kern w:val="0"/>
                <w:sz w:val="22"/>
              </w:rPr>
              <w:t>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Times New Roman" w:hAnsi="Times New Roman" w:eastAsia="仿宋_GB2312" w:cs="Times New Roman"/>
                <w:b w:val="0"/>
                <w:bCs/>
                <w:color w:val="000000"/>
                <w:kern w:val="0"/>
                <w:sz w:val="22"/>
              </w:rPr>
            </w:pPr>
          </w:p>
        </w:tc>
      </w:tr>
      <w:tr>
        <w:tblPrEx>
          <w:tblCellMar>
            <w:top w:w="0" w:type="dxa"/>
            <w:left w:w="108" w:type="dxa"/>
            <w:bottom w:w="0" w:type="dxa"/>
            <w:right w:w="108" w:type="dxa"/>
          </w:tblCellMar>
        </w:tblPrEx>
        <w:trPr>
          <w:trHeight w:val="402" w:hRule="atLeast"/>
          <w:jc w:val="center"/>
        </w:trPr>
        <w:tc>
          <w:tcPr>
            <w:tcW w:w="0" w:type="auto"/>
            <w:tcBorders>
              <w:top w:val="single" w:color="000000" w:sz="4" w:space="0"/>
              <w:left w:val="single" w:color="000000" w:sz="4" w:space="0"/>
              <w:bottom w:val="single" w:color="000000" w:sz="4" w:space="0"/>
              <w:right w:val="single" w:color="000000" w:sz="4" w:space="0"/>
              <w:tl2br w:val="nil"/>
            </w:tcBorders>
            <w:shd w:val="clear" w:color="000000" w:fill="FFFFFF"/>
            <w:vAlign w:val="center"/>
          </w:tcPr>
          <w:p>
            <w:pPr>
              <w:widowControl/>
              <w:jc w:val="center"/>
              <w:rPr>
                <w:rFonts w:ascii="Times New Roman" w:hAnsi="Times New Roman" w:eastAsia="仿宋_GB2312" w:cs="Times New Roman"/>
                <w:b w:val="0"/>
                <w:bCs/>
                <w:color w:val="000000"/>
                <w:kern w:val="0"/>
                <w:sz w:val="22"/>
                <w:szCs w:val="22"/>
                <w:lang w:val="en-US" w:eastAsia="zh-CN" w:bidi="ar-SA"/>
              </w:rPr>
            </w:pPr>
            <w:r>
              <w:rPr>
                <w:rFonts w:ascii="Times New Roman" w:hAnsi="Times New Roman" w:eastAsia="仿宋_GB2312" w:cs="Times New Roman"/>
                <w:b w:val="0"/>
                <w:bCs/>
                <w:color w:val="000000"/>
                <w:kern w:val="0"/>
                <w:sz w:val="22"/>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507.68</w:t>
            </w:r>
          </w:p>
        </w:tc>
        <w:tc>
          <w:tcPr>
            <w:tcW w:w="0" w:type="auto"/>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Times New Roman" w:hAnsi="Times New Roman" w:eastAsia="仿宋_GB2312" w:cs="Times New Roman"/>
                <w:b w:val="0"/>
                <w:bCs/>
                <w:color w:val="000000"/>
                <w:kern w:val="0"/>
                <w:sz w:val="22"/>
                <w:szCs w:val="22"/>
                <w:lang w:val="en-US" w:eastAsia="zh-CN" w:bidi="ar-SA"/>
              </w:rPr>
            </w:pPr>
            <w:r>
              <w:rPr>
                <w:rFonts w:ascii="Times New Roman" w:hAnsi="Times New Roman" w:eastAsia="仿宋_GB2312" w:cs="Times New Roman"/>
                <w:b w:val="0"/>
                <w:bCs/>
                <w:color w:val="000000"/>
                <w:kern w:val="0"/>
                <w:sz w:val="22"/>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507.68</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507.68</w:t>
            </w:r>
          </w:p>
        </w:tc>
        <w:tc>
          <w:tcPr>
            <w:tcW w:w="0" w:type="auto"/>
            <w:tcBorders>
              <w:top w:val="single" w:color="000000" w:sz="4" w:space="0"/>
              <w:left w:val="single" w:color="000000" w:sz="4" w:space="0"/>
              <w:bottom w:val="single" w:color="000000" w:sz="4" w:space="0"/>
              <w:right w:val="single" w:color="000000" w:sz="4" w:space="0"/>
            </w:tcBorders>
            <w:shd w:val="clear" w:color="auto" w:fill="FFFFFF"/>
          </w:tcPr>
          <w:p>
            <w:pPr>
              <w:widowControl/>
              <w:jc w:val="left"/>
              <w:rPr>
                <w:rFonts w:ascii="Times New Roman" w:hAnsi="Times New Roman" w:eastAsia="仿宋_GB2312" w:cs="Times New Roman"/>
                <w:b w:val="0"/>
                <w:bCs/>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cPr>
          <w:p>
            <w:pPr>
              <w:widowControl/>
              <w:jc w:val="left"/>
              <w:rPr>
                <w:rFonts w:ascii="Times New Roman" w:hAnsi="Times New Roman" w:eastAsia="仿宋_GB2312" w:cs="Times New Roman"/>
                <w:b w:val="0"/>
                <w:bCs/>
                <w:color w:val="000000"/>
                <w:kern w:val="0"/>
                <w:sz w:val="22"/>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12"/>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54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312"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403.68</w:t>
            </w:r>
          </w:p>
        </w:tc>
        <w:tc>
          <w:tcPr>
            <w:tcW w:w="349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260.71</w:t>
            </w:r>
          </w:p>
        </w:tc>
        <w:tc>
          <w:tcPr>
            <w:tcW w:w="3000" w:type="dxa"/>
            <w:tcBorders>
              <w:top w:val="nil"/>
              <w:left w:val="nil"/>
              <w:bottom w:val="single" w:color="auto" w:sz="4" w:space="0"/>
              <w:right w:val="single" w:color="auto" w:sz="8"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142.97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2050803</w:t>
            </w:r>
          </w:p>
        </w:tc>
        <w:tc>
          <w:tcPr>
            <w:tcW w:w="3527" w:type="dxa"/>
            <w:tcBorders>
              <w:top w:val="nil"/>
              <w:left w:val="nil"/>
              <w:bottom w:val="single" w:color="auto" w:sz="4" w:space="0"/>
              <w:right w:val="single" w:color="auto" w:sz="4" w:space="0"/>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培训支出</w:t>
            </w:r>
          </w:p>
        </w:tc>
        <w:tc>
          <w:tcPr>
            <w:tcW w:w="3000"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0.46</w:t>
            </w:r>
          </w:p>
        </w:tc>
        <w:tc>
          <w:tcPr>
            <w:tcW w:w="3492" w:type="dxa"/>
            <w:tcBorders>
              <w:top w:val="nil"/>
              <w:left w:val="nil"/>
              <w:bottom w:val="single" w:color="auto" w:sz="4" w:space="0"/>
              <w:right w:val="single" w:color="auto" w:sz="4"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c>
          <w:tcPr>
            <w:tcW w:w="3000" w:type="dxa"/>
            <w:tcBorders>
              <w:top w:val="nil"/>
              <w:left w:val="nil"/>
              <w:bottom w:val="single" w:color="auto" w:sz="4" w:space="0"/>
              <w:right w:val="single" w:color="auto" w:sz="8"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2080502</w:t>
            </w:r>
          </w:p>
        </w:tc>
        <w:tc>
          <w:tcPr>
            <w:tcW w:w="3527" w:type="dxa"/>
            <w:tcBorders>
              <w:top w:val="nil"/>
              <w:left w:val="nil"/>
              <w:bottom w:val="single" w:color="auto" w:sz="4" w:space="0"/>
              <w:right w:val="single" w:color="auto" w:sz="4" w:space="0"/>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事业单位离退休</w:t>
            </w:r>
          </w:p>
        </w:tc>
        <w:tc>
          <w:tcPr>
            <w:tcW w:w="3000"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31.41</w:t>
            </w:r>
          </w:p>
        </w:tc>
        <w:tc>
          <w:tcPr>
            <w:tcW w:w="349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31.41</w:t>
            </w:r>
          </w:p>
        </w:tc>
        <w:tc>
          <w:tcPr>
            <w:tcW w:w="3000" w:type="dxa"/>
            <w:tcBorders>
              <w:top w:val="nil"/>
              <w:left w:val="nil"/>
              <w:bottom w:val="single" w:color="auto" w:sz="4" w:space="0"/>
              <w:right w:val="single" w:color="auto" w:sz="8"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2080505</w:t>
            </w:r>
          </w:p>
        </w:tc>
        <w:tc>
          <w:tcPr>
            <w:tcW w:w="3527" w:type="dxa"/>
            <w:tcBorders>
              <w:top w:val="nil"/>
              <w:left w:val="nil"/>
              <w:bottom w:val="single" w:color="auto" w:sz="4" w:space="0"/>
              <w:right w:val="single" w:color="auto" w:sz="4" w:space="0"/>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机关事业单位基本养老保险缴费支出</w:t>
            </w:r>
          </w:p>
        </w:tc>
        <w:tc>
          <w:tcPr>
            <w:tcW w:w="3000"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21.00</w:t>
            </w:r>
          </w:p>
        </w:tc>
        <w:tc>
          <w:tcPr>
            <w:tcW w:w="349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21.00</w:t>
            </w:r>
          </w:p>
        </w:tc>
        <w:tc>
          <w:tcPr>
            <w:tcW w:w="3000" w:type="dxa"/>
            <w:tcBorders>
              <w:top w:val="nil"/>
              <w:left w:val="nil"/>
              <w:bottom w:val="single" w:color="auto" w:sz="4" w:space="0"/>
              <w:right w:val="single" w:color="auto" w:sz="8"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2101102</w:t>
            </w:r>
          </w:p>
        </w:tc>
        <w:tc>
          <w:tcPr>
            <w:tcW w:w="3527" w:type="dxa"/>
            <w:tcBorders>
              <w:top w:val="nil"/>
              <w:left w:val="nil"/>
              <w:bottom w:val="single" w:color="auto" w:sz="4" w:space="0"/>
              <w:right w:val="single" w:color="auto" w:sz="4" w:space="0"/>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事业单位医疗</w:t>
            </w:r>
          </w:p>
        </w:tc>
        <w:tc>
          <w:tcPr>
            <w:tcW w:w="3000"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349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3000" w:type="dxa"/>
            <w:tcBorders>
              <w:top w:val="nil"/>
              <w:left w:val="nil"/>
              <w:bottom w:val="single" w:color="auto" w:sz="4" w:space="0"/>
              <w:right w:val="single" w:color="auto" w:sz="8"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2130104</w:t>
            </w:r>
          </w:p>
        </w:tc>
        <w:tc>
          <w:tcPr>
            <w:tcW w:w="3527" w:type="dxa"/>
            <w:tcBorders>
              <w:top w:val="nil"/>
              <w:left w:val="nil"/>
              <w:bottom w:val="single" w:color="auto" w:sz="4" w:space="0"/>
              <w:right w:val="single" w:color="auto" w:sz="4" w:space="0"/>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事业运行</w:t>
            </w:r>
          </w:p>
        </w:tc>
        <w:tc>
          <w:tcPr>
            <w:tcW w:w="3000"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188.81</w:t>
            </w:r>
          </w:p>
        </w:tc>
        <w:tc>
          <w:tcPr>
            <w:tcW w:w="349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188.81</w:t>
            </w:r>
          </w:p>
        </w:tc>
        <w:tc>
          <w:tcPr>
            <w:tcW w:w="3000" w:type="dxa"/>
            <w:tcBorders>
              <w:top w:val="nil"/>
              <w:left w:val="nil"/>
              <w:bottom w:val="single" w:color="auto" w:sz="4" w:space="0"/>
              <w:right w:val="single" w:color="auto" w:sz="8"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2130122</w:t>
            </w:r>
          </w:p>
        </w:tc>
        <w:tc>
          <w:tcPr>
            <w:tcW w:w="3527"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农业生产发展</w:t>
            </w:r>
          </w:p>
        </w:tc>
        <w:tc>
          <w:tcPr>
            <w:tcW w:w="3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142.51</w:t>
            </w:r>
          </w:p>
        </w:tc>
        <w:tc>
          <w:tcPr>
            <w:tcW w:w="34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c>
          <w:tcPr>
            <w:tcW w:w="3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142.51</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2210201</w:t>
            </w:r>
          </w:p>
        </w:tc>
        <w:tc>
          <w:tcPr>
            <w:tcW w:w="35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住房公积金</w:t>
            </w:r>
          </w:p>
        </w:tc>
        <w:tc>
          <w:tcPr>
            <w:tcW w:w="3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34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3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Times New Roman" w:hAnsi="Times New Roman" w:eastAsia="宋体" w:cs="Times New Roman"/>
                <w:i w:val="0"/>
                <w:iCs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2"/>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212.42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16.89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53.75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12.23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80.67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23.30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13.06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3.72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3.71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18.50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31.41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27.80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3.13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5.15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0.48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0.15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2.09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FFFFFF"/>
            <w:noWrap/>
            <w:vAlign w:val="center"/>
          </w:tcPr>
          <w:p>
            <w:pPr>
              <w:jc w:val="right"/>
              <w:rPr>
                <w:rFonts w:hint="default" w:ascii="Times New Roman" w:hAnsi="Times New Roman" w:eastAsia="宋体" w:cs="Times New Roman"/>
                <w:i w:val="0"/>
                <w:iCs w:val="0"/>
                <w:color w:val="000000"/>
                <w:sz w:val="22"/>
                <w:szCs w:val="22"/>
                <w:u w:val="none"/>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5.78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color w:val="000000"/>
                <w:kern w:val="0"/>
                <w:szCs w:val="20"/>
              </w:rPr>
            </w:pPr>
            <w:r>
              <w:rPr>
                <w:rFonts w:hint="eastAsia" w:ascii="Times New Roman" w:hAnsi="Times New Roman" w:eastAsia="仿宋_GB2312" w:cs="Times New Roman"/>
                <w:color w:val="000000"/>
                <w:kern w:val="0"/>
                <w:szCs w:val="20"/>
                <w:lang w:val="en-US" w:eastAsia="zh-CN"/>
              </w:rPr>
              <w:t>24</w:t>
            </w:r>
            <w:r>
              <w:rPr>
                <w:rFonts w:hint="eastAsia" w:ascii="Times New Roman" w:hAnsi="Times New Roman" w:eastAsia="仿宋_GB2312" w:cs="Times New Roman"/>
                <w:color w:val="000000"/>
                <w:kern w:val="0"/>
                <w:szCs w:val="20"/>
              </w:rPr>
              <w:t>3.82</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18"/>
                <w:lang w:val="en-US" w:eastAsia="zh-CN"/>
              </w:rPr>
            </w:pPr>
            <w:r>
              <w:rPr>
                <w:rFonts w:hint="eastAsia" w:ascii="Times New Roman" w:hAnsi="Times New Roman" w:eastAsia="仿宋_GB2312" w:cs="Times New Roman"/>
                <w:color w:val="000000"/>
                <w:kern w:val="0"/>
                <w:szCs w:val="18"/>
                <w:lang w:val="en-US" w:eastAsia="zh-CN"/>
              </w:rPr>
              <w:t>16.89</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rPr>
        <w:t>湖南省农业产业化发展服务中心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4999" w:type="pct"/>
        <w:tblInd w:w="0" w:type="dxa"/>
        <w:tblLayout w:type="autofit"/>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28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10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6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1"/>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rPr>
        <w:t>湖南省农业产业化发展服务中心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2"/>
        <w:tblW w:w="5114" w:type="pct"/>
        <w:jc w:val="center"/>
        <w:tblLayout w:type="autofit"/>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CellMar>
            <w:top w:w="0" w:type="dxa"/>
            <w:left w:w="108" w:type="dxa"/>
            <w:bottom w:w="0" w:type="dxa"/>
            <w:right w:w="108" w:type="dxa"/>
          </w:tblCellMar>
        </w:tblPrEx>
        <w:trPr>
          <w:trHeight w:val="606" w:hRule="atLeast"/>
          <w:jc w:val="center"/>
        </w:trPr>
        <w:tc>
          <w:tcPr>
            <w:tcW w:w="248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25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12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4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12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widowControl/>
        <w:jc w:val="left"/>
        <w:textAlignment w:val="center"/>
        <w:rPr>
          <w:rFonts w:hint="eastAsia" w:ascii="Times New Roman" w:hAnsi="Times New Roman" w:eastAsia="楷体_GB2312" w:cs="Times New Roman"/>
          <w:b/>
          <w:bCs/>
          <w:kern w:val="0"/>
          <w:sz w:val="24"/>
          <w:szCs w:val="24"/>
          <w:lang w:val="en-US" w:eastAsia="zh-CN" w:bidi="ar"/>
        </w:rPr>
      </w:pPr>
    </w:p>
    <w:p>
      <w:pPr>
        <w:widowControl/>
        <w:jc w:val="left"/>
        <w:textAlignment w:val="center"/>
        <w:rPr>
          <w:rFonts w:ascii="Times New Roman" w:hAnsi="Times New Roman" w:eastAsia="宋体" w:cs="Times New Roman"/>
          <w:kern w:val="0"/>
          <w:sz w:val="24"/>
          <w:szCs w:val="24"/>
        </w:rPr>
      </w:pPr>
      <w:r>
        <w:rPr>
          <w:rFonts w:hint="eastAsia" w:ascii="Times New Roman" w:hAnsi="Times New Roman" w:eastAsia="楷体_GB2312" w:cs="Times New Roman"/>
          <w:b/>
          <w:bCs/>
          <w:kern w:val="0"/>
          <w:sz w:val="24"/>
          <w:szCs w:val="24"/>
          <w:lang w:val="en-US" w:eastAsia="zh-CN" w:bidi="ar"/>
        </w:rPr>
        <w:t>说明：我单位没有“三公”经费支出，故本表无数据。</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507.68</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115.92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29.59</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单位</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人员新增，</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人员</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经费</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增加</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；新增洞庭湖</w:t>
      </w:r>
      <w:r>
        <w:rPr>
          <w:rFonts w:hint="eastAsia" w:ascii="Times New Roman" w:hAnsi="Times New Roman" w:eastAsia="仿宋_GB2312" w:cs="Times New Roman"/>
          <w:sz w:val="32"/>
          <w:szCs w:val="32"/>
          <w:highlight w:val="none"/>
          <w:lang w:eastAsia="zh-CN"/>
        </w:rPr>
        <w:t>小龙虾产业集群项目，项目经费增加。</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rPr>
        <w:t>499.94</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499.94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403.68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260.71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64.58</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142.97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35.42</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507.68</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115.92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增长</w:t>
      </w:r>
      <w:r>
        <w:rPr>
          <w:rFonts w:hint="eastAsia" w:ascii="Times New Roman" w:hAnsi="Times New Roman" w:eastAsia="仿宋_GB2312" w:cs="Times New Roman"/>
          <w:sz w:val="32"/>
          <w:szCs w:val="32"/>
          <w:lang w:val="en-US" w:eastAsia="zh-CN"/>
        </w:rPr>
        <w:t>29.59</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单位</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人员新增，</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人员</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经费</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增加</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；新增洞庭湖</w:t>
      </w:r>
      <w:r>
        <w:rPr>
          <w:rFonts w:hint="eastAsia" w:ascii="Times New Roman" w:hAnsi="Times New Roman" w:eastAsia="仿宋_GB2312" w:cs="Times New Roman"/>
          <w:sz w:val="32"/>
          <w:szCs w:val="32"/>
          <w:highlight w:val="none"/>
          <w:lang w:eastAsia="zh-CN"/>
        </w:rPr>
        <w:t>小龙虾产业集群项目，项目经费增加。</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403.68</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42.69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11.83</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单位</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人员新增，基本支出</w:t>
      </w:r>
      <w:r>
        <w:rPr>
          <w:rFonts w:hint="default" w:ascii="Times New Roman" w:hAnsi="Times New Roman" w:eastAsia="仿宋_GB2312" w:cs="Times New Roman"/>
          <w:i w:val="0"/>
          <w:caps w:val="0"/>
          <w:color w:val="333333"/>
          <w:spacing w:val="0"/>
          <w:kern w:val="0"/>
          <w:sz w:val="32"/>
          <w:szCs w:val="32"/>
          <w:highlight w:val="none"/>
          <w:shd w:val="clear" w:color="auto" w:fill="FFFFFF"/>
          <w:lang w:val="en-US" w:eastAsia="zh-CN" w:bidi="ar"/>
        </w:rPr>
        <w:t>增加</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；新增洞庭湖</w:t>
      </w:r>
      <w:r>
        <w:rPr>
          <w:rFonts w:hint="eastAsia" w:ascii="Times New Roman" w:hAnsi="Times New Roman" w:eastAsia="仿宋_GB2312" w:cs="Times New Roman"/>
          <w:sz w:val="32"/>
          <w:szCs w:val="32"/>
          <w:highlight w:val="none"/>
          <w:lang w:eastAsia="zh-CN"/>
        </w:rPr>
        <w:t>小龙虾产业集群项目，项目支出增加。</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403.68</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lang w:eastAsia="zh-CN"/>
        </w:rPr>
        <w:t>教育</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0.46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0.11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社会保障和就业</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52.41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12.98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；卫生健康</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1万元，占0.25%；农林水</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331.32万元，占82.08%；住房保障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18.5万元，占4.58%</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407.68</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403.68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99.02</w:t>
      </w:r>
      <w:r>
        <w:rPr>
          <w:rFonts w:ascii="Times New Roman" w:hAnsi="Times New Roman" w:eastAsia="仿宋_GB2312" w:cs="Times New Roman"/>
          <w:sz w:val="32"/>
          <w:szCs w:val="32"/>
        </w:rPr>
        <w:t>%，其中：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教育</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培训支出</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0.46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92</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lang w:val="en-US" w:eastAsia="zh-CN"/>
        </w:rPr>
        <w:t>培训支出有结余。</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事业单位离退休</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40.48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31.41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77.59</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lang w:eastAsia="zh-CN"/>
        </w:rPr>
        <w:t>事业单位离退休费有结余。</w:t>
      </w:r>
    </w:p>
    <w:p>
      <w:pPr>
        <w:pStyle w:val="16"/>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机关事业单位基本养老保险缴费支出</w:t>
      </w:r>
      <w:r>
        <w:rPr>
          <w:rFonts w:ascii="Times New Roman" w:hAnsi="Times New Roman" w:eastAsia="仿宋_GB2312" w:cs="Times New Roman"/>
          <w:sz w:val="32"/>
          <w:szCs w:val="32"/>
        </w:rPr>
        <w:t>（项）。</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卫生健康</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行政事业单位医疗</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事业单位医疗</w:t>
      </w:r>
      <w:r>
        <w:rPr>
          <w:rFonts w:ascii="Times New Roman" w:hAnsi="Times New Roman" w:eastAsia="仿宋_GB2312" w:cs="Times New Roman"/>
          <w:sz w:val="32"/>
          <w:szCs w:val="32"/>
        </w:rPr>
        <w:t>（项）。</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农林水（类）农业农村（款）</w:t>
      </w:r>
      <w:r>
        <w:rPr>
          <w:rFonts w:hint="eastAsia" w:ascii="Times New Roman" w:hAnsi="Times New Roman" w:eastAsia="仿宋_GB2312" w:cs="Times New Roman"/>
          <w:sz w:val="32"/>
          <w:szCs w:val="32"/>
          <w:lang w:val="en-US" w:eastAsia="zh-CN"/>
        </w:rPr>
        <w:t>事业</w:t>
      </w:r>
      <w:r>
        <w:rPr>
          <w:rFonts w:hint="default" w:ascii="Times New Roman" w:hAnsi="Times New Roman" w:eastAsia="仿宋_GB2312" w:cs="Times New Roman"/>
          <w:sz w:val="32"/>
          <w:szCs w:val="32"/>
          <w:lang w:val="en-US" w:eastAsia="zh-CN"/>
        </w:rPr>
        <w:t>运行（项）</w:t>
      </w:r>
      <w:r>
        <w:rPr>
          <w:rFonts w:ascii="Times New Roman" w:hAnsi="Times New Roman" w:eastAsia="仿宋_GB2312" w:cs="Times New Roman"/>
          <w:sz w:val="32"/>
          <w:szCs w:val="32"/>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227.85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188.81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82.87</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lang w:eastAsia="zh-CN"/>
        </w:rPr>
        <w:t>项目跨年度实施。</w:t>
      </w:r>
    </w:p>
    <w:p>
      <w:pPr>
        <w:pStyle w:val="16"/>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农林水（类）农业农村（款）</w:t>
      </w:r>
      <w:r>
        <w:rPr>
          <w:rFonts w:hint="eastAsia" w:ascii="Times New Roman" w:hAnsi="Times New Roman" w:eastAsia="仿宋_GB2312" w:cs="Times New Roman"/>
          <w:sz w:val="32"/>
          <w:szCs w:val="32"/>
          <w:lang w:val="en-US" w:eastAsia="zh-CN"/>
        </w:rPr>
        <w:t>农业生产发展</w:t>
      </w:r>
      <w:r>
        <w:rPr>
          <w:rFonts w:hint="default" w:ascii="Times New Roman" w:hAnsi="Times New Roman" w:eastAsia="仿宋_GB2312" w:cs="Times New Roman"/>
          <w:sz w:val="32"/>
          <w:szCs w:val="32"/>
          <w:lang w:val="en-US" w:eastAsia="zh-CN"/>
        </w:rPr>
        <w:t>（项）</w:t>
      </w:r>
      <w:r>
        <w:rPr>
          <w:rFonts w:hint="eastAsia" w:ascii="Times New Roman" w:hAnsi="Times New Roman" w:eastAsia="仿宋_GB2312" w:cs="Times New Roman"/>
          <w:sz w:val="32"/>
          <w:szCs w:val="32"/>
          <w:lang w:val="en-US" w:eastAsia="zh-CN"/>
        </w:rPr>
        <w:t>。</w:t>
      </w:r>
    </w:p>
    <w:p>
      <w:pPr>
        <w:pStyle w:val="16"/>
        <w:numPr>
          <w:ilvl w:val="0"/>
          <w:numId w:val="0"/>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97.24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142.51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146.55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大</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新增洞庭湖</w:t>
      </w:r>
      <w:r>
        <w:rPr>
          <w:rFonts w:hint="eastAsia" w:ascii="Times New Roman" w:hAnsi="Times New Roman" w:eastAsia="仿宋_GB2312" w:cs="Times New Roman"/>
          <w:sz w:val="32"/>
          <w:szCs w:val="32"/>
          <w:lang w:eastAsia="zh-CN"/>
        </w:rPr>
        <w:t>小龙虾产业集群项目，年中追加项目资金。</w:t>
      </w:r>
    </w:p>
    <w:p>
      <w:pPr>
        <w:pStyle w:val="16"/>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住房保障</w:t>
      </w:r>
      <w:r>
        <w:rPr>
          <w:rFonts w:hint="default" w:ascii="Times New Roman" w:hAnsi="Times New Roman" w:eastAsia="仿宋_GB2312" w:cs="Times New Roman"/>
          <w:sz w:val="32"/>
          <w:szCs w:val="32"/>
          <w:lang w:val="en-US" w:eastAsia="zh-CN"/>
        </w:rPr>
        <w:t>（类）</w:t>
      </w:r>
      <w:r>
        <w:rPr>
          <w:rFonts w:hint="eastAsia" w:ascii="Times New Roman" w:hAnsi="Times New Roman" w:eastAsia="仿宋_GB2312" w:cs="Times New Roman"/>
          <w:sz w:val="32"/>
          <w:szCs w:val="32"/>
          <w:lang w:val="en-US" w:eastAsia="zh-CN"/>
        </w:rPr>
        <w:t>住房改革支出</w:t>
      </w:r>
      <w:r>
        <w:rPr>
          <w:rFonts w:hint="default" w:ascii="Times New Roman" w:hAnsi="Times New Roman" w:eastAsia="仿宋_GB2312" w:cs="Times New Roman"/>
          <w:sz w:val="32"/>
          <w:szCs w:val="32"/>
          <w:lang w:val="en-US" w:eastAsia="zh-CN"/>
        </w:rPr>
        <w:t>（款）</w:t>
      </w:r>
      <w:r>
        <w:rPr>
          <w:rFonts w:hint="eastAsia" w:ascii="Times New Roman" w:hAnsi="Times New Roman" w:eastAsia="仿宋_GB2312" w:cs="Times New Roman"/>
          <w:sz w:val="32"/>
          <w:szCs w:val="32"/>
          <w:lang w:val="en-US" w:eastAsia="zh-CN"/>
        </w:rPr>
        <w:t>住房公积金</w:t>
      </w:r>
      <w:r>
        <w:rPr>
          <w:rFonts w:hint="default" w:ascii="Times New Roman" w:hAnsi="Times New Roman" w:eastAsia="仿宋_GB2312" w:cs="Times New Roman"/>
          <w:sz w:val="32"/>
          <w:szCs w:val="32"/>
          <w:lang w:val="en-US" w:eastAsia="zh-CN"/>
        </w:rPr>
        <w:t>（项）</w:t>
      </w:r>
      <w:r>
        <w:rPr>
          <w:rFonts w:hint="eastAsia" w:ascii="Times New Roman" w:hAnsi="Times New Roman" w:eastAsia="仿宋_GB2312" w:cs="Times New Roman"/>
          <w:sz w:val="32"/>
          <w:szCs w:val="32"/>
          <w:lang w:val="en-US"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19.61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94.34</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lang w:val="en-US" w:eastAsia="zh-CN"/>
        </w:rPr>
        <w:t>住房公积金有结余</w:t>
      </w:r>
      <w:r>
        <w:rPr>
          <w:rFonts w:hint="eastAsia" w:ascii="Times New Roman" w:hAnsi="Times New Roman" w:eastAsia="仿宋_GB2312" w:cs="Times New Roman"/>
          <w:sz w:val="32"/>
          <w:szCs w:val="32"/>
          <w:highlight w:val="none"/>
          <w:lang w:eastAsia="zh-CN"/>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260.71</w:t>
      </w:r>
      <w:r>
        <w:rPr>
          <w:rFonts w:ascii="Times New Roman" w:hAnsi="Times New Roman" w:eastAsia="仿宋_GB2312" w:cs="Times New Roman"/>
          <w:sz w:val="32"/>
          <w:szCs w:val="32"/>
        </w:rPr>
        <w:t>万元，其中：</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243.82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93.52</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rPr>
        <w:t>基本工资、津贴补贴、伙食补助费、绩效工资、机关事业单位基本养老保险缴费、职工基本医疗保险缴费、其他社会保障缴费、住房公积金、</w:t>
      </w:r>
      <w:r>
        <w:rPr>
          <w:rFonts w:hint="eastAsia" w:ascii="Times New Roman" w:hAnsi="Times New Roman" w:eastAsia="仿宋_GB2312" w:cs="Times New Roman"/>
          <w:sz w:val="32"/>
          <w:szCs w:val="32"/>
          <w:lang w:eastAsia="zh-CN"/>
        </w:rPr>
        <w:t>医疗费、</w:t>
      </w:r>
      <w:r>
        <w:rPr>
          <w:rFonts w:hint="eastAsia" w:ascii="Times New Roman" w:hAnsi="Times New Roman" w:eastAsia="仿宋_GB2312" w:cs="Times New Roman"/>
          <w:sz w:val="32"/>
          <w:szCs w:val="32"/>
        </w:rPr>
        <w:t>退休费、</w:t>
      </w:r>
      <w:r>
        <w:rPr>
          <w:rFonts w:hint="eastAsia" w:ascii="Times New Roman" w:hAnsi="Times New Roman" w:eastAsia="仿宋_GB2312" w:cs="Times New Roman"/>
          <w:sz w:val="32"/>
          <w:szCs w:val="32"/>
          <w:lang w:eastAsia="zh-CN"/>
        </w:rPr>
        <w:t>抚恤金、</w:t>
      </w:r>
      <w:r>
        <w:rPr>
          <w:rFonts w:hint="eastAsia" w:ascii="Times New Roman" w:hAnsi="Times New Roman" w:eastAsia="仿宋_GB2312" w:cs="Times New Roman"/>
          <w:sz w:val="32"/>
          <w:szCs w:val="32"/>
        </w:rPr>
        <w:t>奖励金等</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16.89</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6.48</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rPr>
        <w:t>物业管理费、工会经费、</w:t>
      </w:r>
      <w:r>
        <w:rPr>
          <w:rFonts w:hint="eastAsia" w:ascii="Times New Roman" w:hAnsi="Times New Roman" w:eastAsia="仿宋_GB2312" w:cs="Times New Roman"/>
          <w:sz w:val="32"/>
          <w:szCs w:val="32"/>
          <w:lang w:eastAsia="zh-CN"/>
        </w:rPr>
        <w:t>福利费、</w:t>
      </w:r>
      <w:r>
        <w:rPr>
          <w:rFonts w:hint="eastAsia" w:ascii="Times New Roman" w:hAnsi="Times New Roman" w:eastAsia="仿宋_GB2312" w:cs="Times New Roman"/>
          <w:sz w:val="32"/>
          <w:szCs w:val="32"/>
        </w:rPr>
        <w:t>其他交通费用、其他商品服务支出等。</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yellow"/>
        </w:rPr>
        <w:t>与上年</w:t>
      </w:r>
      <w:r>
        <w:rPr>
          <w:rFonts w:hint="eastAsia" w:ascii="Times New Roman" w:hAnsi="Times New Roman" w:eastAsia="仿宋_GB2312" w:cs="Times New Roman"/>
          <w:sz w:val="32"/>
          <w:szCs w:val="32"/>
          <w:highlight w:val="yellow"/>
          <w:lang w:eastAsia="zh-CN"/>
        </w:rPr>
        <w:t>持平</w:t>
      </w:r>
      <w:r>
        <w:rPr>
          <w:rFonts w:ascii="Times New Roman" w:hAnsi="Times New Roman" w:eastAsia="仿宋_GB2312" w:cs="Times New Roman"/>
          <w:sz w:val="32"/>
          <w:szCs w:val="32"/>
          <w:highlight w:val="yellow"/>
        </w:rPr>
        <w:t>。</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单位本级</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ascii="Times New Roman" w:hAnsi="Times New Roman" w:eastAsia="仿宋_GB2312" w:cs="Times New Roman"/>
          <w:color w:val="000000" w:themeColor="text1"/>
          <w:sz w:val="32"/>
          <w:szCs w:val="32"/>
          <w14:textFill>
            <w14:solidFill>
              <w14:schemeClr w14:val="tx1"/>
            </w14:solidFill>
          </w14:textFill>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本单位2024年无政府性基金收支。</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w:t>
      </w:r>
      <w:r>
        <w:rPr>
          <w:rFonts w:ascii="Times New Roman" w:hAnsi="Times New Roman" w:eastAsia="仿宋_GB2312" w:cs="Times New Roman"/>
          <w:sz w:val="32"/>
          <w:szCs w:val="32"/>
          <w:highlight w:val="none"/>
        </w:rPr>
        <w:t>与上年</w:t>
      </w:r>
      <w:r>
        <w:rPr>
          <w:rFonts w:hint="eastAsia" w:ascii="Times New Roman" w:hAnsi="Times New Roman" w:eastAsia="仿宋_GB2312" w:cs="Times New Roman"/>
          <w:sz w:val="32"/>
          <w:szCs w:val="32"/>
          <w:highlight w:val="none"/>
          <w:lang w:eastAsia="zh-CN"/>
        </w:rPr>
        <w:t>持平</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bookmarkStart w:id="5" w:name="_GoBack"/>
      <w:bookmarkEnd w:id="5"/>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yellow"/>
        </w:rPr>
        <w:t>2024年本部门开支会议费</w:t>
      </w:r>
      <w:r>
        <w:rPr>
          <w:rFonts w:hint="eastAsia" w:ascii="Times New Roman" w:hAnsi="Times New Roman" w:eastAsia="仿宋_GB2312" w:cs="Times New Roman"/>
          <w:sz w:val="32"/>
          <w:szCs w:val="32"/>
          <w:highlight w:val="yellow"/>
          <w:lang w:val="en-US" w:eastAsia="zh-CN"/>
        </w:rPr>
        <w:t>0</w:t>
      </w:r>
      <w:r>
        <w:rPr>
          <w:rFonts w:ascii="Times New Roman" w:hAnsi="Times New Roman" w:eastAsia="仿宋_GB2312" w:cs="Times New Roman"/>
          <w:sz w:val="32"/>
          <w:szCs w:val="32"/>
          <w:highlight w:val="yellow"/>
        </w:rPr>
        <w:t>万元</w:t>
      </w:r>
      <w:r>
        <w:rPr>
          <w:rFonts w:hint="eastAsia" w:ascii="Times New Roman" w:hAnsi="Times New Roman" w:eastAsia="仿宋_GB2312" w:cs="Times New Roman"/>
          <w:sz w:val="32"/>
          <w:szCs w:val="32"/>
          <w:highlight w:val="yellow"/>
          <w:lang w:eastAsia="zh-CN"/>
        </w:rPr>
        <w:t>；</w:t>
      </w:r>
      <w:r>
        <w:rPr>
          <w:rFonts w:ascii="Times New Roman" w:hAnsi="Times New Roman" w:eastAsia="仿宋_GB2312" w:cs="Times New Roman"/>
          <w:sz w:val="32"/>
          <w:szCs w:val="32"/>
          <w:highlight w:val="none"/>
        </w:rPr>
        <w:t>开支</w:t>
      </w:r>
      <w:r>
        <w:rPr>
          <w:rFonts w:hint="eastAsia" w:ascii="Times New Roman" w:hAnsi="Times New Roman" w:eastAsia="仿宋_GB2312" w:cs="Times New Roman"/>
          <w:sz w:val="32"/>
          <w:szCs w:val="32"/>
          <w:highlight w:val="none"/>
          <w:lang w:eastAsia="zh-CN"/>
        </w:rPr>
        <w:t>培训费</w:t>
      </w:r>
      <w:r>
        <w:rPr>
          <w:rFonts w:hint="eastAsia" w:ascii="Times New Roman" w:hAnsi="Times New Roman" w:eastAsia="仿宋_GB2312" w:cs="Times New Roman"/>
          <w:sz w:val="32"/>
          <w:szCs w:val="32"/>
          <w:highlight w:val="none"/>
          <w:lang w:val="en-US" w:eastAsia="zh-CN"/>
        </w:rPr>
        <w:t>0.46</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，用于事业单位人员培训工作</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人数9人，</w:t>
      </w:r>
      <w:r>
        <w:rPr>
          <w:rFonts w:ascii="Times New Roman" w:hAnsi="Times New Roman" w:eastAsia="仿宋_GB2312" w:cs="Times New Roman"/>
          <w:sz w:val="32"/>
          <w:szCs w:val="32"/>
          <w:highlight w:val="none"/>
        </w:rPr>
        <w:t>主要</w:t>
      </w:r>
      <w:r>
        <w:rPr>
          <w:rFonts w:hint="eastAsia" w:ascii="Times New Roman" w:hAnsi="Times New Roman" w:eastAsia="仿宋_GB2312" w:cs="Times New Roman"/>
          <w:sz w:val="32"/>
          <w:szCs w:val="32"/>
          <w:highlight w:val="none"/>
          <w:lang w:eastAsia="zh-CN"/>
        </w:rPr>
        <w:t>内容是事业单位人员培训；</w:t>
      </w:r>
      <w:r>
        <w:rPr>
          <w:rFonts w:hint="eastAsia" w:ascii="Times New Roman" w:hAnsi="Times New Roman" w:eastAsia="仿宋_GB2312" w:cs="Times New Roman"/>
          <w:sz w:val="32"/>
          <w:szCs w:val="32"/>
          <w:highlight w:val="yellow"/>
          <w:lang w:eastAsia="zh-CN"/>
        </w:rPr>
        <w:t>未</w:t>
      </w:r>
      <w:r>
        <w:rPr>
          <w:rFonts w:ascii="Times New Roman" w:hAnsi="Times New Roman" w:eastAsia="仿宋_GB2312" w:cs="Times New Roman"/>
          <w:sz w:val="32"/>
          <w:szCs w:val="32"/>
          <w:highlight w:val="yellow"/>
        </w:rPr>
        <w:t>举办节庆、晚会、论坛、赛事活动</w:t>
      </w:r>
      <w:r>
        <w:rPr>
          <w:rFonts w:hint="eastAsia" w:ascii="Times New Roman" w:hAnsi="Times New Roman" w:eastAsia="仿宋_GB2312" w:cs="Times New Roman"/>
          <w:sz w:val="32"/>
          <w:szCs w:val="32"/>
          <w:highlight w:val="yellow"/>
          <w:lang w:eastAsia="zh-CN"/>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6"/>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28.93</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9.23</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19.7</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28.93</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28.93</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截至2024年12月31日，部门（单位）共有车辆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w:t>
      </w:r>
      <w:r>
        <w:rPr>
          <w:rFonts w:ascii="Times New Roman" w:hAnsi="Times New Roman" w:eastAsia="仿宋_GB2312" w:cs="Times New Roman"/>
          <w:b/>
          <w:bCs/>
          <w:kern w:val="0"/>
          <w:sz w:val="32"/>
          <w:szCs w:val="32"/>
        </w:rPr>
        <w:t>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403.68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403.68</w:t>
      </w:r>
      <w:r>
        <w:rPr>
          <w:rFonts w:ascii="Times New Roman" w:hAnsi="Times New Roman" w:eastAsia="仿宋_GB2312" w:cs="Times New Roman"/>
          <w:kern w:val="0"/>
          <w:sz w:val="32"/>
          <w:szCs w:val="32"/>
        </w:rPr>
        <w:t>万元，占</w:t>
      </w:r>
      <w:r>
        <w:rPr>
          <w:rFonts w:ascii="Times New Roman" w:hAnsi="Times New Roman" w:eastAsia="仿宋_GB2312" w:cs="Times New Roman"/>
          <w:kern w:val="0"/>
          <w:sz w:val="32"/>
          <w:szCs w:val="32"/>
          <w:highlight w:val="none"/>
        </w:rPr>
        <w:t>一般公共预算支出总额的</w:t>
      </w:r>
      <w:r>
        <w:rPr>
          <w:rFonts w:hint="eastAsia" w:ascii="Times New Roman" w:hAnsi="Times New Roman" w:eastAsia="仿宋_GB2312" w:cs="Times New Roman"/>
          <w:kern w:val="0"/>
          <w:sz w:val="32"/>
          <w:szCs w:val="32"/>
          <w:highlight w:val="none"/>
          <w:lang w:val="en-US" w:eastAsia="zh-CN"/>
        </w:rPr>
        <w:t>79.51</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507.68</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403.68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79.51</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97.45</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b/>
          <w:bCs/>
          <w:sz w:val="32"/>
          <w:szCs w:val="32"/>
        </w:rPr>
        <w:t>开展农村创业典型县评选，助力返乡创业</w:t>
      </w:r>
      <w:r>
        <w:rPr>
          <w:rFonts w:hint="eastAsia" w:ascii="Times New Roman" w:hAnsi="Times New Roman" w:eastAsia="仿宋_GB2312" w:cs="Times New Roman"/>
          <w:sz w:val="32"/>
          <w:szCs w:val="32"/>
        </w:rPr>
        <w:t>。全省共评选出10个农村创业典型县：衡阳县、汝城县、邵东市、岳阳县、湘乡市、会同县、祁阳市、望城区、津市市、桑植县。指导项目县构建“县有创业园、乡镇有创业基地、村有创业服务站”的创业扶持体系</w:t>
      </w:r>
      <w:r>
        <w:rPr>
          <w:rFonts w:ascii="Times New Roman" w:hAnsi="Times New Roman" w:eastAsia="仿宋_GB2312" w:cs="Times New Roman"/>
          <w:sz w:val="32"/>
          <w:szCs w:val="32"/>
        </w:rPr>
        <w:t>；二是</w:t>
      </w:r>
      <w:r>
        <w:rPr>
          <w:rFonts w:hint="eastAsia" w:ascii="Times New Roman" w:hAnsi="Times New Roman" w:eastAsia="仿宋_GB2312" w:cs="Times New Roman"/>
          <w:b/>
          <w:bCs/>
          <w:sz w:val="32"/>
          <w:szCs w:val="32"/>
        </w:rPr>
        <w:t>举办农村创业大赛，激发创业创新活力</w:t>
      </w:r>
      <w:r>
        <w:rPr>
          <w:rFonts w:hint="eastAsia" w:ascii="Times New Roman" w:hAnsi="Times New Roman" w:eastAsia="仿宋_GB2312" w:cs="Times New Roman"/>
          <w:sz w:val="32"/>
          <w:szCs w:val="32"/>
        </w:rPr>
        <w:t>。12月19-20日举办了以“创业推动发展 加工提升效益”为主题的第八届湖南省农村创业大赛，赛前对参赛选手进行培训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三是</w:t>
      </w:r>
      <w:r>
        <w:rPr>
          <w:rFonts w:hint="eastAsia" w:ascii="Times New Roman" w:hAnsi="Times New Roman" w:eastAsia="仿宋_GB2312" w:cs="Times New Roman"/>
          <w:b/>
          <w:bCs/>
          <w:sz w:val="32"/>
          <w:szCs w:val="32"/>
          <w:lang w:eastAsia="zh-CN"/>
        </w:rPr>
        <w:t>承办职业技能竞赛，培育高素质技能人才</w:t>
      </w:r>
      <w:r>
        <w:rPr>
          <w:rFonts w:hint="eastAsia" w:ascii="Times New Roman" w:hAnsi="Times New Roman" w:eastAsia="仿宋_GB2312" w:cs="Times New Roman"/>
          <w:sz w:val="32"/>
          <w:szCs w:val="32"/>
          <w:lang w:eastAsia="zh-CN"/>
        </w:rPr>
        <w:t>。9月，承办“2024年第六届全国农业行业职业技能选拔赛茶叶加工工（精制）技能竞赛湖南选拔赛”；四是</w:t>
      </w:r>
      <w:r>
        <w:rPr>
          <w:rFonts w:hint="eastAsia" w:ascii="Times New Roman" w:hAnsi="Times New Roman" w:eastAsia="仿宋_GB2312" w:cs="Times New Roman"/>
          <w:b/>
          <w:bCs/>
          <w:sz w:val="32"/>
          <w:szCs w:val="32"/>
          <w:lang w:eastAsia="zh-CN"/>
        </w:rPr>
        <w:t>加强乡村追梦人宣传，营造良好创业氛围</w:t>
      </w:r>
      <w:r>
        <w:rPr>
          <w:rFonts w:hint="eastAsia" w:ascii="Times New Roman" w:hAnsi="Times New Roman" w:eastAsia="仿宋_GB2312" w:cs="Times New Roman"/>
          <w:sz w:val="32"/>
          <w:szCs w:val="32"/>
          <w:lang w:eastAsia="zh-CN"/>
        </w:rPr>
        <w:t>。在厅官网与红网开设《乡村追梦人专栏》，联合相关媒体，每月对市州推荐的农村创业典型进行宣传报道。汇编整理《乡村追梦人》用于返乡创业人员培训；五是</w:t>
      </w:r>
      <w:r>
        <w:rPr>
          <w:rFonts w:hint="eastAsia" w:ascii="Times New Roman" w:hAnsi="Times New Roman" w:eastAsia="仿宋_GB2312" w:cs="Times New Roman"/>
          <w:b/>
          <w:bCs/>
          <w:sz w:val="32"/>
          <w:szCs w:val="32"/>
          <w:lang w:eastAsia="zh-CN"/>
        </w:rPr>
        <w:t>联合开展课题研究，提供发展理论实践支撑</w:t>
      </w:r>
      <w:r>
        <w:rPr>
          <w:rFonts w:hint="eastAsia" w:ascii="Times New Roman" w:hAnsi="Times New Roman" w:eastAsia="仿宋_GB2312" w:cs="Times New Roman"/>
          <w:sz w:val="32"/>
          <w:szCs w:val="32"/>
          <w:lang w:eastAsia="zh-CN"/>
        </w:rPr>
        <w:t>。与省委党校创新智库合作开展《湖南农村创业典型县与优秀带头人案例研究》课题；六是</w:t>
      </w:r>
      <w:r>
        <w:rPr>
          <w:rFonts w:hint="eastAsia" w:ascii="Times New Roman" w:hAnsi="Times New Roman" w:eastAsia="仿宋_GB2312" w:cs="Times New Roman"/>
          <w:b/>
          <w:bCs/>
          <w:sz w:val="32"/>
          <w:szCs w:val="32"/>
          <w:lang w:eastAsia="zh-CN"/>
        </w:rPr>
        <w:t>做好产业集群技术服务，推动产业提质升级</w:t>
      </w:r>
      <w:r>
        <w:rPr>
          <w:rFonts w:hint="eastAsia" w:ascii="Times New Roman" w:hAnsi="Times New Roman" w:eastAsia="仿宋_GB2312" w:cs="Times New Roman"/>
          <w:sz w:val="32"/>
          <w:szCs w:val="32"/>
          <w:lang w:eastAsia="zh-CN"/>
        </w:rPr>
        <w:t>。承担项目技术服务团队组建与技术培训工作。已组建9人专家团队，开展2轮实地调研（华容、君山），组织2次培训（南县、君山），累计培训200余人次。</w:t>
      </w:r>
      <w:r>
        <w:rPr>
          <w:rFonts w:ascii="Times New Roman" w:hAnsi="Times New Roman" w:eastAsia="仿宋_GB2312" w:cs="Times New Roman"/>
          <w:b/>
          <w:bCs/>
          <w:sz w:val="32"/>
          <w:szCs w:val="32"/>
        </w:rPr>
        <w:t>发现的主要问题及原因：</w:t>
      </w:r>
      <w:r>
        <w:rPr>
          <w:rFonts w:ascii="Times New Roman" w:hAnsi="Times New Roman" w:eastAsia="仿宋_GB2312" w:cs="Times New Roman"/>
          <w:sz w:val="32"/>
          <w:szCs w:val="32"/>
        </w:rPr>
        <w:t>一是</w:t>
      </w:r>
      <w:r>
        <w:rPr>
          <w:rFonts w:hint="eastAsia" w:ascii="Times New Roman" w:hAnsi="Times New Roman" w:eastAsia="仿宋_GB2312" w:cs="Times New Roman"/>
          <w:sz w:val="32"/>
          <w:szCs w:val="32"/>
        </w:rPr>
        <w:t>预算管理</w:t>
      </w:r>
      <w:r>
        <w:rPr>
          <w:rFonts w:hint="eastAsia" w:ascii="Times New Roman" w:hAnsi="Times New Roman" w:eastAsia="仿宋_GB2312" w:cs="Times New Roman"/>
          <w:sz w:val="32"/>
          <w:szCs w:val="32"/>
          <w:lang w:eastAsia="zh-CN"/>
        </w:rPr>
        <w:t>绩效</w:t>
      </w:r>
      <w:r>
        <w:rPr>
          <w:rFonts w:hint="eastAsia" w:ascii="Times New Roman" w:hAnsi="Times New Roman" w:eastAsia="仿宋_GB2312" w:cs="Times New Roman"/>
          <w:sz w:val="32"/>
          <w:szCs w:val="32"/>
        </w:rPr>
        <w:t>水平</w:t>
      </w:r>
      <w:r>
        <w:rPr>
          <w:rFonts w:hint="eastAsia" w:ascii="Times New Roman" w:hAnsi="Times New Roman" w:eastAsia="仿宋_GB2312" w:cs="Times New Roman"/>
          <w:sz w:val="32"/>
          <w:szCs w:val="32"/>
          <w:lang w:eastAsia="zh-CN"/>
        </w:rPr>
        <w:t>有待提高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主要原因是</w:t>
      </w:r>
      <w:r>
        <w:rPr>
          <w:rFonts w:hint="default" w:ascii="Times New Roman" w:hAnsi="Times New Roman" w:eastAsia="仿宋_GB2312" w:cs="Times New Roman"/>
          <w:sz w:val="32"/>
          <w:szCs w:val="32"/>
          <w:lang w:val="en-US" w:eastAsia="zh-CN"/>
        </w:rPr>
        <w:t>绩效管理人员</w:t>
      </w:r>
      <w:r>
        <w:rPr>
          <w:rFonts w:hint="eastAsia" w:ascii="Times New Roman" w:hAnsi="Times New Roman" w:eastAsia="仿宋_GB2312" w:cs="Times New Roman"/>
          <w:color w:val="auto"/>
          <w:sz w:val="32"/>
          <w:szCs w:val="32"/>
          <w:highlight w:val="none"/>
          <w:lang w:val="en-US" w:eastAsia="zh-CN"/>
        </w:rPr>
        <w:t>对预算绩效管理相关文件学习不够，</w:t>
      </w:r>
      <w:r>
        <w:rPr>
          <w:rFonts w:hint="default" w:ascii="Times New Roman" w:hAnsi="Times New Roman" w:eastAsia="仿宋_GB2312" w:cs="Times New Roman"/>
          <w:sz w:val="32"/>
          <w:szCs w:val="32"/>
          <w:lang w:val="en-US" w:eastAsia="zh-CN"/>
        </w:rPr>
        <w:t>对绩效目标及指标设置的科学性、合理性和规范性认识</w:t>
      </w:r>
      <w:r>
        <w:rPr>
          <w:rFonts w:hint="eastAsia" w:ascii="Times New Roman" w:hAnsi="Times New Roman" w:eastAsia="仿宋_GB2312" w:cs="Times New Roman"/>
          <w:sz w:val="32"/>
          <w:szCs w:val="32"/>
          <w:lang w:val="en-US" w:eastAsia="zh-CN"/>
        </w:rPr>
        <w:t>不够；</w:t>
      </w:r>
      <w:r>
        <w:rPr>
          <w:rFonts w:ascii="Times New Roman" w:hAnsi="Times New Roman" w:eastAsia="仿宋_GB2312" w:cs="Times New Roman"/>
          <w:sz w:val="32"/>
          <w:szCs w:val="32"/>
        </w:rPr>
        <w:t>二是</w:t>
      </w:r>
      <w:r>
        <w:rPr>
          <w:rFonts w:hint="eastAsia" w:ascii="Times New Roman" w:hAnsi="Times New Roman" w:eastAsia="仿宋_GB2312" w:cs="Times New Roman"/>
          <w:color w:val="auto"/>
          <w:sz w:val="32"/>
          <w:szCs w:val="32"/>
          <w:highlight w:val="none"/>
          <w:lang w:val="en-US" w:eastAsia="zh-CN"/>
        </w:rPr>
        <w:t>预算执行率有待提高</w:t>
      </w:r>
      <w:r>
        <w:rPr>
          <w:rFonts w:ascii="Times New Roman" w:hAnsi="Times New Roman" w:eastAsia="仿宋_GB2312" w:cs="Times New Roman"/>
          <w:sz w:val="32"/>
          <w:szCs w:val="32"/>
        </w:rPr>
        <w:t>。</w:t>
      </w:r>
      <w:r>
        <w:rPr>
          <w:rFonts w:hint="eastAsia" w:ascii="Times New Roman" w:hAnsi="Times New Roman" w:eastAsia="仿宋_GB2312" w:cs="Times New Roman"/>
          <w:color w:val="auto"/>
          <w:sz w:val="32"/>
          <w:szCs w:val="32"/>
          <w:highlight w:val="none"/>
          <w:lang w:val="en-US" w:eastAsia="zh-CN"/>
        </w:rPr>
        <w:t>主要原因是</w:t>
      </w:r>
      <w:r>
        <w:rPr>
          <w:rFonts w:hint="default" w:ascii="Times New Roman" w:hAnsi="Times New Roman" w:eastAsia="仿宋_GB2312" w:cs="Times New Roman"/>
          <w:color w:val="auto"/>
          <w:sz w:val="32"/>
          <w:szCs w:val="32"/>
          <w:highlight w:val="none"/>
          <w:lang w:val="en-US" w:eastAsia="zh-CN"/>
        </w:rPr>
        <w:t>部分项目</w:t>
      </w:r>
      <w:r>
        <w:rPr>
          <w:rFonts w:hint="eastAsia" w:ascii="Times New Roman" w:hAnsi="Times New Roman" w:eastAsia="仿宋_GB2312" w:cs="Times New Roman"/>
          <w:color w:val="auto"/>
          <w:sz w:val="32"/>
          <w:szCs w:val="32"/>
          <w:highlight w:val="none"/>
          <w:lang w:val="en-US" w:eastAsia="zh-CN"/>
        </w:rPr>
        <w:t>资金开展时间较慢。</w:t>
      </w:r>
      <w:r>
        <w:rPr>
          <w:rFonts w:ascii="Times New Roman" w:hAnsi="Times New Roman" w:eastAsia="仿宋_GB2312" w:cs="Times New Roman"/>
          <w:b/>
          <w:bCs/>
          <w:sz w:val="32"/>
          <w:szCs w:val="32"/>
        </w:rPr>
        <w:t>下一步改进措施：</w:t>
      </w:r>
      <w:r>
        <w:rPr>
          <w:rFonts w:ascii="Times New Roman" w:hAnsi="Times New Roman" w:eastAsia="仿宋_GB2312" w:cs="Times New Roman"/>
          <w:sz w:val="32"/>
          <w:szCs w:val="32"/>
        </w:rPr>
        <w:t>一是</w:t>
      </w:r>
      <w:r>
        <w:rPr>
          <w:rFonts w:hint="default" w:ascii="Times New Roman" w:hAnsi="Times New Roman" w:eastAsia="仿宋_GB2312" w:cs="Times New Roman"/>
          <w:i w:val="0"/>
          <w:caps w:val="0"/>
          <w:color w:val="333333"/>
          <w:spacing w:val="0"/>
          <w:kern w:val="0"/>
          <w:sz w:val="32"/>
          <w:szCs w:val="32"/>
          <w:shd w:val="clear" w:color="auto" w:fill="FFFFFF"/>
          <w:lang w:val="en-US" w:eastAsia="en-US" w:bidi="ar"/>
        </w:rPr>
        <w:t>聘请专业人员组织开展预算绩效管理相关培训，强化预算绩效管理意识，提高人员绩效管理水平</w:t>
      </w:r>
      <w:r>
        <w:rPr>
          <w:rFonts w:ascii="Times New Roman" w:hAnsi="Times New Roman" w:eastAsia="仿宋_GB2312" w:cs="Times New Roman"/>
          <w:sz w:val="32"/>
          <w:szCs w:val="32"/>
        </w:rPr>
        <w:t>；二是</w:t>
      </w:r>
      <w:r>
        <w:rPr>
          <w:rFonts w:hint="eastAsia" w:ascii="Times New Roman" w:hAnsi="Times New Roman" w:eastAsia="仿宋_GB2312" w:cs="Times New Roman"/>
          <w:color w:val="auto"/>
          <w:sz w:val="32"/>
          <w:szCs w:val="32"/>
          <w:highlight w:val="none"/>
          <w:lang w:val="en-US" w:eastAsia="zh-CN"/>
        </w:rPr>
        <w:t>加强项目实施管理，合理安排资金，加快推进项目实施进度。</w:t>
      </w:r>
    </w:p>
    <w:p>
      <w:pPr>
        <w:pStyle w:val="16"/>
        <w:overflowPunct w:val="0"/>
        <w:autoSpaceDE/>
        <w:autoSpaceDN/>
        <w:spacing w:line="600" w:lineRule="exact"/>
        <w:ind w:firstLine="640" w:firstLineChars="200"/>
        <w:jc w:val="both"/>
        <w:rPr>
          <w:rFonts w:ascii="Times New Roman" w:hAnsi="Times New Roman" w:cs="Times New Roman"/>
          <w:sz w:val="72"/>
          <w:szCs w:val="72"/>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kern w:val="2"/>
          <w:sz w:val="32"/>
          <w:szCs w:val="32"/>
          <w:highlight w:val="none"/>
          <w:lang w:val="en-US" w:eastAsia="zh-CN" w:bidi="ar-SA"/>
        </w:rPr>
        <w:t>一是</w:t>
      </w:r>
      <w:r>
        <w:rPr>
          <w:rFonts w:hint="default" w:ascii="Times New Roman" w:hAnsi="Times New Roman" w:eastAsia="仿宋_GB2312" w:cs="Times New Roman"/>
          <w:color w:val="auto"/>
          <w:kern w:val="2"/>
          <w:sz w:val="32"/>
          <w:szCs w:val="32"/>
          <w:highlight w:val="none"/>
          <w:lang w:val="en-US" w:eastAsia="zh-CN" w:bidi="ar-SA"/>
        </w:rPr>
        <w:t>针对绩效自评发现的问题</w:t>
      </w:r>
      <w:r>
        <w:rPr>
          <w:rFonts w:hint="eastAsia" w:ascii="Times New Roman" w:hAnsi="Times New Roman" w:eastAsia="仿宋_GB2312" w:cs="Times New Roman"/>
          <w:color w:val="auto"/>
          <w:kern w:val="2"/>
          <w:sz w:val="32"/>
          <w:szCs w:val="32"/>
          <w:highlight w:val="none"/>
          <w:lang w:val="en-US" w:eastAsia="zh-CN" w:bidi="ar-SA"/>
        </w:rPr>
        <w:t>召开专题会议，完善管理机制，明确各科室责任。二是对项目资金、政府采购、资金执行进度进行公开公示。</w:t>
      </w:r>
    </w:p>
    <w:p>
      <w:pPr>
        <w:pStyle w:val="16"/>
        <w:jc w:val="both"/>
        <w:rPr>
          <w:rFonts w:ascii="Times New Roman" w:hAnsi="Times New Roman" w:cs="Times New Roman"/>
          <w:sz w:val="72"/>
          <w:szCs w:val="72"/>
        </w:rPr>
      </w:pPr>
    </w:p>
    <w:p>
      <w:pPr>
        <w:pStyle w:val="16"/>
        <w:jc w:val="both"/>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p>
    <w:p>
      <w:pPr>
        <w:pStyle w:val="16"/>
        <w:spacing w:line="360" w:lineRule="auto"/>
        <w:jc w:val="center"/>
        <w:rPr>
          <w:rFonts w:ascii="Times New Roman" w:hAnsi="Times New Roman" w:eastAsia="方正小标宋_GBK" w:cs="Times New Roman"/>
          <w:sz w:val="52"/>
          <w:szCs w:val="52"/>
        </w:rPr>
      </w:pPr>
    </w:p>
    <w:p>
      <w:pPr>
        <w:pStyle w:val="16"/>
        <w:spacing w:line="360" w:lineRule="auto"/>
        <w:jc w:val="center"/>
        <w:rPr>
          <w:rFonts w:ascii="Times New Roman" w:hAnsi="Times New Roman" w:eastAsia="方正小标宋_GBK" w:cs="Times New Roman"/>
          <w:sz w:val="52"/>
          <w:szCs w:val="5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6"/>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基本支出：指为保障机构正常运转、完成日常工作任务而发生的各项支出，包括人员支出和公用支出。</w:t>
      </w:r>
    </w:p>
    <w:p>
      <w:pPr>
        <w:pStyle w:val="16"/>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二、</w:t>
      </w:r>
      <w:r>
        <w:rPr>
          <w:rFonts w:hint="eastAsia" w:ascii="仿宋_GB2312" w:hAnsi="仿宋_GB2312" w:eastAsia="仿宋_GB2312" w:cs="仿宋_GB2312"/>
          <w:color w:val="auto"/>
          <w:sz w:val="28"/>
          <w:szCs w:val="28"/>
        </w:rPr>
        <w:t xml:space="preserve">项目支出：指在基本支出以外为完成相关行政任务和事业发展目标所发生的各项支出。 </w:t>
      </w:r>
    </w:p>
    <w:p>
      <w:pPr>
        <w:pStyle w:val="16"/>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“三公”经费：指通过财政拨款资金安排的因公出国（境）费、公务用车购置及运行费和公务接待费支出。 </w:t>
      </w:r>
    </w:p>
    <w:p>
      <w:pPr>
        <w:widowControl/>
        <w:ind w:firstLine="560" w:firstLineChars="200"/>
        <w:jc w:val="left"/>
        <w:rPr>
          <w:rFonts w:ascii="Times New Roman" w:hAnsi="Times New Roman" w:cs="Times New Roman"/>
          <w:sz w:val="60"/>
          <w:szCs w:val="60"/>
        </w:rPr>
      </w:pPr>
      <w:r>
        <w:rPr>
          <w:rFonts w:hint="eastAsia" w:ascii="仿宋_GB2312" w:hAnsi="仿宋_GB2312" w:eastAsia="仿宋_GB2312" w:cs="仿宋_GB2312"/>
          <w:sz w:val="28"/>
          <w:szCs w:val="28"/>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机关运行经费：是指各部门的公用经费，包括办公及印刷费、邮电费、差旅费、会议费、福利费、日常维修费、专用材 料及一般设备购置费、办公用房水电费、办公用房取暖费、办公用房物业管理费、公务用车运行维护费以及其他费用。</w:t>
      </w: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both"/>
        <w:rPr>
          <w:rFonts w:ascii="Times New Roman" w:hAnsi="Times New Roman" w:cs="Times New Roman"/>
          <w:sz w:val="72"/>
          <w:szCs w:val="72"/>
        </w:rPr>
      </w:pPr>
    </w:p>
    <w:p>
      <w:pPr>
        <w:pStyle w:val="16"/>
        <w:spacing w:line="360" w:lineRule="auto"/>
        <w:jc w:val="both"/>
        <w:rPr>
          <w:rFonts w:ascii="Times New Roman" w:hAnsi="Times New Roman" w:eastAsia="方正小标宋_GBK" w:cs="Times New Roman"/>
          <w:sz w:val="52"/>
          <w:szCs w:val="52"/>
        </w:rPr>
      </w:pPr>
    </w:p>
    <w:p>
      <w:pPr>
        <w:pStyle w:val="16"/>
        <w:spacing w:line="360" w:lineRule="auto"/>
        <w:jc w:val="center"/>
        <w:rPr>
          <w:rFonts w:ascii="Times New Roman" w:hAnsi="Times New Roman" w:eastAsia="方正小标宋_GBK" w:cs="Times New Roman"/>
          <w:sz w:val="52"/>
          <w:szCs w:val="52"/>
        </w:rPr>
      </w:pPr>
    </w:p>
    <w:p>
      <w:pPr>
        <w:pStyle w:val="16"/>
        <w:spacing w:line="360" w:lineRule="auto"/>
        <w:jc w:val="center"/>
        <w:rPr>
          <w:rFonts w:ascii="Times New Roman" w:hAnsi="Times New Roman" w:eastAsia="仿宋_GB2312" w:cs="Times New Roman"/>
          <w:sz w:val="32"/>
          <w:szCs w:val="32"/>
        </w:rPr>
      </w:pPr>
      <w:r>
        <w:rPr>
          <w:rFonts w:ascii="Times New Roman" w:hAnsi="Times New Roman" w:eastAsia="方正小标宋_GBK" w:cs="Times New Roman"/>
          <w:sz w:val="52"/>
          <w:szCs w:val="52"/>
        </w:rPr>
        <w:t>第五部分   附 件</w:t>
      </w:r>
    </w:p>
    <w:p>
      <w:pPr>
        <w:pStyle w:val="9"/>
        <w:rPr>
          <w:rFonts w:hint="eastAsia" w:eastAsia="方正小标宋_GBK"/>
          <w:sz w:val="48"/>
          <w:szCs w:val="48"/>
          <w:lang w:val="en-US" w:eastAsia="zh-CN"/>
        </w:rPr>
      </w:pPr>
    </w:p>
    <w:p>
      <w:pPr>
        <w:pStyle w:val="9"/>
        <w:rPr>
          <w:rFonts w:hint="eastAsia" w:eastAsia="方正小标宋_GBK"/>
          <w:sz w:val="48"/>
          <w:szCs w:val="48"/>
          <w:lang w:val="en-US" w:eastAsia="zh-CN"/>
        </w:rPr>
      </w:pPr>
    </w:p>
    <w:p>
      <w:pPr>
        <w:pStyle w:val="9"/>
        <w:rPr>
          <w:rFonts w:hint="eastAsia" w:eastAsia="方正小标宋_GBK"/>
          <w:sz w:val="48"/>
          <w:szCs w:val="48"/>
          <w:lang w:val="en-US" w:eastAsia="zh-CN"/>
        </w:rPr>
      </w:pPr>
    </w:p>
    <w:p>
      <w:pPr>
        <w:pStyle w:val="9"/>
        <w:rPr>
          <w:rFonts w:hint="eastAsia" w:eastAsia="方正小标宋_GBK"/>
          <w:sz w:val="48"/>
          <w:szCs w:val="48"/>
          <w:lang w:val="en-US" w:eastAsia="zh-CN"/>
        </w:rPr>
      </w:pPr>
    </w:p>
    <w:p>
      <w:pPr>
        <w:pStyle w:val="9"/>
        <w:rPr>
          <w:rFonts w:hint="eastAsia" w:eastAsia="方正小标宋_GBK"/>
          <w:sz w:val="48"/>
          <w:szCs w:val="48"/>
          <w:lang w:val="en-US" w:eastAsia="zh-CN"/>
        </w:rPr>
      </w:pPr>
    </w:p>
    <w:p>
      <w:pPr>
        <w:ind w:firstLine="0" w:firstLineChars="0"/>
        <w:jc w:val="center"/>
        <w:rPr>
          <w:rFonts w:eastAsia="方正小标宋_GBK"/>
          <w:sz w:val="48"/>
          <w:szCs w:val="48"/>
        </w:rPr>
      </w:pPr>
      <w:r>
        <w:rPr>
          <w:rFonts w:hint="default" w:ascii="Times New Roman" w:hAnsi="Times New Roman" w:eastAsia="方正小标宋_GBK" w:cs="Times New Roman"/>
          <w:sz w:val="48"/>
          <w:szCs w:val="48"/>
          <w:lang w:val="en-US" w:eastAsia="zh-CN"/>
        </w:rPr>
        <w:t>2024</w:t>
      </w:r>
      <w:r>
        <w:rPr>
          <w:rFonts w:eastAsia="方正小标宋_GBK"/>
          <w:sz w:val="48"/>
          <w:szCs w:val="48"/>
        </w:rPr>
        <w:t>年度</w:t>
      </w:r>
      <w:r>
        <w:rPr>
          <w:rFonts w:hint="eastAsia" w:eastAsia="方正小标宋_GBK"/>
          <w:sz w:val="48"/>
          <w:szCs w:val="48"/>
          <w:lang w:eastAsia="zh-CN"/>
        </w:rPr>
        <w:t>单位</w:t>
      </w:r>
      <w:r>
        <w:rPr>
          <w:rFonts w:eastAsia="方正小标宋_GBK"/>
          <w:sz w:val="48"/>
          <w:szCs w:val="48"/>
        </w:rPr>
        <w:t>整体支出</w:t>
      </w:r>
    </w:p>
    <w:p>
      <w:pPr>
        <w:ind w:firstLine="0" w:firstLineChars="0"/>
        <w:jc w:val="center"/>
        <w:rPr>
          <w:rFonts w:eastAsia="方正小标宋_GBK"/>
          <w:sz w:val="48"/>
          <w:szCs w:val="48"/>
        </w:rPr>
      </w:pPr>
      <w:r>
        <w:rPr>
          <w:rFonts w:eastAsia="方正小标宋_GBK"/>
          <w:sz w:val="48"/>
          <w:szCs w:val="48"/>
        </w:rPr>
        <w:t>绩效自评报告</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hint="eastAsia" w:eastAsia="黑体"/>
          <w:sz w:val="36"/>
          <w:szCs w:val="36"/>
          <w:lang w:eastAsia="zh-CN"/>
        </w:rPr>
      </w:pPr>
      <w:r>
        <w:rPr>
          <w:rFonts w:eastAsia="黑体"/>
          <w:sz w:val="36"/>
          <w:szCs w:val="36"/>
        </w:rPr>
        <w:t>单位名称（盖章）：</w:t>
      </w:r>
      <w:r>
        <w:rPr>
          <w:rFonts w:hint="eastAsia" w:eastAsia="黑体"/>
          <w:sz w:val="36"/>
          <w:szCs w:val="36"/>
          <w:lang w:eastAsia="zh-CN"/>
        </w:rPr>
        <w:t>湖南省农业产业化发展服务中心</w:t>
      </w:r>
    </w:p>
    <w:p>
      <w:pPr>
        <w:ind w:firstLine="0" w:firstLineChars="0"/>
        <w:jc w:val="center"/>
        <w:rPr>
          <w:rFonts w:eastAsia="黑体"/>
          <w:sz w:val="36"/>
          <w:szCs w:val="36"/>
        </w:rPr>
      </w:pPr>
      <w:r>
        <w:rPr>
          <w:rFonts w:eastAsia="黑体"/>
          <w:sz w:val="36"/>
          <w:szCs w:val="36"/>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pStyle w:val="4"/>
        <w:spacing w:line="570" w:lineRule="atLeast"/>
        <w:ind w:firstLine="640"/>
        <w:rPr>
          <w:sz w:val="32"/>
          <w:szCs w:val="32"/>
        </w:rPr>
      </w:pPr>
      <w:r>
        <w:rPr>
          <w:rFonts w:eastAsia="仿宋_GB2312"/>
        </w:rPr>
        <w:br w:type="page"/>
      </w:r>
      <w:r>
        <w:rPr>
          <w:sz w:val="32"/>
          <w:szCs w:val="32"/>
        </w:rPr>
        <w:t>一、基本情况</w:t>
      </w:r>
    </w:p>
    <w:p>
      <w:pPr>
        <w:spacing w:line="570" w:lineRule="atLeast"/>
        <w:ind w:firstLine="643"/>
        <w:rPr>
          <w:rFonts w:eastAsia="楷体_GB2312"/>
          <w:b/>
          <w:sz w:val="32"/>
          <w:szCs w:val="32"/>
        </w:rPr>
      </w:pPr>
      <w:r>
        <w:rPr>
          <w:rFonts w:eastAsia="楷体_GB2312"/>
          <w:b/>
          <w:sz w:val="32"/>
          <w:szCs w:val="32"/>
        </w:rPr>
        <w:t>（一）单位基本情况</w:t>
      </w:r>
    </w:p>
    <w:p>
      <w:pPr>
        <w:widowControl/>
        <w:spacing w:line="600" w:lineRule="exact"/>
        <w:ind w:firstLine="627" w:firstLineChars="196"/>
        <w:jc w:val="both"/>
        <w:rPr>
          <w:rFonts w:hint="default" w:ascii="仿宋_GB2312" w:hAnsi="仿宋_GB2312"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cs="Times New Roman"/>
          <w:sz w:val="32"/>
          <w:szCs w:val="32"/>
          <w:lang w:val="en-US" w:eastAsia="zh-CN"/>
        </w:rPr>
        <w:t>.</w:t>
      </w:r>
      <w:r>
        <w:rPr>
          <w:rFonts w:hint="eastAsia" w:ascii="仿宋_GB2312" w:hAnsi="仿宋_GB2312" w:eastAsia="仿宋_GB2312" w:cs="Times New Roman"/>
          <w:sz w:val="32"/>
          <w:szCs w:val="32"/>
          <w:lang w:val="en-US" w:eastAsia="zh-CN"/>
        </w:rPr>
        <w:t>职能</w:t>
      </w:r>
      <w:r>
        <w:rPr>
          <w:rFonts w:hint="default" w:ascii="仿宋_GB2312" w:hAnsi="仿宋_GB2312" w:eastAsia="仿宋_GB2312" w:cs="Times New Roman"/>
          <w:sz w:val="32"/>
          <w:szCs w:val="32"/>
          <w:lang w:val="en-US" w:eastAsia="en-US"/>
        </w:rPr>
        <w:t>职</w:t>
      </w:r>
      <w:r>
        <w:rPr>
          <w:rFonts w:hint="default" w:ascii="仿宋_GB2312" w:hAnsi="仿宋_GB2312" w:eastAsia="仿宋_GB2312" w:cs="Times New Roman"/>
          <w:sz w:val="32"/>
          <w:szCs w:val="32"/>
          <w:lang w:val="en-US" w:eastAsia="zh-CN"/>
        </w:rPr>
        <w:t>责</w:t>
      </w:r>
    </w:p>
    <w:p>
      <w:pPr>
        <w:widowControl/>
        <w:spacing w:line="600" w:lineRule="exact"/>
        <w:ind w:firstLine="627" w:firstLineChars="196"/>
        <w:jc w:val="both"/>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w:t>
      </w:r>
      <w:r>
        <w:rPr>
          <w:rFonts w:hint="eastAsia" w:ascii="仿宋_GB2312" w:hAnsi="仿宋_GB2312" w:eastAsia="仿宋_GB2312" w:cs="Times New Roman"/>
          <w:sz w:val="32"/>
          <w:szCs w:val="32"/>
          <w:lang w:val="en-US" w:eastAsia="zh-CN"/>
        </w:rPr>
        <w:t>）</w:t>
      </w:r>
      <w:r>
        <w:rPr>
          <w:rFonts w:hint="default" w:ascii="仿宋_GB2312" w:hAnsi="仿宋_GB2312" w:eastAsia="仿宋_GB2312" w:cs="Times New Roman"/>
          <w:sz w:val="32"/>
          <w:szCs w:val="32"/>
          <w:lang w:val="en-US" w:eastAsia="zh-CN"/>
        </w:rPr>
        <w:t>农产品加工服务体系建设；</w:t>
      </w:r>
    </w:p>
    <w:p>
      <w:pPr>
        <w:widowControl/>
        <w:spacing w:line="600" w:lineRule="exact"/>
        <w:ind w:firstLine="627" w:firstLineChars="196"/>
        <w:jc w:val="both"/>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w:t>
      </w:r>
      <w:r>
        <w:rPr>
          <w:rFonts w:hint="eastAsia" w:ascii="仿宋_GB2312" w:hAnsi="仿宋_GB2312" w:eastAsia="仿宋_GB2312" w:cs="Times New Roman"/>
          <w:sz w:val="32"/>
          <w:szCs w:val="32"/>
          <w:lang w:val="en-US" w:eastAsia="zh-CN"/>
        </w:rPr>
        <w:t>）</w:t>
      </w:r>
      <w:r>
        <w:rPr>
          <w:rFonts w:hint="default" w:ascii="仿宋_GB2312" w:hAnsi="仿宋_GB2312" w:eastAsia="仿宋_GB2312" w:cs="Times New Roman"/>
          <w:sz w:val="32"/>
          <w:szCs w:val="32"/>
          <w:lang w:val="en-US" w:eastAsia="zh-CN"/>
        </w:rPr>
        <w:t>农产品加工、包装、运输、贮藏新成果、新技术引进推广；</w:t>
      </w:r>
    </w:p>
    <w:p>
      <w:pPr>
        <w:widowControl/>
        <w:spacing w:line="600" w:lineRule="exact"/>
        <w:ind w:firstLine="627" w:firstLineChars="196"/>
        <w:jc w:val="both"/>
        <w:rPr>
          <w:rFonts w:hint="default" w:ascii="仿宋_GB2312" w:hAnsi="仿宋_GB2312"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仿宋_GB2312" w:hAnsi="仿宋_GB2312" w:eastAsia="仿宋_GB2312" w:cs="Times New Roman"/>
          <w:sz w:val="32"/>
          <w:szCs w:val="32"/>
          <w:lang w:val="en-US" w:eastAsia="zh-CN"/>
        </w:rPr>
        <w:t>农产品加工与休闲农业从业人员职业技能培训与考核鉴定的业务指导；</w:t>
      </w:r>
    </w:p>
    <w:p>
      <w:pPr>
        <w:widowControl/>
        <w:spacing w:line="600" w:lineRule="exact"/>
        <w:ind w:firstLine="627" w:firstLineChars="196"/>
        <w:jc w:val="both"/>
        <w:rPr>
          <w:rFonts w:hint="default" w:ascii="仿宋_GB2312" w:hAnsi="仿宋_GB2312"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r>
        <w:rPr>
          <w:rFonts w:hint="default" w:ascii="仿宋_GB2312" w:hAnsi="仿宋_GB2312" w:eastAsia="仿宋_GB2312" w:cs="Times New Roman"/>
          <w:sz w:val="32"/>
          <w:szCs w:val="32"/>
          <w:lang w:val="en-US" w:eastAsia="zh-CN"/>
        </w:rPr>
        <w:t>返乡下乡人员创业创新业务指导及承担返乡农民工就地就近就业工作。</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2.</w:t>
      </w:r>
      <w:r>
        <w:rPr>
          <w:rFonts w:hint="default" w:ascii="Times New Roman" w:hAnsi="Times New Roman" w:eastAsia="仿宋_GB2312" w:cs="Times New Roman"/>
          <w:snapToGrid w:val="0"/>
          <w:color w:val="000000"/>
          <w:spacing w:val="11"/>
          <w:kern w:val="0"/>
          <w:position w:val="21"/>
          <w:sz w:val="32"/>
          <w:szCs w:val="32"/>
          <w:lang w:val="en-US" w:eastAsia="en-US" w:bidi="ar-SA"/>
        </w:rPr>
        <w:t>机构</w:t>
      </w:r>
      <w:r>
        <w:rPr>
          <w:rFonts w:hint="default" w:ascii="Times New Roman" w:hAnsi="Times New Roman" w:eastAsia="仿宋_GB2312" w:cs="Times New Roman"/>
          <w:snapToGrid w:val="0"/>
          <w:color w:val="000000"/>
          <w:spacing w:val="11"/>
          <w:kern w:val="0"/>
          <w:position w:val="21"/>
          <w:sz w:val="32"/>
          <w:szCs w:val="32"/>
          <w:lang w:val="en-US" w:eastAsia="zh-CN" w:bidi="ar-SA"/>
        </w:rPr>
        <w:t>设置</w:t>
      </w:r>
    </w:p>
    <w:p>
      <w:pPr>
        <w:widowControl/>
        <w:spacing w:line="600" w:lineRule="exact"/>
        <w:ind w:firstLine="627" w:firstLineChars="196"/>
        <w:jc w:val="both"/>
        <w:rPr>
          <w:rFonts w:hint="default" w:ascii="Times New Roman" w:hAnsi="Times New Roman" w:eastAsia="楷体_GB2312" w:cs="Times New Roman"/>
          <w:b/>
          <w:sz w:val="32"/>
          <w:szCs w:val="32"/>
        </w:rPr>
      </w:pPr>
      <w:r>
        <w:rPr>
          <w:rFonts w:hint="eastAsia" w:ascii="仿宋_GB2312" w:hAnsi="仿宋_GB2312" w:eastAsia="仿宋_GB2312"/>
          <w:sz w:val="32"/>
          <w:szCs w:val="32"/>
          <w:lang w:eastAsia="zh-CN"/>
        </w:rPr>
        <w:t>湖南省农业产业化发展服务中心</w:t>
      </w:r>
      <w:r>
        <w:rPr>
          <w:rFonts w:hint="eastAsia" w:ascii="仿宋_GB2312" w:hAnsi="仿宋_GB2312" w:eastAsia="仿宋_GB2312"/>
          <w:sz w:val="32"/>
          <w:szCs w:val="32"/>
        </w:rPr>
        <w:t>隶属于湖南省农业农村厅的财政全额拨款正处级二级预算单位</w:t>
      </w:r>
      <w:r>
        <w:rPr>
          <w:rFonts w:hint="eastAsia" w:ascii="仿宋_GB2312" w:hAnsi="仿宋_GB2312" w:eastAsia="仿宋_GB2312"/>
          <w:sz w:val="32"/>
          <w:szCs w:val="32"/>
          <w:lang w:eastAsia="zh-CN"/>
        </w:rPr>
        <w:t>，本单位无二级机构，</w:t>
      </w:r>
      <w:r>
        <w:rPr>
          <w:rFonts w:hint="eastAsia" w:ascii="仿宋_GB2312" w:hAnsi="仿宋_GB2312" w:eastAsia="仿宋_GB2312"/>
          <w:sz w:val="32"/>
          <w:szCs w:val="32"/>
        </w:rPr>
        <w:t>单位内</w:t>
      </w:r>
      <w:r>
        <w:rPr>
          <w:rFonts w:hint="eastAsia" w:ascii="仿宋_GB2312" w:eastAsia="仿宋_GB2312"/>
          <w:sz w:val="32"/>
          <w:szCs w:val="32"/>
        </w:rPr>
        <w:t>设有综合科、创业指导科、技术推广科</w:t>
      </w:r>
      <w:r>
        <w:rPr>
          <w:rFonts w:hint="eastAsia" w:ascii="仿宋" w:eastAsia="仿宋" w:cs="仿宋"/>
          <w:sz w:val="32"/>
          <w:szCs w:val="32"/>
        </w:rPr>
        <w:t>。</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3.</w:t>
      </w:r>
      <w:r>
        <w:rPr>
          <w:rFonts w:hint="default" w:ascii="Times New Roman" w:hAnsi="Times New Roman" w:eastAsia="仿宋_GB2312" w:cs="Times New Roman"/>
          <w:snapToGrid w:val="0"/>
          <w:color w:val="000000"/>
          <w:spacing w:val="11"/>
          <w:kern w:val="0"/>
          <w:position w:val="21"/>
          <w:sz w:val="32"/>
          <w:szCs w:val="32"/>
          <w:lang w:val="en-US" w:eastAsia="en-US" w:bidi="ar-SA"/>
        </w:rPr>
        <w:t>人员情况</w:t>
      </w:r>
      <w:r>
        <w:rPr>
          <w:rFonts w:hint="default" w:ascii="Times New Roman" w:hAnsi="Times New Roman" w:eastAsia="仿宋_GB2312" w:cs="Times New Roman"/>
          <w:snapToGrid w:val="0"/>
          <w:color w:val="000000"/>
          <w:spacing w:val="11"/>
          <w:kern w:val="0"/>
          <w:position w:val="21"/>
          <w:sz w:val="32"/>
          <w:szCs w:val="32"/>
          <w:lang w:val="en-US" w:eastAsia="zh-CN" w:bidi="ar-SA"/>
        </w:rPr>
        <w:t xml:space="preserve"> </w:t>
      </w:r>
    </w:p>
    <w:p>
      <w:pPr>
        <w:widowControl/>
        <w:spacing w:line="600" w:lineRule="exact"/>
        <w:ind w:firstLine="627" w:firstLineChars="196"/>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en-US"/>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en-US"/>
        </w:rPr>
        <w:t>年本单位</w:t>
      </w:r>
      <w:r>
        <w:rPr>
          <w:rFonts w:hint="default" w:ascii="Times New Roman" w:hAnsi="Times New Roman" w:eastAsia="仿宋_GB2312" w:cs="Times New Roman"/>
          <w:sz w:val="32"/>
          <w:szCs w:val="32"/>
          <w:lang w:val="en-US" w:eastAsia="zh-CN"/>
        </w:rPr>
        <w:t>编制数11名，</w:t>
      </w:r>
      <w:r>
        <w:rPr>
          <w:rFonts w:hint="default" w:ascii="Times New Roman" w:hAnsi="Times New Roman" w:eastAsia="仿宋_GB2312" w:cs="Times New Roman"/>
          <w:sz w:val="32"/>
          <w:szCs w:val="32"/>
          <w:lang w:val="en-US" w:eastAsia="en-US"/>
        </w:rPr>
        <w:t>年</w:t>
      </w:r>
      <w:r>
        <w:rPr>
          <w:rFonts w:hint="default" w:ascii="Times New Roman" w:hAnsi="Times New Roman" w:eastAsia="仿宋_GB2312" w:cs="Times New Roman"/>
          <w:sz w:val="32"/>
          <w:szCs w:val="32"/>
          <w:lang w:val="en-US" w:eastAsia="zh-CN"/>
        </w:rPr>
        <w:t>末在职</w:t>
      </w:r>
      <w:r>
        <w:rPr>
          <w:rFonts w:hint="default" w:ascii="Times New Roman" w:hAnsi="Times New Roman" w:eastAsia="仿宋_GB2312" w:cs="Times New Roman"/>
          <w:sz w:val="32"/>
          <w:szCs w:val="32"/>
          <w:lang w:val="en-US" w:eastAsia="en-US"/>
        </w:rPr>
        <w:t>实有人数9人</w:t>
      </w:r>
      <w:r>
        <w:rPr>
          <w:rFonts w:hint="default" w:ascii="Times New Roman" w:hAnsi="Times New Roman" w:eastAsia="仿宋_GB2312" w:cs="Times New Roman"/>
          <w:sz w:val="32"/>
          <w:szCs w:val="32"/>
          <w:lang w:val="en-US" w:eastAsia="zh-CN"/>
        </w:rPr>
        <w:t>。</w:t>
      </w:r>
    </w:p>
    <w:p>
      <w:pPr>
        <w:spacing w:line="570" w:lineRule="atLeast"/>
        <w:ind w:firstLine="643"/>
        <w:jc w:val="both"/>
        <w:rPr>
          <w:rFonts w:hint="eastAsia" w:eastAsia="楷体_GB2312"/>
          <w:b/>
          <w:sz w:val="32"/>
          <w:szCs w:val="32"/>
          <w:lang w:eastAsia="zh-CN"/>
        </w:rPr>
      </w:pPr>
      <w:r>
        <w:rPr>
          <w:rFonts w:eastAsia="楷体_GB2312"/>
          <w:b/>
          <w:sz w:val="32"/>
          <w:szCs w:val="32"/>
        </w:rPr>
        <w:t>（二）</w:t>
      </w:r>
      <w:r>
        <w:rPr>
          <w:rFonts w:hint="eastAsia" w:eastAsia="楷体_GB2312"/>
          <w:b/>
          <w:sz w:val="32"/>
          <w:szCs w:val="32"/>
          <w:lang w:eastAsia="zh-CN"/>
        </w:rPr>
        <w:t>绩效目标情况</w:t>
      </w:r>
    </w:p>
    <w:p>
      <w:pPr>
        <w:widowControl/>
        <w:spacing w:line="600" w:lineRule="exact"/>
        <w:ind w:firstLine="627" w:firstLineChars="196"/>
        <w:jc w:val="both"/>
        <w:rPr>
          <w:rFonts w:hint="eastAsia" w:ascii="仿宋_GB2312" w:hAnsi="仿宋_GB2312"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cs="Times New Roman"/>
          <w:sz w:val="32"/>
          <w:szCs w:val="32"/>
          <w:lang w:val="en-US" w:eastAsia="zh-CN"/>
        </w:rPr>
        <w:t>.</w:t>
      </w:r>
      <w:r>
        <w:rPr>
          <w:rFonts w:hint="eastAsia" w:ascii="仿宋_GB2312" w:hAnsi="仿宋_GB2312" w:eastAsia="仿宋_GB2312" w:cs="Times New Roman"/>
          <w:sz w:val="32"/>
          <w:szCs w:val="32"/>
          <w:lang w:val="en-US" w:eastAsia="zh-CN"/>
        </w:rPr>
        <w:t>单位年度整体支出绩效目标</w:t>
      </w:r>
    </w:p>
    <w:p>
      <w:pPr>
        <w:widowControl/>
        <w:spacing w:line="600" w:lineRule="exact"/>
        <w:ind w:firstLine="627" w:firstLineChars="196"/>
        <w:jc w:val="both"/>
        <w:rPr>
          <w:rFonts w:hint="default" w:ascii="Times New Roman" w:hAnsi="Times New Roman" w:eastAsia="仿宋_GB2312" w:cs="Times New Roman"/>
          <w:b w:val="0"/>
          <w:bCs w:val="0"/>
          <w:sz w:val="32"/>
          <w:szCs w:val="32"/>
          <w:lang w:val="en-US" w:eastAsia="zh-CN"/>
        </w:rPr>
      </w:pPr>
      <w:r>
        <w:rPr>
          <w:rFonts w:hint="eastAsia" w:ascii="仿宋_GB2312" w:hAnsi="仿宋_GB2312"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1</w:t>
      </w:r>
      <w:r>
        <w:rPr>
          <w:rFonts w:hint="eastAsia" w:ascii="仿宋_GB2312" w:hAnsi="仿宋_GB2312" w:eastAsia="仿宋_GB2312" w:cs="Times New Roman"/>
          <w:b w:val="0"/>
          <w:bCs w:val="0"/>
          <w:sz w:val="32"/>
          <w:szCs w:val="32"/>
          <w:lang w:val="en-US" w:eastAsia="zh-CN"/>
        </w:rPr>
        <w:t>）推动落实返乡创业“百园千企万人”工程。</w:t>
      </w:r>
      <w:r>
        <w:rPr>
          <w:rFonts w:hint="default" w:ascii="Times New Roman" w:hAnsi="Times New Roman" w:eastAsia="仿宋_GB2312" w:cs="Times New Roman"/>
          <w:b w:val="0"/>
          <w:bCs w:val="0"/>
          <w:sz w:val="32"/>
          <w:szCs w:val="32"/>
          <w:lang w:val="en-US" w:eastAsia="zh-CN"/>
        </w:rPr>
        <w:t>2022</w:t>
      </w:r>
      <w:r>
        <w:rPr>
          <w:rFonts w:hint="eastAsia" w:ascii="仿宋_GB2312" w:hAnsi="仿宋_GB2312" w:eastAsia="仿宋_GB2312" w:cs="Times New Roman"/>
          <w:b w:val="0"/>
          <w:bCs w:val="0"/>
          <w:sz w:val="32"/>
          <w:szCs w:val="32"/>
          <w:lang w:val="en-US" w:eastAsia="zh-CN"/>
        </w:rPr>
        <w:t>年</w:t>
      </w:r>
      <w:r>
        <w:rPr>
          <w:rFonts w:hint="default" w:ascii="Times New Roman" w:hAnsi="Times New Roman" w:eastAsia="仿宋_GB2312" w:cs="Times New Roman"/>
          <w:b w:val="0"/>
          <w:bCs w:val="0"/>
          <w:sz w:val="32"/>
          <w:szCs w:val="32"/>
          <w:lang w:val="en-US" w:eastAsia="zh-CN"/>
        </w:rPr>
        <w:t>8</w:t>
      </w:r>
      <w:r>
        <w:rPr>
          <w:rFonts w:hint="eastAsia" w:ascii="仿宋_GB2312" w:hAnsi="仿宋_GB2312" w:eastAsia="仿宋_GB2312" w:cs="Times New Roman"/>
          <w:b w:val="0"/>
          <w:bCs w:val="0"/>
          <w:sz w:val="32"/>
          <w:szCs w:val="32"/>
          <w:lang w:val="en-US" w:eastAsia="zh-CN"/>
        </w:rPr>
        <w:t>月我厅印发《落实就业优先战略推进返乡创业实施方案》，提出实施农村双创“百园千企万人”工程，用</w:t>
      </w:r>
      <w:r>
        <w:rPr>
          <w:rFonts w:hint="default" w:ascii="Times New Roman" w:hAnsi="Times New Roman" w:eastAsia="仿宋_GB2312" w:cs="Times New Roman"/>
          <w:b w:val="0"/>
          <w:bCs w:val="0"/>
          <w:sz w:val="32"/>
          <w:szCs w:val="32"/>
          <w:lang w:val="en-US" w:eastAsia="zh-CN"/>
        </w:rPr>
        <w:t>5</w:t>
      </w:r>
      <w:r>
        <w:rPr>
          <w:rFonts w:hint="eastAsia" w:ascii="仿宋_GB2312" w:hAnsi="仿宋_GB2312" w:eastAsia="仿宋_GB2312" w:cs="Times New Roman"/>
          <w:b w:val="0"/>
          <w:bCs w:val="0"/>
          <w:sz w:val="32"/>
          <w:szCs w:val="32"/>
          <w:lang w:val="en-US" w:eastAsia="zh-CN"/>
        </w:rPr>
        <w:t>年时间，在全省扶持</w:t>
      </w:r>
      <w:r>
        <w:rPr>
          <w:rFonts w:hint="default" w:ascii="Times New Roman" w:hAnsi="Times New Roman" w:eastAsia="仿宋_GB2312" w:cs="Times New Roman"/>
          <w:b w:val="0"/>
          <w:bCs w:val="0"/>
          <w:sz w:val="32"/>
          <w:szCs w:val="32"/>
          <w:lang w:val="en-US" w:eastAsia="zh-CN"/>
        </w:rPr>
        <w:t>建设100个省级农村创业创新示范园区（基地）、扶持1000个省级农村创业创新示范项目、培育10000名农村创业创新领军人物。2023年1月省政府办公厅印发《关于组织开展湘商回归和返乡创业专项行动的通知》，提出“力争3年返乡创业户数达到</w:t>
      </w:r>
      <w:r>
        <w:rPr>
          <w:rFonts w:hint="eastAsia" w:ascii="仿宋_GB2312" w:hAnsi="仿宋_GB2312" w:eastAsia="仿宋_GB2312" w:cs="Times New Roman"/>
          <w:b w:val="0"/>
          <w:bCs w:val="0"/>
          <w:sz w:val="32"/>
          <w:szCs w:val="32"/>
          <w:lang w:val="en-US" w:eastAsia="zh-CN"/>
        </w:rPr>
        <w:t>全</w:t>
      </w:r>
      <w:r>
        <w:rPr>
          <w:rFonts w:hint="default" w:ascii="Times New Roman" w:hAnsi="Times New Roman" w:eastAsia="仿宋_GB2312" w:cs="Times New Roman"/>
          <w:b w:val="0"/>
          <w:bCs w:val="0"/>
          <w:sz w:val="32"/>
          <w:szCs w:val="32"/>
          <w:lang w:val="en-US" w:eastAsia="zh-CN"/>
        </w:rPr>
        <w:t>省外出务工人数的5%”的工作目标。我们</w:t>
      </w:r>
      <w:r>
        <w:rPr>
          <w:rFonts w:hint="eastAsia" w:ascii="Times New Roman" w:hAnsi="Times New Roman" w:cs="Times New Roman"/>
          <w:b w:val="0"/>
          <w:bCs w:val="0"/>
          <w:sz w:val="32"/>
          <w:szCs w:val="32"/>
          <w:lang w:val="en-US" w:eastAsia="zh-CN"/>
        </w:rPr>
        <w:t>计划</w:t>
      </w:r>
      <w:r>
        <w:rPr>
          <w:rFonts w:hint="default" w:ascii="Times New Roman" w:hAnsi="Times New Roman" w:eastAsia="仿宋_GB2312" w:cs="Times New Roman"/>
          <w:b w:val="0"/>
          <w:bCs w:val="0"/>
          <w:sz w:val="32"/>
          <w:szCs w:val="32"/>
          <w:lang w:val="en-US" w:eastAsia="zh-CN"/>
        </w:rPr>
        <w:t>以此为契机，通过推动落实农村创业“百园千企万人”工程来助力实现5%的返乡创业工作目标。具体来讲就是用5年时间，通过全省每年创建10个农村创业典型县，每个典型县创建2个园区（基地）、扶持20个返乡创业项目、培育200名返乡创业人员。同时督促各地落实返乡创业各项政策措施，激励更多人员返乡创业。</w:t>
      </w:r>
    </w:p>
    <w:p>
      <w:pPr>
        <w:widowControl/>
        <w:spacing w:line="600" w:lineRule="exact"/>
        <w:ind w:left="0" w:leftChars="0" w:firstLine="640" w:firstLineChars="200"/>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w:t>
      </w:r>
      <w:r>
        <w:rPr>
          <w:rFonts w:hint="default" w:ascii="Times New Roman" w:hAnsi="Times New Roman"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）优化返乡创业服务。一是发布一批优秀创业项目。2017年以来，我省连续举办了7届全省农村创业大赛，涌现出一大批</w:t>
      </w:r>
      <w:r>
        <w:rPr>
          <w:rFonts w:hint="eastAsia" w:ascii="仿宋_GB2312" w:hAnsi="仿宋_GB2312" w:eastAsia="仿宋_GB2312" w:cs="Times New Roman"/>
          <w:b w:val="0"/>
          <w:bCs w:val="0"/>
          <w:sz w:val="32"/>
          <w:szCs w:val="32"/>
          <w:lang w:val="en-US" w:eastAsia="zh-CN"/>
        </w:rPr>
        <w:t>创新性强、适用面广、成功率高、示范性好的优秀农村创业项目，这些创新成果应惠及全省，而不应成为埋在民间的宝藏。我们</w:t>
      </w:r>
      <w:r>
        <w:rPr>
          <w:rFonts w:hint="eastAsia" w:ascii="仿宋_GB2312" w:hAnsi="仿宋_GB2312" w:cs="Times New Roman"/>
          <w:b w:val="0"/>
          <w:bCs w:val="0"/>
          <w:sz w:val="32"/>
          <w:szCs w:val="32"/>
          <w:lang w:val="en-US" w:eastAsia="zh-CN"/>
        </w:rPr>
        <w:t>计划</w:t>
      </w:r>
      <w:r>
        <w:rPr>
          <w:rFonts w:hint="eastAsia" w:ascii="仿宋_GB2312" w:hAnsi="仿宋_GB2312" w:eastAsia="仿宋_GB2312" w:cs="Times New Roman"/>
          <w:b w:val="0"/>
          <w:bCs w:val="0"/>
          <w:sz w:val="32"/>
          <w:szCs w:val="32"/>
          <w:lang w:val="en-US" w:eastAsia="zh-CN"/>
        </w:rPr>
        <w:t>汇编</w:t>
      </w:r>
      <w:r>
        <w:rPr>
          <w:rFonts w:hint="default" w:ascii="Times New Roman" w:hAnsi="Times New Roman" w:eastAsia="仿宋_GB2312" w:cs="Times New Roman"/>
          <w:b w:val="0"/>
          <w:bCs w:val="0"/>
          <w:sz w:val="32"/>
          <w:szCs w:val="32"/>
          <w:lang w:val="en-US" w:eastAsia="zh-CN"/>
        </w:rPr>
        <w:t>整理优秀创业项目，在全省发布，供返乡创业人员选择借鉴，实地考察学习。</w:t>
      </w:r>
    </w:p>
    <w:p>
      <w:pPr>
        <w:widowControl/>
        <w:spacing w:line="600" w:lineRule="exact"/>
        <w:ind w:left="0" w:leftChars="0" w:firstLine="640" w:firstLineChars="200"/>
        <w:jc w:val="both"/>
        <w:rPr>
          <w:rFonts w:hint="default" w:ascii="Times New Roman" w:hAnsi="Times New Roman" w:eastAsia="仿宋_GB2312" w:cs="Times New Roman"/>
          <w:b w:val="0"/>
          <w:bCs w:val="0"/>
          <w:sz w:val="32"/>
          <w:szCs w:val="32"/>
          <w:lang w:val="en-US" w:eastAsia="zh-CN"/>
        </w:rPr>
      </w:pPr>
      <w:r>
        <w:rPr>
          <w:rFonts w:hint="eastAsia" w:ascii="仿宋_GB2312" w:hAnsi="仿宋_GB2312" w:eastAsia="仿宋_GB2312" w:cs="Times New Roman"/>
          <w:b w:val="0"/>
          <w:bCs w:val="0"/>
          <w:sz w:val="32"/>
          <w:szCs w:val="32"/>
          <w:lang w:val="en-US" w:eastAsia="zh-CN"/>
        </w:rPr>
        <w:t>（</w:t>
      </w:r>
      <w:r>
        <w:rPr>
          <w:rFonts w:hint="default" w:ascii="Times New Roman" w:hAnsi="Times New Roman" w:cs="Times New Roman"/>
          <w:b w:val="0"/>
          <w:bCs w:val="0"/>
          <w:sz w:val="32"/>
          <w:szCs w:val="32"/>
          <w:lang w:val="en-US" w:eastAsia="zh-CN"/>
        </w:rPr>
        <w:t>3</w:t>
      </w:r>
      <w:r>
        <w:rPr>
          <w:rFonts w:hint="eastAsia" w:ascii="仿宋_GB2312" w:hAnsi="仿宋_GB2312" w:eastAsia="仿宋_GB2312" w:cs="Times New Roman"/>
          <w:b w:val="0"/>
          <w:bCs w:val="0"/>
          <w:sz w:val="32"/>
          <w:szCs w:val="32"/>
          <w:lang w:val="en-US" w:eastAsia="zh-CN"/>
        </w:rPr>
        <w:t>）大力营造返乡创业氛围。一是谋划好第八届全省农村创业大赛。继续采取与金融机构和地方人民政府联合举办的方式，通过举办大赛搭建创业项目比拼擂台、创业励志故事讲台、创业成果展示舞台，促进地方政府加大对返乡创业的支持力度。二是多渠道开展“乡村追梦人”宣传活动。继续在红网、厅官网、潇湘三农开办“乡村追梦人”专栏，大力宣传返乡创业</w:t>
      </w:r>
      <w:r>
        <w:rPr>
          <w:rFonts w:hint="default" w:ascii="Times New Roman" w:hAnsi="Times New Roman" w:eastAsia="仿宋_GB2312" w:cs="Times New Roman"/>
          <w:b w:val="0"/>
          <w:bCs w:val="0"/>
          <w:sz w:val="32"/>
          <w:szCs w:val="32"/>
          <w:lang w:val="en-US" w:eastAsia="zh-CN"/>
        </w:rPr>
        <w:t>政策和返乡创业典型人物，与湖南卫视或湖南经视合作宣传典型县和典型人物。</w:t>
      </w:r>
    </w:p>
    <w:p>
      <w:pPr>
        <w:widowControl/>
        <w:spacing w:line="600" w:lineRule="exact"/>
        <w:ind w:firstLine="627" w:firstLineChars="196"/>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2.省级专项资金绩效目标</w:t>
      </w:r>
    </w:p>
    <w:p>
      <w:pPr>
        <w:widowControl/>
        <w:spacing w:line="600" w:lineRule="exact"/>
        <w:ind w:firstLine="627" w:firstLineChars="196"/>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（1）开展农村创业典型县评选。2024年</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lang w:val="en-US" w:eastAsia="zh-CN"/>
        </w:rPr>
        <w:t>共</w:t>
      </w:r>
      <w:r>
        <w:rPr>
          <w:rFonts w:hint="default" w:ascii="Times New Roman" w:hAnsi="Times New Roman" w:eastAsia="仿宋_GB2312" w:cs="Times New Roman"/>
          <w:sz w:val="32"/>
          <w:szCs w:val="32"/>
        </w:rPr>
        <w:t>评选10个</w:t>
      </w:r>
      <w:bookmarkStart w:id="3" w:name="_Hlk137308371"/>
      <w:r>
        <w:rPr>
          <w:rFonts w:hint="default" w:ascii="Times New Roman" w:hAnsi="Times New Roman" w:eastAsia="仿宋_GB2312" w:cs="Times New Roman"/>
          <w:sz w:val="32"/>
          <w:szCs w:val="32"/>
        </w:rPr>
        <w:t>农村创业</w:t>
      </w:r>
      <w:bookmarkStart w:id="4" w:name="_Hlk137307012"/>
      <w:r>
        <w:rPr>
          <w:rFonts w:hint="default" w:ascii="Times New Roman" w:hAnsi="Times New Roman" w:eastAsia="仿宋_GB2312" w:cs="Times New Roman"/>
          <w:sz w:val="32"/>
          <w:szCs w:val="32"/>
        </w:rPr>
        <w:t>典型</w:t>
      </w:r>
      <w:bookmarkEnd w:id="4"/>
      <w:r>
        <w:rPr>
          <w:rFonts w:hint="default" w:ascii="Times New Roman" w:hAnsi="Times New Roman" w:eastAsia="仿宋_GB2312" w:cs="Times New Roman"/>
          <w:sz w:val="32"/>
          <w:szCs w:val="32"/>
        </w:rPr>
        <w:t>县</w:t>
      </w:r>
      <w:bookmarkEnd w:id="3"/>
      <w:r>
        <w:rPr>
          <w:rFonts w:hint="default" w:ascii="Times New Roman" w:hAnsi="Times New Roman" w:eastAsia="仿宋_GB2312" w:cs="Times New Roman"/>
          <w:sz w:val="32"/>
          <w:szCs w:val="32"/>
        </w:rPr>
        <w:t>（市、区）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推进典型县积极落实各项返乡创业优惠政策，引导辖区内农村创业园区（基地）发展、促进返乡农民工、困难人员及各类重点群体就业，高质量推进全省农村创业工作</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为推进全省乡村产业发展和农民致富增收提供动能</w:t>
      </w:r>
      <w:r>
        <w:rPr>
          <w:rFonts w:hint="default" w:ascii="Times New Roman" w:hAnsi="Times New Roman" w:eastAsia="仿宋_GB2312" w:cs="Times New Roman"/>
          <w:sz w:val="32"/>
          <w:szCs w:val="32"/>
        </w:rPr>
        <w:t>。</w:t>
      </w:r>
    </w:p>
    <w:p>
      <w:pPr>
        <w:widowControl/>
        <w:spacing w:line="600" w:lineRule="exact"/>
        <w:ind w:firstLine="627" w:firstLineChars="196"/>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举办农村创业大赛。为深入贯彻落实习近平总书记关于“引导外出人才返乡、城市人才下乡创业”重要指示以及2024年中央和省委1号文件精神，根据省委省政府返乡工作部署，拟举办第八届湖南省农村创业大赛，搭建政策宣传讲台、项目比拼擂台、成果展示舞台、资源对接平台，选拔一批“专精特新”的农产品加工创业项目，激发创业活力，澎湃创业动能。</w:t>
      </w:r>
    </w:p>
    <w:p>
      <w:pPr>
        <w:widowControl/>
        <w:spacing w:line="600" w:lineRule="exact"/>
        <w:ind w:firstLine="627" w:firstLineChars="196"/>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（3）加强乡村追梦人宣传。</w:t>
      </w:r>
      <w:r>
        <w:rPr>
          <w:rFonts w:hint="default" w:ascii="Times New Roman" w:hAnsi="Times New Roman" w:eastAsia="仿宋_GB2312" w:cs="Times New Roman"/>
          <w:sz w:val="32"/>
          <w:szCs w:val="32"/>
        </w:rPr>
        <w:t>为深入贯彻落实党的二十大精神和中央、省委关于返乡创业工作决策部署，积极推进返乡创业和农民增收行动，大力宣传返乡创业政策，营造返乡创业氛围</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展示新时代农村创业者风采，决定在全省范围内</w:t>
      </w:r>
      <w:r>
        <w:rPr>
          <w:rFonts w:hint="default" w:ascii="Times New Roman" w:hAnsi="Times New Roman" w:eastAsia="仿宋_GB2312" w:cs="Times New Roman"/>
          <w:kern w:val="0"/>
          <w:sz w:val="32"/>
          <w:szCs w:val="32"/>
        </w:rPr>
        <w:t>开展</w:t>
      </w:r>
      <w:r>
        <w:rPr>
          <w:rFonts w:hint="default" w:ascii="Times New Roman" w:hAnsi="Times New Roman" w:eastAsia="仿宋_GB2312" w:cs="Times New Roman"/>
          <w:sz w:val="32"/>
          <w:szCs w:val="32"/>
        </w:rPr>
        <w:t>农村创业典型推介宣传活动</w:t>
      </w:r>
      <w:r>
        <w:rPr>
          <w:rFonts w:hint="default" w:ascii="Times New Roman" w:hAnsi="Times New Roman" w:eastAsia="仿宋_GB2312" w:cs="Times New Roman"/>
          <w:sz w:val="32"/>
          <w:szCs w:val="32"/>
          <w:lang w:eastAsia="zh-CN"/>
        </w:rPr>
        <w:t>。</w:t>
      </w:r>
    </w:p>
    <w:p>
      <w:pPr>
        <w:widowControl/>
        <w:spacing w:line="600" w:lineRule="exact"/>
        <w:ind w:firstLine="627" w:firstLineChars="196"/>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3.特色产业集群项目绩效目标</w:t>
      </w:r>
    </w:p>
    <w:p>
      <w:pPr>
        <w:keepNext w:val="0"/>
        <w:keepLines w:val="0"/>
        <w:widowControl/>
        <w:suppressLineNumbers w:val="0"/>
        <w:ind w:left="0" w:leftChars="0" w:firstLine="640" w:firstLineChars="200"/>
        <w:jc w:val="both"/>
        <w:rPr>
          <w:rFonts w:hint="default" w:ascii="Times New Roman" w:hAnsi="Times New Roman" w:eastAsia="仿宋_GB2312" w:cs="Times New Roman"/>
          <w:b w:val="0"/>
          <w:bCs w:val="0"/>
          <w:color w:val="000000"/>
          <w:kern w:val="0"/>
          <w:sz w:val="32"/>
          <w:szCs w:val="32"/>
          <w:lang w:val="en-US" w:eastAsia="zh-CN" w:bidi="ar"/>
        </w:rPr>
      </w:pPr>
      <w:r>
        <w:rPr>
          <w:rFonts w:hint="default" w:ascii="Times New Roman" w:hAnsi="Times New Roman" w:eastAsia="仿宋_GB2312" w:cs="Times New Roman"/>
          <w:b w:val="0"/>
          <w:bCs w:val="0"/>
          <w:sz w:val="32"/>
          <w:szCs w:val="32"/>
          <w:lang w:val="en-US" w:eastAsia="zh-CN"/>
        </w:rPr>
        <w:t>（1）组建专家团队开展技术指导服务。</w:t>
      </w:r>
      <w:r>
        <w:rPr>
          <w:rFonts w:hint="default" w:ascii="Times New Roman" w:hAnsi="Times New Roman" w:eastAsia="仿宋_GB2312" w:cs="Times New Roman"/>
          <w:b w:val="0"/>
          <w:bCs w:val="0"/>
          <w:color w:val="000000"/>
          <w:kern w:val="0"/>
          <w:sz w:val="32"/>
          <w:szCs w:val="32"/>
          <w:lang w:val="en-US" w:eastAsia="zh-CN" w:bidi="ar"/>
        </w:rPr>
        <w:t>根据“洞庭湖小龙虾”产业集群建设项目整体要求，省农业产业化发展服务中心会同湖南农业大学、省水产科学研究所组建专家技术指导服务团队（以下简称专家团队），以王冬武为首席专家，胡亚洲、何斌等其他成员根据实地调研结果与项目参与单位协商确定。按照首席统筹负责，成员合理配置，团队协同推进的整体原则，开展涵盖小龙虾繁育、养殖、仓储、保鲜、初加工和精深加工等方面的技术指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（2）开展技术培训。2024年-2025年开展3场集中技术培训和4场点对点培训，计划培训技术骨干和养殖户约350人次。2024年目标开展2场培训，培训150人次。</w:t>
      </w:r>
      <w:r>
        <w:rPr>
          <w:rFonts w:hint="default" w:ascii="Times New Roman" w:hAnsi="Times New Roman" w:eastAsia="仿宋_GB2312" w:cs="Times New Roman"/>
          <w:b w:val="0"/>
          <w:bCs w:val="0"/>
          <w:color w:val="000000"/>
          <w:kern w:val="0"/>
          <w:sz w:val="32"/>
          <w:szCs w:val="32"/>
          <w:lang w:val="en-US" w:eastAsia="zh-CN" w:bidi="ar"/>
        </w:rPr>
        <w:t>培训内容包括：实现小龙虾全产业链技术的全覆盖，致力于培育与产业相匹配的创新主体</w:t>
      </w:r>
      <w:r>
        <w:rPr>
          <w:rFonts w:hint="eastAsia" w:ascii="Times New Roman" w:hAnsi="Times New Roman" w:eastAsia="仿宋_GB2312" w:cs="Times New Roman"/>
          <w:b w:val="0"/>
          <w:bCs w:val="0"/>
          <w:color w:val="000000"/>
          <w:kern w:val="0"/>
          <w:sz w:val="32"/>
          <w:szCs w:val="32"/>
          <w:lang w:val="en-US" w:eastAsia="zh-CN" w:bidi="ar"/>
        </w:rPr>
        <w:t>；</w:t>
      </w:r>
      <w:r>
        <w:rPr>
          <w:rFonts w:hint="default" w:ascii="Times New Roman" w:hAnsi="Times New Roman" w:eastAsia="仿宋_GB2312" w:cs="Times New Roman"/>
          <w:b w:val="0"/>
          <w:bCs w:val="0"/>
          <w:color w:val="000000"/>
          <w:kern w:val="0"/>
          <w:sz w:val="32"/>
          <w:szCs w:val="32"/>
          <w:lang w:val="en-US" w:eastAsia="zh-CN" w:bidi="ar"/>
        </w:rPr>
        <w:t>提升产业规划，为保鲜的“最后一公里”提供重要保障；提前布局，深化“双增”思路，突破季节性限制，解决增产不增收的问题。</w:t>
      </w:r>
    </w:p>
    <w:p>
      <w:pPr>
        <w:pStyle w:val="22"/>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22"/>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570" w:lineRule="atLeast"/>
        <w:ind w:firstLine="640"/>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lang w:val="en-US" w:eastAsia="en-US"/>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en-US"/>
        </w:rPr>
        <w:t>年年初一般公共预算</w:t>
      </w:r>
      <w:r>
        <w:rPr>
          <w:rFonts w:hint="default" w:ascii="Times New Roman" w:hAnsi="Times New Roman" w:eastAsia="仿宋_GB2312" w:cs="Times New Roman"/>
          <w:sz w:val="32"/>
          <w:szCs w:val="32"/>
          <w:lang w:val="en-US" w:eastAsia="zh-CN"/>
        </w:rPr>
        <w:t>拨款</w:t>
      </w:r>
      <w:r>
        <w:rPr>
          <w:rFonts w:hint="default" w:ascii="Times New Roman" w:hAnsi="Times New Roman" w:eastAsia="仿宋_GB2312" w:cs="Times New Roman"/>
          <w:sz w:val="32"/>
          <w:szCs w:val="32"/>
          <w:lang w:val="en-US" w:eastAsia="en-US"/>
        </w:rPr>
        <w:t>基本</w:t>
      </w:r>
      <w:r>
        <w:rPr>
          <w:rFonts w:hint="default" w:ascii="Times New Roman" w:hAnsi="Times New Roman" w:eastAsia="仿宋_GB2312" w:cs="Times New Roman"/>
          <w:sz w:val="32"/>
          <w:szCs w:val="32"/>
          <w:lang w:val="en-US" w:eastAsia="zh-CN"/>
        </w:rPr>
        <w:t>支出预算309.94</w:t>
      </w:r>
      <w:r>
        <w:rPr>
          <w:rFonts w:hint="default" w:ascii="Times New Roman" w:hAnsi="Times New Roman" w:eastAsia="仿宋_GB2312" w:cs="Times New Roman"/>
          <w:sz w:val="32"/>
          <w:szCs w:val="32"/>
          <w:lang w:val="en-US" w:eastAsia="en-US"/>
        </w:rPr>
        <w:t>万元</w:t>
      </w:r>
      <w:r>
        <w:rPr>
          <w:rFonts w:hint="default" w:ascii="Times New Roman" w:hAnsi="Times New Roman" w:eastAsia="仿宋_GB2312" w:cs="Times New Roman"/>
          <w:sz w:val="32"/>
          <w:szCs w:val="32"/>
          <w:lang w:val="en-US" w:eastAsia="zh-CN"/>
        </w:rPr>
        <w:t>，实际支出</w:t>
      </w:r>
      <w:r>
        <w:rPr>
          <w:rFonts w:hint="default" w:ascii="Times New Roman" w:hAnsi="Times New Roman" w:eastAsia="仿宋_GB2312" w:cs="Times New Roman"/>
          <w:sz w:val="32"/>
          <w:szCs w:val="32"/>
          <w:lang w:val="en-US" w:eastAsia="en-US"/>
        </w:rPr>
        <w:t>一般公共预算财政拨款基本支</w:t>
      </w:r>
      <w:r>
        <w:rPr>
          <w:rFonts w:hint="default" w:ascii="Times New Roman" w:hAnsi="Times New Roman" w:eastAsia="仿宋_GB2312" w:cs="Times New Roman"/>
          <w:sz w:val="32"/>
          <w:szCs w:val="32"/>
          <w:lang w:val="en-US" w:eastAsia="zh-CN"/>
        </w:rPr>
        <w:t>出260.71</w:t>
      </w:r>
      <w:r>
        <w:rPr>
          <w:rFonts w:hint="default" w:ascii="Times New Roman" w:hAnsi="Times New Roman" w:eastAsia="仿宋_GB2312" w:cs="Times New Roman"/>
          <w:sz w:val="32"/>
          <w:szCs w:val="32"/>
          <w:lang w:val="en-US" w:eastAsia="en-US"/>
        </w:rPr>
        <w:t>万元，其中工资福利支出</w:t>
      </w:r>
      <w:r>
        <w:rPr>
          <w:rFonts w:hint="default" w:ascii="Times New Roman" w:hAnsi="Times New Roman" w:eastAsia="仿宋_GB2312" w:cs="Times New Roman"/>
          <w:sz w:val="32"/>
          <w:szCs w:val="32"/>
          <w:lang w:val="en-US" w:eastAsia="zh-CN"/>
        </w:rPr>
        <w:t>212.42</w:t>
      </w:r>
      <w:r>
        <w:rPr>
          <w:rFonts w:hint="default" w:ascii="Times New Roman" w:hAnsi="Times New Roman" w:eastAsia="仿宋_GB2312" w:cs="Times New Roman"/>
          <w:sz w:val="32"/>
          <w:szCs w:val="32"/>
          <w:lang w:val="en-US" w:eastAsia="en-US"/>
        </w:rPr>
        <w:t>万元、商品和服务支出</w:t>
      </w:r>
      <w:r>
        <w:rPr>
          <w:rFonts w:hint="default" w:ascii="Times New Roman" w:hAnsi="Times New Roman" w:eastAsia="仿宋_GB2312" w:cs="Times New Roman"/>
          <w:sz w:val="32"/>
          <w:szCs w:val="32"/>
          <w:lang w:val="en-US" w:eastAsia="zh-CN"/>
        </w:rPr>
        <w:t>16.89</w:t>
      </w:r>
      <w:r>
        <w:rPr>
          <w:rFonts w:hint="default" w:ascii="Times New Roman" w:hAnsi="Times New Roman" w:eastAsia="仿宋_GB2312" w:cs="Times New Roman"/>
          <w:sz w:val="32"/>
          <w:szCs w:val="32"/>
          <w:lang w:val="en-US" w:eastAsia="en-US"/>
        </w:rPr>
        <w:t>万元、对个人和家庭的补助支出</w:t>
      </w:r>
      <w:r>
        <w:rPr>
          <w:rFonts w:hint="default" w:ascii="Times New Roman" w:hAnsi="Times New Roman" w:eastAsia="仿宋_GB2312" w:cs="Times New Roman"/>
          <w:sz w:val="32"/>
          <w:szCs w:val="32"/>
          <w:lang w:val="en-US" w:eastAsia="zh-CN"/>
        </w:rPr>
        <w:t>31.4</w:t>
      </w:r>
      <w:r>
        <w:rPr>
          <w:rFonts w:hint="default" w:ascii="Times New Roman" w:hAnsi="Times New Roman" w:eastAsia="仿宋_GB2312" w:cs="Times New Roman"/>
          <w:sz w:val="32"/>
          <w:szCs w:val="32"/>
          <w:lang w:val="en-US" w:eastAsia="en-US"/>
        </w:rPr>
        <w:t>万元，年末结转结余</w:t>
      </w:r>
      <w:r>
        <w:rPr>
          <w:rFonts w:hint="default" w:ascii="Times New Roman" w:hAnsi="Times New Roman" w:eastAsia="仿宋_GB2312" w:cs="Times New Roman"/>
          <w:sz w:val="32"/>
          <w:szCs w:val="32"/>
          <w:lang w:val="en-US" w:eastAsia="zh-CN"/>
        </w:rPr>
        <w:t>49.23</w:t>
      </w:r>
      <w:r>
        <w:rPr>
          <w:rFonts w:hint="default" w:ascii="Times New Roman" w:hAnsi="Times New Roman" w:eastAsia="仿宋_GB2312" w:cs="Times New Roman"/>
          <w:sz w:val="32"/>
          <w:szCs w:val="32"/>
          <w:lang w:val="en-US" w:eastAsia="en-US"/>
        </w:rPr>
        <w:t>万元。</w:t>
      </w:r>
    </w:p>
    <w:p>
      <w:pPr>
        <w:pStyle w:val="22"/>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en-US" w:bidi="ar-SA"/>
        </w:rPr>
      </w:pPr>
      <w:r>
        <w:rPr>
          <w:rFonts w:hint="default" w:ascii="Times New Roman" w:hAnsi="Times New Roman" w:eastAsia="仿宋_GB2312" w:cs="Times New Roman"/>
          <w:snapToGrid w:val="0"/>
          <w:color w:val="000000"/>
          <w:spacing w:val="11"/>
          <w:kern w:val="0"/>
          <w:position w:val="21"/>
          <w:sz w:val="32"/>
          <w:szCs w:val="32"/>
          <w:lang w:val="en-US" w:eastAsia="en-US" w:bidi="ar-SA"/>
        </w:rPr>
        <w:t>202</w:t>
      </w:r>
      <w:r>
        <w:rPr>
          <w:rFonts w:hint="default" w:ascii="Times New Roman" w:hAnsi="Times New Roman" w:eastAsia="仿宋_GB2312" w:cs="Times New Roman"/>
          <w:snapToGrid w:val="0"/>
          <w:color w:val="000000"/>
          <w:spacing w:val="11"/>
          <w:kern w:val="0"/>
          <w:position w:val="21"/>
          <w:sz w:val="32"/>
          <w:szCs w:val="32"/>
          <w:lang w:val="en-US" w:eastAsia="zh-CN" w:bidi="ar-SA"/>
        </w:rPr>
        <w:t>4</w:t>
      </w:r>
      <w:r>
        <w:rPr>
          <w:rFonts w:hint="default" w:ascii="Times New Roman" w:hAnsi="Times New Roman" w:eastAsia="仿宋_GB2312" w:cs="Times New Roman"/>
          <w:snapToGrid w:val="0"/>
          <w:color w:val="000000"/>
          <w:spacing w:val="11"/>
          <w:kern w:val="0"/>
          <w:position w:val="21"/>
          <w:sz w:val="32"/>
          <w:szCs w:val="32"/>
          <w:lang w:val="en-US" w:eastAsia="en-US" w:bidi="ar-SA"/>
        </w:rPr>
        <w:t>年年初一般公共预算</w:t>
      </w:r>
      <w:r>
        <w:rPr>
          <w:rFonts w:hint="default" w:ascii="Times New Roman" w:hAnsi="Times New Roman" w:eastAsia="仿宋_GB2312" w:cs="Times New Roman"/>
          <w:snapToGrid w:val="0"/>
          <w:color w:val="000000"/>
          <w:spacing w:val="11"/>
          <w:kern w:val="0"/>
          <w:position w:val="21"/>
          <w:sz w:val="32"/>
          <w:szCs w:val="32"/>
          <w:lang w:val="en-US" w:eastAsia="zh-CN" w:bidi="ar-SA"/>
        </w:rPr>
        <w:t>拨款</w:t>
      </w:r>
      <w:r>
        <w:rPr>
          <w:rFonts w:hint="default" w:ascii="Times New Roman" w:hAnsi="Times New Roman" w:eastAsia="仿宋_GB2312" w:cs="Times New Roman"/>
          <w:snapToGrid w:val="0"/>
          <w:color w:val="000000"/>
          <w:spacing w:val="11"/>
          <w:kern w:val="0"/>
          <w:position w:val="21"/>
          <w:sz w:val="32"/>
          <w:szCs w:val="32"/>
          <w:lang w:val="en-US" w:eastAsia="en-US" w:bidi="ar-SA"/>
        </w:rPr>
        <w:t>项目</w:t>
      </w:r>
      <w:r>
        <w:rPr>
          <w:rFonts w:hint="default" w:ascii="Times New Roman" w:hAnsi="Times New Roman" w:eastAsia="仿宋_GB2312" w:cs="Times New Roman"/>
          <w:snapToGrid w:val="0"/>
          <w:color w:val="000000"/>
          <w:spacing w:val="11"/>
          <w:kern w:val="0"/>
          <w:position w:val="21"/>
          <w:sz w:val="32"/>
          <w:szCs w:val="32"/>
          <w:lang w:val="en-US" w:eastAsia="zh-CN" w:bidi="ar-SA"/>
        </w:rPr>
        <w:t>支出</w:t>
      </w:r>
      <w:r>
        <w:rPr>
          <w:rFonts w:hint="default" w:ascii="Times New Roman" w:hAnsi="Times New Roman" w:eastAsia="仿宋_GB2312" w:cs="Times New Roman"/>
          <w:snapToGrid w:val="0"/>
          <w:color w:val="000000"/>
          <w:spacing w:val="11"/>
          <w:kern w:val="0"/>
          <w:position w:val="21"/>
          <w:sz w:val="32"/>
          <w:szCs w:val="32"/>
          <w:lang w:val="en-US" w:eastAsia="en-US" w:bidi="ar-SA"/>
        </w:rPr>
        <w:t>预算</w:t>
      </w:r>
      <w:r>
        <w:rPr>
          <w:rFonts w:hint="default" w:ascii="Times New Roman" w:hAnsi="Times New Roman" w:eastAsia="仿宋_GB2312" w:cs="Times New Roman"/>
          <w:snapToGrid w:val="0"/>
          <w:color w:val="000000"/>
          <w:spacing w:val="11"/>
          <w:kern w:val="0"/>
          <w:position w:val="21"/>
          <w:sz w:val="32"/>
          <w:szCs w:val="32"/>
          <w:lang w:val="en-US" w:eastAsia="zh-CN" w:bidi="ar-SA"/>
        </w:rPr>
        <w:t>97.74</w:t>
      </w:r>
      <w:r>
        <w:rPr>
          <w:rFonts w:hint="default" w:ascii="Times New Roman" w:hAnsi="Times New Roman" w:eastAsia="仿宋_GB2312" w:cs="Times New Roman"/>
          <w:snapToGrid w:val="0"/>
          <w:color w:val="000000"/>
          <w:spacing w:val="11"/>
          <w:kern w:val="0"/>
          <w:position w:val="21"/>
          <w:sz w:val="32"/>
          <w:szCs w:val="32"/>
          <w:lang w:val="en-US" w:eastAsia="en-US" w:bidi="ar-SA"/>
        </w:rPr>
        <w:t>万元，上年结转</w:t>
      </w:r>
      <w:r>
        <w:rPr>
          <w:rFonts w:hint="default" w:ascii="Times New Roman" w:hAnsi="Times New Roman" w:eastAsia="仿宋_GB2312" w:cs="Times New Roman"/>
          <w:snapToGrid w:val="0"/>
          <w:color w:val="000000"/>
          <w:spacing w:val="11"/>
          <w:kern w:val="0"/>
          <w:position w:val="21"/>
          <w:sz w:val="32"/>
          <w:szCs w:val="32"/>
          <w:lang w:val="en-US" w:eastAsia="zh-CN" w:bidi="ar-SA"/>
        </w:rPr>
        <w:t>7.74</w:t>
      </w:r>
      <w:r>
        <w:rPr>
          <w:rFonts w:hint="default" w:ascii="Times New Roman" w:hAnsi="Times New Roman" w:eastAsia="仿宋_GB2312" w:cs="Times New Roman"/>
          <w:snapToGrid w:val="0"/>
          <w:color w:val="000000"/>
          <w:spacing w:val="11"/>
          <w:kern w:val="0"/>
          <w:position w:val="21"/>
          <w:sz w:val="32"/>
          <w:szCs w:val="32"/>
          <w:lang w:val="en-US" w:eastAsia="en-US" w:bidi="ar-SA"/>
        </w:rPr>
        <w:t>万元，追加预算</w:t>
      </w:r>
      <w:r>
        <w:rPr>
          <w:rFonts w:hint="default" w:ascii="Times New Roman" w:hAnsi="Times New Roman" w:eastAsia="仿宋_GB2312" w:cs="Times New Roman"/>
          <w:snapToGrid w:val="0"/>
          <w:color w:val="000000"/>
          <w:spacing w:val="11"/>
          <w:kern w:val="0"/>
          <w:position w:val="21"/>
          <w:sz w:val="32"/>
          <w:szCs w:val="32"/>
          <w:lang w:val="en-US" w:eastAsia="zh-CN" w:bidi="ar-SA"/>
        </w:rPr>
        <w:t>100</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default" w:ascii="Times New Roman" w:hAnsi="Times New Roman" w:eastAsia="仿宋_GB2312" w:cs="Times New Roman"/>
          <w:snapToGrid w:val="0"/>
          <w:color w:val="000000"/>
          <w:spacing w:val="11"/>
          <w:kern w:val="0"/>
          <w:position w:val="21"/>
          <w:sz w:val="32"/>
          <w:szCs w:val="32"/>
          <w:lang w:val="en-US" w:eastAsia="zh-CN" w:bidi="ar-SA"/>
        </w:rPr>
        <w:t>合计项目支出全年</w:t>
      </w:r>
      <w:r>
        <w:rPr>
          <w:rFonts w:hint="default" w:ascii="Times New Roman" w:hAnsi="Times New Roman" w:eastAsia="仿宋_GB2312" w:cs="Times New Roman"/>
          <w:snapToGrid w:val="0"/>
          <w:color w:val="000000"/>
          <w:spacing w:val="11"/>
          <w:kern w:val="0"/>
          <w:position w:val="21"/>
          <w:sz w:val="32"/>
          <w:szCs w:val="32"/>
          <w:lang w:val="en-US" w:eastAsia="en-US" w:bidi="ar-SA"/>
        </w:rPr>
        <w:t>预算</w:t>
      </w:r>
      <w:r>
        <w:rPr>
          <w:rFonts w:hint="default" w:ascii="Times New Roman" w:hAnsi="Times New Roman" w:eastAsia="仿宋_GB2312" w:cs="Times New Roman"/>
          <w:snapToGrid w:val="0"/>
          <w:color w:val="000000"/>
          <w:spacing w:val="11"/>
          <w:kern w:val="0"/>
          <w:position w:val="21"/>
          <w:sz w:val="32"/>
          <w:szCs w:val="32"/>
          <w:lang w:val="en-US" w:eastAsia="zh-CN" w:bidi="ar-SA"/>
        </w:rPr>
        <w:t>197.74</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default" w:ascii="Times New Roman" w:hAnsi="Times New Roman" w:eastAsia="仿宋_GB2312" w:cs="Times New Roman"/>
          <w:snapToGrid w:val="0"/>
          <w:color w:val="000000"/>
          <w:spacing w:val="11"/>
          <w:kern w:val="0"/>
          <w:position w:val="21"/>
          <w:sz w:val="32"/>
          <w:szCs w:val="32"/>
          <w:lang w:val="en-US" w:eastAsia="zh-CN" w:bidi="ar-SA"/>
        </w:rPr>
        <w:t>，实际支出</w:t>
      </w:r>
      <w:r>
        <w:rPr>
          <w:rFonts w:hint="default" w:ascii="Times New Roman" w:hAnsi="Times New Roman" w:eastAsia="仿宋_GB2312" w:cs="Times New Roman"/>
          <w:snapToGrid w:val="0"/>
          <w:color w:val="000000"/>
          <w:spacing w:val="11"/>
          <w:kern w:val="0"/>
          <w:position w:val="21"/>
          <w:sz w:val="32"/>
          <w:szCs w:val="32"/>
          <w:lang w:val="en-US" w:eastAsia="en-US" w:bidi="ar-SA"/>
        </w:rPr>
        <w:t>一般公共预算拨款项目支出</w:t>
      </w:r>
      <w:r>
        <w:rPr>
          <w:rFonts w:hint="default" w:ascii="Times New Roman" w:hAnsi="Times New Roman" w:eastAsia="仿宋_GB2312" w:cs="Times New Roman"/>
          <w:snapToGrid w:val="0"/>
          <w:color w:val="000000"/>
          <w:spacing w:val="11"/>
          <w:kern w:val="0"/>
          <w:position w:val="21"/>
          <w:sz w:val="32"/>
          <w:szCs w:val="32"/>
          <w:lang w:val="en-US" w:eastAsia="zh-CN" w:bidi="ar-SA"/>
        </w:rPr>
        <w:t>142.96</w:t>
      </w:r>
      <w:r>
        <w:rPr>
          <w:rFonts w:hint="default" w:ascii="Times New Roman" w:hAnsi="Times New Roman" w:eastAsia="仿宋_GB2312" w:cs="Times New Roman"/>
          <w:snapToGrid w:val="0"/>
          <w:color w:val="000000"/>
          <w:spacing w:val="11"/>
          <w:kern w:val="0"/>
          <w:position w:val="21"/>
          <w:sz w:val="32"/>
          <w:szCs w:val="32"/>
          <w:lang w:val="en-US" w:eastAsia="en-US" w:bidi="ar-SA"/>
        </w:rPr>
        <w:t>万元。其中商品和服务支出</w:t>
      </w:r>
      <w:r>
        <w:rPr>
          <w:rFonts w:hint="default" w:ascii="Times New Roman" w:hAnsi="Times New Roman" w:eastAsia="仿宋_GB2312" w:cs="Times New Roman"/>
          <w:snapToGrid w:val="0"/>
          <w:color w:val="000000"/>
          <w:spacing w:val="11"/>
          <w:kern w:val="0"/>
          <w:position w:val="21"/>
          <w:sz w:val="32"/>
          <w:szCs w:val="32"/>
          <w:lang w:val="en-US" w:eastAsia="zh-CN" w:bidi="ar-SA"/>
        </w:rPr>
        <w:t>137.85</w:t>
      </w:r>
      <w:r>
        <w:rPr>
          <w:rFonts w:hint="default" w:ascii="Times New Roman" w:hAnsi="Times New Roman" w:eastAsia="仿宋_GB2312" w:cs="Times New Roman"/>
          <w:snapToGrid w:val="0"/>
          <w:color w:val="000000"/>
          <w:spacing w:val="11"/>
          <w:kern w:val="0"/>
          <w:position w:val="21"/>
          <w:sz w:val="32"/>
          <w:szCs w:val="32"/>
          <w:lang w:val="en-US" w:eastAsia="en-US" w:bidi="ar-SA"/>
        </w:rPr>
        <w:t>万元、资本性支出</w:t>
      </w:r>
      <w:r>
        <w:rPr>
          <w:rFonts w:hint="default" w:ascii="Times New Roman" w:hAnsi="Times New Roman" w:eastAsia="仿宋_GB2312" w:cs="Times New Roman"/>
          <w:snapToGrid w:val="0"/>
          <w:color w:val="000000"/>
          <w:spacing w:val="11"/>
          <w:kern w:val="0"/>
          <w:position w:val="21"/>
          <w:sz w:val="32"/>
          <w:szCs w:val="32"/>
          <w:lang w:val="en-US" w:eastAsia="zh-CN" w:bidi="ar-SA"/>
        </w:rPr>
        <w:t>5.11</w:t>
      </w:r>
      <w:r>
        <w:rPr>
          <w:rFonts w:hint="default" w:ascii="Times New Roman" w:hAnsi="Times New Roman" w:eastAsia="仿宋_GB2312" w:cs="Times New Roman"/>
          <w:snapToGrid w:val="0"/>
          <w:color w:val="000000"/>
          <w:spacing w:val="11"/>
          <w:kern w:val="0"/>
          <w:position w:val="21"/>
          <w:sz w:val="32"/>
          <w:szCs w:val="32"/>
          <w:lang w:val="en-US" w:eastAsia="en-US" w:bidi="ar-SA"/>
        </w:rPr>
        <w:t>万元，年末结转结余</w:t>
      </w:r>
      <w:r>
        <w:rPr>
          <w:rFonts w:hint="default" w:ascii="Times New Roman" w:hAnsi="Times New Roman" w:eastAsia="仿宋_GB2312" w:cs="Times New Roman"/>
          <w:snapToGrid w:val="0"/>
          <w:color w:val="000000"/>
          <w:spacing w:val="11"/>
          <w:kern w:val="0"/>
          <w:position w:val="21"/>
          <w:sz w:val="32"/>
          <w:szCs w:val="32"/>
          <w:lang w:val="en-US" w:eastAsia="zh-CN" w:bidi="ar-SA"/>
        </w:rPr>
        <w:t>54.78</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en-US" w:bidi="ar-SA"/>
        </w:rPr>
      </w:pPr>
      <w:r>
        <w:rPr>
          <w:rFonts w:hint="default" w:ascii="Times New Roman" w:hAnsi="Times New Roman" w:eastAsia="仿宋_GB2312" w:cs="Times New Roman"/>
          <w:snapToGrid w:val="0"/>
          <w:color w:val="000000"/>
          <w:spacing w:val="11"/>
          <w:kern w:val="0"/>
          <w:position w:val="21"/>
          <w:sz w:val="32"/>
          <w:szCs w:val="32"/>
          <w:lang w:val="en-US" w:eastAsia="zh-CN" w:bidi="ar-SA"/>
        </w:rPr>
        <w:t>1</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r>
        <w:rPr>
          <w:rFonts w:hint="default" w:ascii="Times New Roman" w:hAnsi="Times New Roman" w:eastAsia="仿宋_GB2312" w:cs="Times New Roman"/>
          <w:snapToGrid w:val="0"/>
          <w:color w:val="000000"/>
          <w:spacing w:val="11"/>
          <w:kern w:val="0"/>
          <w:position w:val="21"/>
          <w:sz w:val="32"/>
          <w:szCs w:val="32"/>
          <w:lang w:val="en-US" w:eastAsia="en-US" w:bidi="ar-SA"/>
        </w:rPr>
        <w:t>农村</w:t>
      </w:r>
      <w:r>
        <w:rPr>
          <w:rFonts w:hint="eastAsia" w:ascii="Times New Roman" w:hAnsi="Times New Roman" w:eastAsia="仿宋_GB2312" w:cs="Times New Roman"/>
          <w:snapToGrid w:val="0"/>
          <w:color w:val="000000"/>
          <w:spacing w:val="11"/>
          <w:kern w:val="0"/>
          <w:position w:val="21"/>
          <w:sz w:val="32"/>
          <w:szCs w:val="32"/>
          <w:lang w:val="en-US" w:eastAsia="zh-CN" w:bidi="ar-SA"/>
        </w:rPr>
        <w:t>创业创新</w:t>
      </w:r>
      <w:r>
        <w:rPr>
          <w:rFonts w:hint="default" w:ascii="Times New Roman" w:hAnsi="Times New Roman" w:eastAsia="仿宋_GB2312" w:cs="Times New Roman"/>
          <w:snapToGrid w:val="0"/>
          <w:color w:val="000000"/>
          <w:spacing w:val="11"/>
          <w:kern w:val="0"/>
          <w:position w:val="21"/>
          <w:sz w:val="32"/>
          <w:szCs w:val="32"/>
          <w:lang w:val="en-US" w:eastAsia="en-US" w:bidi="ar-SA"/>
        </w:rPr>
        <w:t>经费项目年初部门预算安排金额</w:t>
      </w:r>
      <w:r>
        <w:rPr>
          <w:rFonts w:hint="eastAsia" w:ascii="Times New Roman" w:hAnsi="Times New Roman" w:eastAsia="仿宋_GB2312" w:cs="Times New Roman"/>
          <w:snapToGrid w:val="0"/>
          <w:color w:val="000000"/>
          <w:spacing w:val="11"/>
          <w:kern w:val="0"/>
          <w:position w:val="21"/>
          <w:sz w:val="32"/>
          <w:szCs w:val="32"/>
          <w:lang w:val="en-US" w:eastAsia="zh-CN" w:bidi="ar-SA"/>
        </w:rPr>
        <w:t>90</w:t>
      </w:r>
      <w:r>
        <w:rPr>
          <w:rFonts w:hint="default" w:ascii="Times New Roman" w:hAnsi="Times New Roman" w:eastAsia="仿宋_GB2312" w:cs="Times New Roman"/>
          <w:snapToGrid w:val="0"/>
          <w:color w:val="000000"/>
          <w:spacing w:val="11"/>
          <w:kern w:val="0"/>
          <w:position w:val="21"/>
          <w:sz w:val="32"/>
          <w:szCs w:val="32"/>
          <w:lang w:val="en-US" w:eastAsia="en-US" w:bidi="ar-SA"/>
        </w:rPr>
        <w:t>万元，其中：上年结转</w:t>
      </w:r>
      <w:r>
        <w:rPr>
          <w:rFonts w:hint="eastAsia" w:ascii="Times New Roman" w:hAnsi="Times New Roman" w:eastAsia="仿宋_GB2312" w:cs="Times New Roman"/>
          <w:snapToGrid w:val="0"/>
          <w:color w:val="000000"/>
          <w:spacing w:val="11"/>
          <w:kern w:val="0"/>
          <w:position w:val="21"/>
          <w:sz w:val="32"/>
          <w:szCs w:val="32"/>
          <w:lang w:val="en-US" w:eastAsia="zh-CN" w:bidi="ar-SA"/>
        </w:rPr>
        <w:t>0</w:t>
      </w:r>
      <w:r>
        <w:rPr>
          <w:rFonts w:hint="default" w:ascii="Times New Roman" w:hAnsi="Times New Roman" w:eastAsia="仿宋_GB2312" w:cs="Times New Roman"/>
          <w:snapToGrid w:val="0"/>
          <w:color w:val="000000"/>
          <w:spacing w:val="11"/>
          <w:kern w:val="0"/>
          <w:position w:val="21"/>
          <w:sz w:val="32"/>
          <w:szCs w:val="32"/>
          <w:lang w:val="en-US" w:eastAsia="en-US" w:bidi="ar-SA"/>
        </w:rPr>
        <w:t>万元、本年预算安排</w:t>
      </w:r>
      <w:r>
        <w:rPr>
          <w:rFonts w:hint="eastAsia" w:ascii="Times New Roman" w:hAnsi="Times New Roman" w:eastAsia="仿宋_GB2312" w:cs="Times New Roman"/>
          <w:snapToGrid w:val="0"/>
          <w:color w:val="000000"/>
          <w:spacing w:val="11"/>
          <w:kern w:val="0"/>
          <w:position w:val="21"/>
          <w:sz w:val="32"/>
          <w:szCs w:val="32"/>
          <w:lang w:val="en-US" w:eastAsia="zh-CN" w:bidi="ar-SA"/>
        </w:rPr>
        <w:t>90</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default" w:ascii="Times New Roman" w:hAnsi="Times New Roman" w:eastAsia="仿宋_GB2312" w:cs="Times New Roman"/>
          <w:snapToGrid w:val="0"/>
          <w:color w:val="000000"/>
          <w:spacing w:val="11"/>
          <w:kern w:val="0"/>
          <w:position w:val="21"/>
          <w:sz w:val="32"/>
          <w:szCs w:val="32"/>
          <w:lang w:val="en-US" w:eastAsia="zh-CN" w:bidi="ar-SA"/>
        </w:rPr>
        <w:t>，实际支出</w:t>
      </w:r>
      <w:r>
        <w:rPr>
          <w:rFonts w:hint="eastAsia" w:ascii="Times New Roman" w:hAnsi="Times New Roman" w:eastAsia="仿宋_GB2312" w:cs="Times New Roman"/>
          <w:snapToGrid w:val="0"/>
          <w:color w:val="000000"/>
          <w:spacing w:val="11"/>
          <w:kern w:val="0"/>
          <w:position w:val="21"/>
          <w:sz w:val="32"/>
          <w:szCs w:val="32"/>
          <w:lang w:val="en-US" w:eastAsia="zh-CN" w:bidi="ar-SA"/>
        </w:rPr>
        <w:t>78.28</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en-US" w:bidi="ar-SA"/>
        </w:rPr>
      </w:pPr>
      <w:r>
        <w:rPr>
          <w:rFonts w:hint="default" w:ascii="Times New Roman" w:hAnsi="Times New Roman" w:eastAsia="仿宋_GB2312" w:cs="Times New Roman"/>
          <w:snapToGrid w:val="0"/>
          <w:color w:val="000000"/>
          <w:spacing w:val="11"/>
          <w:kern w:val="0"/>
          <w:position w:val="21"/>
          <w:sz w:val="32"/>
          <w:szCs w:val="32"/>
          <w:lang w:val="en-US" w:eastAsia="zh-CN" w:bidi="ar-SA"/>
        </w:rPr>
        <w:t>2</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r>
        <w:rPr>
          <w:rFonts w:hint="default" w:ascii="Times New Roman" w:hAnsi="Times New Roman" w:eastAsia="仿宋_GB2312" w:cs="Times New Roman"/>
          <w:snapToGrid w:val="0"/>
          <w:color w:val="000000"/>
          <w:spacing w:val="11"/>
          <w:kern w:val="0"/>
          <w:position w:val="21"/>
          <w:sz w:val="32"/>
          <w:szCs w:val="32"/>
          <w:lang w:val="en-US" w:eastAsia="en-US" w:bidi="ar-SA"/>
        </w:rPr>
        <w:t>河南、安徽、江苏等农博会经费</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r>
        <w:rPr>
          <w:rFonts w:hint="default" w:ascii="Times New Roman" w:hAnsi="Times New Roman" w:eastAsia="仿宋_GB2312" w:cs="Times New Roman"/>
          <w:snapToGrid w:val="0"/>
          <w:color w:val="000000"/>
          <w:spacing w:val="11"/>
          <w:kern w:val="0"/>
          <w:position w:val="21"/>
          <w:sz w:val="32"/>
          <w:szCs w:val="32"/>
          <w:lang w:val="en-US" w:eastAsia="en-US" w:bidi="ar-SA"/>
        </w:rPr>
        <w:t>202</w:t>
      </w:r>
      <w:r>
        <w:rPr>
          <w:rFonts w:hint="eastAsia" w:ascii="Times New Roman" w:hAnsi="Times New Roman" w:eastAsia="仿宋_GB2312" w:cs="Times New Roman"/>
          <w:snapToGrid w:val="0"/>
          <w:color w:val="000000"/>
          <w:spacing w:val="11"/>
          <w:kern w:val="0"/>
          <w:position w:val="21"/>
          <w:sz w:val="32"/>
          <w:szCs w:val="32"/>
          <w:lang w:val="en-US" w:eastAsia="zh-CN" w:bidi="ar-SA"/>
        </w:rPr>
        <w:t>3</w:t>
      </w:r>
      <w:r>
        <w:rPr>
          <w:rFonts w:hint="default" w:ascii="Times New Roman" w:hAnsi="Times New Roman" w:eastAsia="仿宋_GB2312" w:cs="Times New Roman"/>
          <w:snapToGrid w:val="0"/>
          <w:color w:val="000000"/>
          <w:spacing w:val="11"/>
          <w:kern w:val="0"/>
          <w:position w:val="21"/>
          <w:sz w:val="32"/>
          <w:szCs w:val="32"/>
          <w:lang w:val="en-US" w:eastAsia="en-US" w:bidi="ar-SA"/>
        </w:rPr>
        <w:t>结转</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r>
        <w:rPr>
          <w:rFonts w:hint="default" w:ascii="Times New Roman" w:hAnsi="Times New Roman" w:eastAsia="仿宋_GB2312" w:cs="Times New Roman"/>
          <w:snapToGrid w:val="0"/>
          <w:color w:val="000000"/>
          <w:spacing w:val="11"/>
          <w:kern w:val="0"/>
          <w:position w:val="21"/>
          <w:sz w:val="32"/>
          <w:szCs w:val="32"/>
          <w:lang w:val="en-US" w:eastAsia="en-US" w:bidi="ar-SA"/>
        </w:rPr>
        <w:t>项目年初部门预算安排金额</w:t>
      </w:r>
      <w:r>
        <w:rPr>
          <w:rFonts w:hint="eastAsia" w:ascii="Times New Roman" w:hAnsi="Times New Roman" w:eastAsia="仿宋_GB2312" w:cs="Times New Roman"/>
          <w:snapToGrid w:val="0"/>
          <w:color w:val="000000"/>
          <w:spacing w:val="11"/>
          <w:kern w:val="0"/>
          <w:position w:val="21"/>
          <w:sz w:val="32"/>
          <w:szCs w:val="32"/>
          <w:lang w:val="en-US" w:eastAsia="zh-CN" w:bidi="ar-SA"/>
        </w:rPr>
        <w:t>1.16</w:t>
      </w:r>
      <w:r>
        <w:rPr>
          <w:rFonts w:hint="default" w:ascii="Times New Roman" w:hAnsi="Times New Roman" w:eastAsia="仿宋_GB2312" w:cs="Times New Roman"/>
          <w:snapToGrid w:val="0"/>
          <w:color w:val="000000"/>
          <w:spacing w:val="11"/>
          <w:kern w:val="0"/>
          <w:position w:val="21"/>
          <w:sz w:val="32"/>
          <w:szCs w:val="32"/>
          <w:lang w:val="en-US" w:eastAsia="en-US" w:bidi="ar-SA"/>
        </w:rPr>
        <w:t>万元，其中：上年结转</w:t>
      </w:r>
      <w:r>
        <w:rPr>
          <w:rFonts w:hint="eastAsia" w:ascii="Times New Roman" w:hAnsi="Times New Roman" w:eastAsia="仿宋_GB2312" w:cs="Times New Roman"/>
          <w:snapToGrid w:val="0"/>
          <w:color w:val="000000"/>
          <w:spacing w:val="11"/>
          <w:kern w:val="0"/>
          <w:position w:val="21"/>
          <w:sz w:val="32"/>
          <w:szCs w:val="32"/>
          <w:lang w:val="en-US" w:eastAsia="zh-CN" w:bidi="ar-SA"/>
        </w:rPr>
        <w:t>1.16</w:t>
      </w:r>
      <w:r>
        <w:rPr>
          <w:rFonts w:hint="default" w:ascii="Times New Roman" w:hAnsi="Times New Roman" w:eastAsia="仿宋_GB2312" w:cs="Times New Roman"/>
          <w:snapToGrid w:val="0"/>
          <w:color w:val="000000"/>
          <w:spacing w:val="11"/>
          <w:kern w:val="0"/>
          <w:position w:val="21"/>
          <w:sz w:val="32"/>
          <w:szCs w:val="32"/>
          <w:lang w:val="en-US" w:eastAsia="en-US" w:bidi="ar-SA"/>
        </w:rPr>
        <w:t>万元、本年预算安排</w:t>
      </w:r>
      <w:r>
        <w:rPr>
          <w:rFonts w:hint="eastAsia" w:ascii="Times New Roman" w:hAnsi="Times New Roman" w:eastAsia="仿宋_GB2312" w:cs="Times New Roman"/>
          <w:snapToGrid w:val="0"/>
          <w:color w:val="000000"/>
          <w:spacing w:val="11"/>
          <w:kern w:val="0"/>
          <w:position w:val="21"/>
          <w:sz w:val="32"/>
          <w:szCs w:val="32"/>
          <w:lang w:val="en-US" w:eastAsia="zh-CN" w:bidi="ar-SA"/>
        </w:rPr>
        <w:t>0</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default" w:ascii="Times New Roman" w:hAnsi="Times New Roman" w:eastAsia="仿宋_GB2312" w:cs="Times New Roman"/>
          <w:snapToGrid w:val="0"/>
          <w:color w:val="000000"/>
          <w:spacing w:val="11"/>
          <w:kern w:val="0"/>
          <w:position w:val="21"/>
          <w:sz w:val="32"/>
          <w:szCs w:val="32"/>
          <w:lang w:val="en-US" w:eastAsia="zh-CN" w:bidi="ar-SA"/>
        </w:rPr>
        <w:t>，实际支出</w:t>
      </w:r>
      <w:r>
        <w:rPr>
          <w:rFonts w:hint="eastAsia" w:ascii="Times New Roman" w:hAnsi="Times New Roman" w:eastAsia="仿宋_GB2312" w:cs="Times New Roman"/>
          <w:snapToGrid w:val="0"/>
          <w:color w:val="000000"/>
          <w:spacing w:val="11"/>
          <w:kern w:val="0"/>
          <w:position w:val="21"/>
          <w:sz w:val="32"/>
          <w:szCs w:val="32"/>
          <w:lang w:val="en-US" w:eastAsia="zh-CN" w:bidi="ar-SA"/>
        </w:rPr>
        <w:t>1.16</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en-US" w:bidi="ar-SA"/>
        </w:rPr>
      </w:pPr>
      <w:r>
        <w:rPr>
          <w:rFonts w:hint="default" w:ascii="Times New Roman" w:hAnsi="Times New Roman" w:eastAsia="仿宋_GB2312" w:cs="Times New Roman"/>
          <w:snapToGrid w:val="0"/>
          <w:color w:val="000000"/>
          <w:spacing w:val="11"/>
          <w:kern w:val="0"/>
          <w:position w:val="21"/>
          <w:sz w:val="32"/>
          <w:szCs w:val="32"/>
          <w:lang w:val="en-US" w:eastAsia="zh-CN" w:bidi="ar-SA"/>
        </w:rPr>
        <w:t>3</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r>
        <w:rPr>
          <w:rFonts w:hint="default" w:ascii="Times New Roman" w:hAnsi="Times New Roman" w:eastAsia="仿宋_GB2312" w:cs="Times New Roman"/>
          <w:snapToGrid w:val="0"/>
          <w:color w:val="000000"/>
          <w:spacing w:val="11"/>
          <w:kern w:val="0"/>
          <w:position w:val="21"/>
          <w:sz w:val="32"/>
          <w:szCs w:val="32"/>
          <w:lang w:val="en-US" w:eastAsia="en-US" w:bidi="ar-SA"/>
        </w:rPr>
        <w:t>农业创业创新经费（202</w:t>
      </w:r>
      <w:r>
        <w:rPr>
          <w:rFonts w:hint="eastAsia" w:ascii="Times New Roman" w:hAnsi="Times New Roman" w:eastAsia="仿宋_GB2312" w:cs="Times New Roman"/>
          <w:snapToGrid w:val="0"/>
          <w:color w:val="000000"/>
          <w:spacing w:val="11"/>
          <w:kern w:val="0"/>
          <w:position w:val="21"/>
          <w:sz w:val="32"/>
          <w:szCs w:val="32"/>
          <w:lang w:val="en-US" w:eastAsia="zh-CN" w:bidi="ar-SA"/>
        </w:rPr>
        <w:t>3</w:t>
      </w:r>
      <w:r>
        <w:rPr>
          <w:rFonts w:hint="default" w:ascii="Times New Roman" w:hAnsi="Times New Roman" w:eastAsia="仿宋_GB2312" w:cs="Times New Roman"/>
          <w:snapToGrid w:val="0"/>
          <w:color w:val="000000"/>
          <w:spacing w:val="11"/>
          <w:kern w:val="0"/>
          <w:position w:val="21"/>
          <w:sz w:val="32"/>
          <w:szCs w:val="32"/>
          <w:lang w:val="en-US" w:eastAsia="en-US" w:bidi="ar-SA"/>
        </w:rPr>
        <w:t>结转）</w:t>
      </w:r>
      <w:r>
        <w:rPr>
          <w:rFonts w:hint="eastAsia" w:ascii="Times New Roman" w:hAnsi="Times New Roman" w:eastAsia="仿宋_GB2312" w:cs="Times New Roman"/>
          <w:snapToGrid w:val="0"/>
          <w:color w:val="000000"/>
          <w:spacing w:val="11"/>
          <w:kern w:val="0"/>
          <w:position w:val="21"/>
          <w:sz w:val="32"/>
          <w:szCs w:val="32"/>
          <w:lang w:val="en-US" w:eastAsia="zh-CN" w:bidi="ar-SA"/>
        </w:rPr>
        <w:t>项目</w:t>
      </w:r>
      <w:r>
        <w:rPr>
          <w:rFonts w:hint="default" w:ascii="Times New Roman" w:hAnsi="Times New Roman" w:eastAsia="仿宋_GB2312" w:cs="Times New Roman"/>
          <w:snapToGrid w:val="0"/>
          <w:color w:val="000000"/>
          <w:spacing w:val="11"/>
          <w:kern w:val="0"/>
          <w:position w:val="21"/>
          <w:sz w:val="32"/>
          <w:szCs w:val="32"/>
          <w:lang w:val="en-US" w:eastAsia="en-US" w:bidi="ar-SA"/>
        </w:rPr>
        <w:t>年初部门预算安排金额</w:t>
      </w:r>
      <w:r>
        <w:rPr>
          <w:rFonts w:hint="default" w:ascii="Times New Roman" w:hAnsi="Times New Roman" w:eastAsia="仿宋_GB2312" w:cs="Times New Roman"/>
          <w:snapToGrid w:val="0"/>
          <w:color w:val="000000"/>
          <w:spacing w:val="11"/>
          <w:kern w:val="0"/>
          <w:position w:val="21"/>
          <w:sz w:val="32"/>
          <w:szCs w:val="32"/>
          <w:lang w:val="en-US" w:eastAsia="zh-CN" w:bidi="ar-SA"/>
        </w:rPr>
        <w:t>6.</w:t>
      </w:r>
      <w:r>
        <w:rPr>
          <w:rFonts w:hint="eastAsia" w:ascii="Times New Roman" w:hAnsi="Times New Roman" w:eastAsia="仿宋_GB2312" w:cs="Times New Roman"/>
          <w:snapToGrid w:val="0"/>
          <w:color w:val="000000"/>
          <w:spacing w:val="11"/>
          <w:kern w:val="0"/>
          <w:position w:val="21"/>
          <w:sz w:val="32"/>
          <w:szCs w:val="32"/>
          <w:lang w:val="en-US" w:eastAsia="zh-CN" w:bidi="ar-SA"/>
        </w:rPr>
        <w:t>58</w:t>
      </w:r>
      <w:r>
        <w:rPr>
          <w:rFonts w:hint="default" w:ascii="Times New Roman" w:hAnsi="Times New Roman" w:eastAsia="仿宋_GB2312" w:cs="Times New Roman"/>
          <w:snapToGrid w:val="0"/>
          <w:color w:val="000000"/>
          <w:spacing w:val="11"/>
          <w:kern w:val="0"/>
          <w:position w:val="21"/>
          <w:sz w:val="32"/>
          <w:szCs w:val="32"/>
          <w:lang w:val="en-US" w:eastAsia="en-US" w:bidi="ar-SA"/>
        </w:rPr>
        <w:t>万元，其中：上年结转</w:t>
      </w:r>
      <w:r>
        <w:rPr>
          <w:rFonts w:hint="eastAsia" w:ascii="Times New Roman" w:hAnsi="Times New Roman" w:eastAsia="仿宋_GB2312" w:cs="Times New Roman"/>
          <w:snapToGrid w:val="0"/>
          <w:color w:val="000000"/>
          <w:spacing w:val="11"/>
          <w:kern w:val="0"/>
          <w:position w:val="21"/>
          <w:sz w:val="32"/>
          <w:szCs w:val="32"/>
          <w:lang w:val="en-US" w:eastAsia="zh-CN" w:bidi="ar-SA"/>
        </w:rPr>
        <w:t>6.58</w:t>
      </w:r>
      <w:r>
        <w:rPr>
          <w:rFonts w:hint="default" w:ascii="Times New Roman" w:hAnsi="Times New Roman" w:eastAsia="仿宋_GB2312" w:cs="Times New Roman"/>
          <w:snapToGrid w:val="0"/>
          <w:color w:val="000000"/>
          <w:spacing w:val="11"/>
          <w:kern w:val="0"/>
          <w:position w:val="21"/>
          <w:sz w:val="32"/>
          <w:szCs w:val="32"/>
          <w:lang w:val="en-US" w:eastAsia="en-US" w:bidi="ar-SA"/>
        </w:rPr>
        <w:t>万元、本年预算安排</w:t>
      </w:r>
      <w:r>
        <w:rPr>
          <w:rFonts w:hint="default" w:ascii="Times New Roman" w:hAnsi="Times New Roman" w:eastAsia="仿宋_GB2312" w:cs="Times New Roman"/>
          <w:snapToGrid w:val="0"/>
          <w:color w:val="000000"/>
          <w:spacing w:val="11"/>
          <w:kern w:val="0"/>
          <w:position w:val="21"/>
          <w:sz w:val="32"/>
          <w:szCs w:val="32"/>
          <w:lang w:val="en-US" w:eastAsia="zh-CN" w:bidi="ar-SA"/>
        </w:rPr>
        <w:t>0</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default" w:ascii="Times New Roman" w:hAnsi="Times New Roman" w:eastAsia="仿宋_GB2312" w:cs="Times New Roman"/>
          <w:snapToGrid w:val="0"/>
          <w:color w:val="000000"/>
          <w:spacing w:val="11"/>
          <w:kern w:val="0"/>
          <w:position w:val="21"/>
          <w:sz w:val="32"/>
          <w:szCs w:val="32"/>
          <w:lang w:val="en-US" w:eastAsia="zh-CN" w:bidi="ar-SA"/>
        </w:rPr>
        <w:t>，实际支出</w:t>
      </w:r>
      <w:r>
        <w:rPr>
          <w:rFonts w:hint="eastAsia" w:ascii="Times New Roman" w:hAnsi="Times New Roman" w:eastAsia="仿宋_GB2312" w:cs="Times New Roman"/>
          <w:snapToGrid w:val="0"/>
          <w:color w:val="000000"/>
          <w:spacing w:val="11"/>
          <w:kern w:val="0"/>
          <w:position w:val="21"/>
          <w:sz w:val="32"/>
          <w:szCs w:val="32"/>
          <w:lang w:val="en-US" w:eastAsia="zh-CN" w:bidi="ar-SA"/>
        </w:rPr>
        <w:t>6.58</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4.特色产业集群项目</w:t>
      </w:r>
      <w:r>
        <w:rPr>
          <w:rFonts w:hint="default" w:ascii="Times New Roman" w:hAnsi="Times New Roman" w:eastAsia="仿宋_GB2312" w:cs="Times New Roman"/>
          <w:snapToGrid w:val="0"/>
          <w:color w:val="000000"/>
          <w:spacing w:val="11"/>
          <w:kern w:val="0"/>
          <w:position w:val="21"/>
          <w:sz w:val="32"/>
          <w:szCs w:val="32"/>
          <w:lang w:val="en-US" w:eastAsia="en-US" w:bidi="ar-SA"/>
        </w:rPr>
        <w:t>部门</w:t>
      </w:r>
      <w:r>
        <w:rPr>
          <w:rFonts w:hint="eastAsia" w:ascii="Times New Roman" w:hAnsi="Times New Roman" w:eastAsia="仿宋_GB2312" w:cs="Times New Roman"/>
          <w:snapToGrid w:val="0"/>
          <w:color w:val="000000"/>
          <w:spacing w:val="11"/>
          <w:kern w:val="0"/>
          <w:position w:val="21"/>
          <w:sz w:val="32"/>
          <w:szCs w:val="32"/>
          <w:lang w:val="en-US" w:eastAsia="zh-CN" w:bidi="ar-SA"/>
        </w:rPr>
        <w:t>追加</w:t>
      </w:r>
      <w:r>
        <w:rPr>
          <w:rFonts w:hint="default" w:ascii="Times New Roman" w:hAnsi="Times New Roman" w:eastAsia="仿宋_GB2312" w:cs="Times New Roman"/>
          <w:snapToGrid w:val="0"/>
          <w:color w:val="000000"/>
          <w:spacing w:val="11"/>
          <w:kern w:val="0"/>
          <w:position w:val="21"/>
          <w:sz w:val="32"/>
          <w:szCs w:val="32"/>
          <w:lang w:val="en-US" w:eastAsia="en-US" w:bidi="ar-SA"/>
        </w:rPr>
        <w:t>预算安排金额</w:t>
      </w:r>
      <w:r>
        <w:rPr>
          <w:rFonts w:hint="eastAsia" w:ascii="Times New Roman" w:hAnsi="Times New Roman" w:eastAsia="仿宋_GB2312" w:cs="Times New Roman"/>
          <w:snapToGrid w:val="0"/>
          <w:color w:val="000000"/>
          <w:spacing w:val="11"/>
          <w:kern w:val="0"/>
          <w:position w:val="21"/>
          <w:sz w:val="32"/>
          <w:szCs w:val="32"/>
          <w:lang w:val="en-US" w:eastAsia="zh-CN" w:bidi="ar-SA"/>
        </w:rPr>
        <w:t>100</w:t>
      </w:r>
      <w:r>
        <w:rPr>
          <w:rFonts w:hint="default" w:ascii="Times New Roman" w:hAnsi="Times New Roman" w:eastAsia="仿宋_GB2312" w:cs="Times New Roman"/>
          <w:snapToGrid w:val="0"/>
          <w:color w:val="000000"/>
          <w:spacing w:val="11"/>
          <w:kern w:val="0"/>
          <w:position w:val="21"/>
          <w:sz w:val="32"/>
          <w:szCs w:val="32"/>
          <w:lang w:val="en-US" w:eastAsia="en-US" w:bidi="ar-SA"/>
        </w:rPr>
        <w:t>万元，其中：上年结转</w:t>
      </w:r>
      <w:r>
        <w:rPr>
          <w:rFonts w:hint="eastAsia" w:ascii="Times New Roman" w:hAnsi="Times New Roman" w:eastAsia="仿宋_GB2312" w:cs="Times New Roman"/>
          <w:snapToGrid w:val="0"/>
          <w:color w:val="000000"/>
          <w:spacing w:val="11"/>
          <w:kern w:val="0"/>
          <w:position w:val="21"/>
          <w:sz w:val="32"/>
          <w:szCs w:val="32"/>
          <w:lang w:val="en-US" w:eastAsia="zh-CN" w:bidi="ar-SA"/>
        </w:rPr>
        <w:t>0</w:t>
      </w:r>
      <w:r>
        <w:rPr>
          <w:rFonts w:hint="default" w:ascii="Times New Roman" w:hAnsi="Times New Roman" w:eastAsia="仿宋_GB2312" w:cs="Times New Roman"/>
          <w:snapToGrid w:val="0"/>
          <w:color w:val="000000"/>
          <w:spacing w:val="11"/>
          <w:kern w:val="0"/>
          <w:position w:val="21"/>
          <w:sz w:val="32"/>
          <w:szCs w:val="32"/>
          <w:lang w:val="en-US" w:eastAsia="en-US" w:bidi="ar-SA"/>
        </w:rPr>
        <w:t>万元、本年预算安排</w:t>
      </w:r>
      <w:r>
        <w:rPr>
          <w:rFonts w:hint="eastAsia" w:ascii="Times New Roman" w:hAnsi="Times New Roman" w:eastAsia="仿宋_GB2312" w:cs="Times New Roman"/>
          <w:snapToGrid w:val="0"/>
          <w:color w:val="000000"/>
          <w:spacing w:val="11"/>
          <w:kern w:val="0"/>
          <w:position w:val="21"/>
          <w:sz w:val="32"/>
          <w:szCs w:val="32"/>
          <w:lang w:val="en-US" w:eastAsia="zh-CN" w:bidi="ar-SA"/>
        </w:rPr>
        <w:t>100</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default" w:ascii="Times New Roman" w:hAnsi="Times New Roman" w:eastAsia="仿宋_GB2312" w:cs="Times New Roman"/>
          <w:snapToGrid w:val="0"/>
          <w:color w:val="000000"/>
          <w:spacing w:val="11"/>
          <w:kern w:val="0"/>
          <w:position w:val="21"/>
          <w:sz w:val="32"/>
          <w:szCs w:val="32"/>
          <w:lang w:val="en-US" w:eastAsia="zh-CN" w:bidi="ar-SA"/>
        </w:rPr>
        <w:t>，实际支出</w:t>
      </w:r>
      <w:r>
        <w:rPr>
          <w:rFonts w:hint="eastAsia" w:ascii="Times New Roman" w:hAnsi="Times New Roman" w:eastAsia="仿宋_GB2312" w:cs="Times New Roman"/>
          <w:snapToGrid w:val="0"/>
          <w:color w:val="000000"/>
          <w:spacing w:val="11"/>
          <w:kern w:val="0"/>
          <w:position w:val="21"/>
          <w:sz w:val="32"/>
          <w:szCs w:val="32"/>
          <w:lang w:val="en-US" w:eastAsia="zh-CN" w:bidi="ar-SA"/>
        </w:rPr>
        <w:t>56.94</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p>
    <w:p>
      <w:pPr>
        <w:widowControl/>
        <w:numPr>
          <w:ilvl w:val="0"/>
          <w:numId w:val="2"/>
        </w:numPr>
        <w:spacing w:line="600" w:lineRule="exact"/>
        <w:ind w:firstLine="66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widowControl/>
        <w:numPr>
          <w:ilvl w:val="0"/>
          <w:numId w:val="0"/>
        </w:numPr>
        <w:spacing w:line="600" w:lineRule="exact"/>
        <w:ind w:firstLine="640" w:firstLineChars="200"/>
        <w:jc w:val="left"/>
        <w:rPr>
          <w:rFonts w:ascii="Times New Roman" w:hAnsi="Times New Roman" w:eastAsia="黑体"/>
          <w:sz w:val="32"/>
          <w:szCs w:val="32"/>
        </w:rPr>
      </w:pPr>
      <w:r>
        <w:rPr>
          <w:rFonts w:hint="default" w:ascii="Times New Roman" w:hAnsi="Times New Roman" w:eastAsia="仿宋_GB2312" w:cs="Times New Roman"/>
          <w:sz w:val="32"/>
          <w:szCs w:val="32"/>
          <w:lang w:eastAsia="zh-CN"/>
        </w:rPr>
        <w:t>202</w:t>
      </w:r>
      <w:r>
        <w:rPr>
          <w:rFonts w:hint="eastAsia" w:ascii="Times New Roman" w:hAnsi="Times New Roman" w:cs="Times New Roman"/>
          <w:sz w:val="32"/>
          <w:szCs w:val="32"/>
          <w:lang w:val="en-US" w:eastAsia="zh-CN"/>
        </w:rPr>
        <w:t>4</w:t>
      </w:r>
      <w:r>
        <w:rPr>
          <w:rFonts w:hint="default" w:ascii="Times New Roman" w:hAnsi="Times New Roman" w:eastAsia="仿宋_GB2312" w:cs="Times New Roman"/>
          <w:sz w:val="32"/>
          <w:szCs w:val="32"/>
        </w:rPr>
        <w:t>年本单位</w:t>
      </w:r>
      <w:r>
        <w:rPr>
          <w:rFonts w:hint="eastAsia" w:ascii="Times New Roman" w:hAnsi="Times New Roman" w:eastAsia="仿宋_GB2312" w:cs="Times New Roman"/>
          <w:sz w:val="32"/>
          <w:szCs w:val="32"/>
          <w:lang w:eastAsia="zh-CN"/>
        </w:rPr>
        <w:t>无</w:t>
      </w:r>
      <w:r>
        <w:rPr>
          <w:rFonts w:hint="default" w:ascii="Times New Roman" w:hAnsi="Times New Roman" w:eastAsia="仿宋_GB2312" w:cs="Times New Roman"/>
          <w:sz w:val="32"/>
          <w:szCs w:val="32"/>
        </w:rPr>
        <w:t>政府性基金</w:t>
      </w:r>
      <w:r>
        <w:rPr>
          <w:rFonts w:hint="eastAsia" w:ascii="Times New Roman" w:hAnsi="Times New Roman" w:eastAsia="仿宋_GB2312" w:cs="Times New Roman"/>
          <w:sz w:val="32"/>
          <w:szCs w:val="32"/>
          <w:lang w:eastAsia="zh-CN"/>
        </w:rPr>
        <w:t>安排的</w:t>
      </w:r>
      <w:r>
        <w:rPr>
          <w:rFonts w:hint="default"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w:t>
      </w:r>
    </w:p>
    <w:p>
      <w:pPr>
        <w:pStyle w:val="22"/>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四、国有资本经营预算支出情况</w:t>
      </w:r>
    </w:p>
    <w:p>
      <w:pPr>
        <w:widowControl/>
        <w:numPr>
          <w:ilvl w:val="0"/>
          <w:numId w:val="0"/>
        </w:numPr>
        <w:spacing w:line="600" w:lineRule="exact"/>
        <w:ind w:firstLine="640" w:firstLineChars="200"/>
        <w:jc w:val="left"/>
        <w:rPr>
          <w:rFonts w:ascii="Times New Roman" w:hAnsi="Times New Roman" w:eastAsia="黑体"/>
          <w:sz w:val="32"/>
          <w:szCs w:val="32"/>
        </w:rPr>
      </w:pPr>
      <w:r>
        <w:rPr>
          <w:rFonts w:hint="default" w:ascii="Times New Roman" w:hAnsi="Times New Roman" w:eastAsia="仿宋_GB2312" w:cs="Times New Roman"/>
          <w:sz w:val="32"/>
          <w:szCs w:val="32"/>
          <w:lang w:eastAsia="zh-CN"/>
        </w:rPr>
        <w:t>202</w:t>
      </w:r>
      <w:r>
        <w:rPr>
          <w:rFonts w:hint="eastAsia" w:ascii="Times New Roman" w:hAnsi="Times New Roman" w:cs="Times New Roman"/>
          <w:sz w:val="32"/>
          <w:szCs w:val="32"/>
          <w:lang w:val="en-US" w:eastAsia="zh-CN"/>
        </w:rPr>
        <w:t>4</w:t>
      </w:r>
      <w:r>
        <w:rPr>
          <w:rFonts w:hint="default" w:ascii="Times New Roman" w:hAnsi="Times New Roman" w:eastAsia="仿宋_GB2312" w:cs="Times New Roman"/>
          <w:sz w:val="32"/>
          <w:szCs w:val="32"/>
        </w:rPr>
        <w:t>年本单位</w:t>
      </w:r>
      <w:r>
        <w:rPr>
          <w:rFonts w:hint="eastAsia" w:ascii="Times New Roman" w:hAnsi="Times New Roman" w:cs="Times New Roman"/>
          <w:sz w:val="32"/>
          <w:szCs w:val="32"/>
          <w:lang w:eastAsia="zh-CN"/>
        </w:rPr>
        <w:t>无国有资本经营</w:t>
      </w:r>
      <w:r>
        <w:rPr>
          <w:rFonts w:hint="eastAsia" w:ascii="Times New Roman" w:hAnsi="Times New Roman" w:eastAsia="仿宋_GB2312" w:cs="Times New Roman"/>
          <w:sz w:val="32"/>
          <w:szCs w:val="32"/>
          <w:lang w:eastAsia="zh-CN"/>
        </w:rPr>
        <w:t>安排的</w:t>
      </w:r>
      <w:r>
        <w:rPr>
          <w:rFonts w:hint="default"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w:t>
      </w:r>
    </w:p>
    <w:p>
      <w:pPr>
        <w:pStyle w:val="22"/>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widowControl/>
        <w:numPr>
          <w:ilvl w:val="0"/>
          <w:numId w:val="0"/>
        </w:numPr>
        <w:spacing w:line="600" w:lineRule="exact"/>
        <w:ind w:firstLine="640" w:firstLineChars="200"/>
        <w:jc w:val="left"/>
        <w:rPr>
          <w:rFonts w:eastAsia="黑体"/>
          <w:sz w:val="32"/>
          <w:szCs w:val="32"/>
        </w:rPr>
      </w:pPr>
      <w:r>
        <w:rPr>
          <w:rFonts w:hint="default" w:ascii="Times New Roman" w:hAnsi="Times New Roman" w:eastAsia="仿宋_GB2312" w:cs="Times New Roman"/>
          <w:sz w:val="32"/>
          <w:szCs w:val="32"/>
          <w:lang w:eastAsia="zh-CN"/>
        </w:rPr>
        <w:t>202</w:t>
      </w:r>
      <w:r>
        <w:rPr>
          <w:rFonts w:hint="eastAsia" w:ascii="Times New Roman" w:hAnsi="Times New Roman" w:cs="Times New Roman"/>
          <w:sz w:val="32"/>
          <w:szCs w:val="32"/>
          <w:lang w:val="en-US" w:eastAsia="zh-CN"/>
        </w:rPr>
        <w:t>4</w:t>
      </w:r>
      <w:r>
        <w:rPr>
          <w:rFonts w:hint="default" w:ascii="Times New Roman" w:hAnsi="Times New Roman" w:eastAsia="仿宋_GB2312" w:cs="Times New Roman"/>
          <w:sz w:val="32"/>
          <w:szCs w:val="32"/>
        </w:rPr>
        <w:t>年本单位</w:t>
      </w:r>
      <w:r>
        <w:rPr>
          <w:rFonts w:hint="eastAsia" w:ascii="Times New Roman" w:hAnsi="Times New Roman" w:eastAsia="仿宋_GB2312" w:cs="Times New Roman"/>
          <w:sz w:val="32"/>
          <w:szCs w:val="32"/>
          <w:lang w:eastAsia="zh-CN"/>
        </w:rPr>
        <w:t>无</w:t>
      </w:r>
      <w:r>
        <w:rPr>
          <w:rFonts w:hint="eastAsia" w:ascii="Times New Roman" w:hAnsi="Times New Roman" w:cs="Times New Roman"/>
          <w:sz w:val="32"/>
          <w:szCs w:val="32"/>
          <w:lang w:eastAsia="zh-CN"/>
        </w:rPr>
        <w:t>社会保险</w:t>
      </w:r>
      <w:r>
        <w:rPr>
          <w:rFonts w:hint="default" w:ascii="Times New Roman" w:hAnsi="Times New Roman" w:eastAsia="仿宋_GB2312" w:cs="Times New Roman"/>
          <w:sz w:val="32"/>
          <w:szCs w:val="32"/>
        </w:rPr>
        <w:t>基金</w:t>
      </w:r>
      <w:r>
        <w:rPr>
          <w:rFonts w:hint="eastAsia" w:ascii="Times New Roman" w:hAnsi="Times New Roman" w:eastAsia="仿宋_GB2312" w:cs="Times New Roman"/>
          <w:sz w:val="32"/>
          <w:szCs w:val="32"/>
          <w:lang w:eastAsia="zh-CN"/>
        </w:rPr>
        <w:t>安排的</w:t>
      </w:r>
      <w:r>
        <w:rPr>
          <w:rFonts w:hint="default"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w:t>
      </w:r>
    </w:p>
    <w:p>
      <w:pPr>
        <w:spacing w:line="570" w:lineRule="atLeast"/>
        <w:ind w:firstLine="640"/>
        <w:rPr>
          <w:rFonts w:eastAsia="黑体"/>
          <w:sz w:val="32"/>
          <w:szCs w:val="32"/>
        </w:rPr>
      </w:pPr>
      <w:r>
        <w:rPr>
          <w:rFonts w:eastAsia="黑体"/>
          <w:sz w:val="32"/>
          <w:szCs w:val="32"/>
        </w:rPr>
        <w:t>六、部门整体支出绩效情况</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2024年收入年初预算399.94万元，</w:t>
      </w:r>
      <w:r>
        <w:rPr>
          <w:rFonts w:hint="eastAsia" w:ascii="Times New Roman" w:hAnsi="Times New Roman" w:eastAsia="仿宋_GB2312" w:cs="Times New Roman"/>
          <w:snapToGrid w:val="0"/>
          <w:color w:val="000000"/>
          <w:spacing w:val="11"/>
          <w:kern w:val="0"/>
          <w:position w:val="21"/>
          <w:sz w:val="32"/>
          <w:szCs w:val="32"/>
          <w:lang w:val="en-US" w:eastAsia="en-US" w:bidi="ar-SA"/>
        </w:rPr>
        <w:t>上年结转</w:t>
      </w:r>
      <w:r>
        <w:rPr>
          <w:rFonts w:hint="eastAsia" w:ascii="Times New Roman" w:hAnsi="Times New Roman" w:eastAsia="仿宋_GB2312" w:cs="Times New Roman"/>
          <w:snapToGrid w:val="0"/>
          <w:color w:val="000000"/>
          <w:spacing w:val="11"/>
          <w:kern w:val="0"/>
          <w:position w:val="21"/>
          <w:sz w:val="32"/>
          <w:szCs w:val="32"/>
          <w:lang w:val="en-US" w:eastAsia="zh-CN" w:bidi="ar-SA"/>
        </w:rPr>
        <w:t>7.74</w:t>
      </w:r>
      <w:r>
        <w:rPr>
          <w:rFonts w:hint="eastAsia" w:ascii="Times New Roman" w:hAnsi="Times New Roman" w:eastAsia="仿宋_GB2312" w:cs="Times New Roman"/>
          <w:snapToGrid w:val="0"/>
          <w:color w:val="000000"/>
          <w:spacing w:val="11"/>
          <w:kern w:val="0"/>
          <w:position w:val="21"/>
          <w:sz w:val="32"/>
          <w:szCs w:val="32"/>
          <w:lang w:val="en-US" w:eastAsia="en-US" w:bidi="ar-SA"/>
        </w:rPr>
        <w:t>万元，</w:t>
      </w:r>
      <w:r>
        <w:rPr>
          <w:rFonts w:hint="eastAsia" w:ascii="Times New Roman" w:hAnsi="Times New Roman" w:eastAsia="仿宋_GB2312" w:cs="Times New Roman"/>
          <w:snapToGrid w:val="0"/>
          <w:color w:val="000000"/>
          <w:spacing w:val="11"/>
          <w:kern w:val="0"/>
          <w:position w:val="21"/>
          <w:sz w:val="32"/>
          <w:szCs w:val="32"/>
          <w:lang w:val="en-US" w:eastAsia="zh-CN" w:bidi="ar-SA"/>
        </w:rPr>
        <w:t>年中预算调整100万元，全年预算总收入507.68万元，其中一般公共预算财政拨款收入499.94万元，年初结转和结余7.74万元。</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en-US" w:bidi="ar-SA"/>
        </w:rPr>
        <w:t>202</w:t>
      </w:r>
      <w:r>
        <w:rPr>
          <w:rFonts w:hint="eastAsia" w:ascii="Times New Roman" w:hAnsi="Times New Roman" w:eastAsia="仿宋_GB2312" w:cs="Times New Roman"/>
          <w:snapToGrid w:val="0"/>
          <w:color w:val="000000"/>
          <w:spacing w:val="11"/>
          <w:kern w:val="0"/>
          <w:position w:val="21"/>
          <w:sz w:val="32"/>
          <w:szCs w:val="32"/>
          <w:lang w:val="en-US" w:eastAsia="zh-CN" w:bidi="ar-SA"/>
        </w:rPr>
        <w:t>4</w:t>
      </w:r>
      <w:r>
        <w:rPr>
          <w:rFonts w:hint="eastAsia" w:ascii="Times New Roman" w:hAnsi="Times New Roman" w:eastAsia="仿宋_GB2312" w:cs="Times New Roman"/>
          <w:snapToGrid w:val="0"/>
          <w:color w:val="000000"/>
          <w:spacing w:val="11"/>
          <w:kern w:val="0"/>
          <w:position w:val="21"/>
          <w:sz w:val="32"/>
          <w:szCs w:val="32"/>
          <w:lang w:val="en-US" w:eastAsia="en-US" w:bidi="ar-SA"/>
        </w:rPr>
        <w:t>年全年支出</w:t>
      </w:r>
      <w:r>
        <w:rPr>
          <w:rFonts w:hint="eastAsia" w:ascii="Times New Roman" w:hAnsi="Times New Roman" w:eastAsia="仿宋_GB2312" w:cs="Times New Roman"/>
          <w:snapToGrid w:val="0"/>
          <w:color w:val="000000"/>
          <w:spacing w:val="11"/>
          <w:kern w:val="0"/>
          <w:position w:val="21"/>
          <w:sz w:val="32"/>
          <w:szCs w:val="32"/>
          <w:lang w:val="en-US" w:eastAsia="zh-CN" w:bidi="ar-SA"/>
        </w:rPr>
        <w:t>403.68</w:t>
      </w:r>
      <w:r>
        <w:rPr>
          <w:rFonts w:hint="eastAsia" w:ascii="Times New Roman" w:hAnsi="Times New Roman" w:eastAsia="仿宋_GB2312" w:cs="Times New Roman"/>
          <w:snapToGrid w:val="0"/>
          <w:color w:val="000000"/>
          <w:spacing w:val="11"/>
          <w:kern w:val="0"/>
          <w:position w:val="21"/>
          <w:sz w:val="32"/>
          <w:szCs w:val="32"/>
          <w:lang w:val="en-US" w:eastAsia="en-US" w:bidi="ar-SA"/>
        </w:rPr>
        <w:t>万元，其中基本支出</w:t>
      </w:r>
      <w:r>
        <w:rPr>
          <w:rFonts w:hint="eastAsia" w:ascii="Times New Roman" w:hAnsi="Times New Roman" w:eastAsia="仿宋_GB2312" w:cs="Times New Roman"/>
          <w:snapToGrid w:val="0"/>
          <w:color w:val="000000"/>
          <w:spacing w:val="11"/>
          <w:kern w:val="0"/>
          <w:position w:val="21"/>
          <w:sz w:val="32"/>
          <w:szCs w:val="32"/>
          <w:lang w:val="en-US" w:eastAsia="zh-CN" w:bidi="ar-SA"/>
        </w:rPr>
        <w:t>260.71</w:t>
      </w:r>
      <w:r>
        <w:rPr>
          <w:rFonts w:hint="eastAsia" w:ascii="Times New Roman" w:hAnsi="Times New Roman" w:eastAsia="仿宋_GB2312" w:cs="Times New Roman"/>
          <w:snapToGrid w:val="0"/>
          <w:color w:val="000000"/>
          <w:spacing w:val="11"/>
          <w:kern w:val="0"/>
          <w:position w:val="21"/>
          <w:sz w:val="32"/>
          <w:szCs w:val="32"/>
          <w:lang w:val="en-US" w:eastAsia="en-US" w:bidi="ar-SA"/>
        </w:rPr>
        <w:t>万元，项目支出</w:t>
      </w:r>
      <w:r>
        <w:rPr>
          <w:rFonts w:hint="eastAsia" w:ascii="Times New Roman" w:hAnsi="Times New Roman" w:eastAsia="仿宋_GB2312" w:cs="Times New Roman"/>
          <w:snapToGrid w:val="0"/>
          <w:color w:val="000000"/>
          <w:spacing w:val="11"/>
          <w:kern w:val="0"/>
          <w:position w:val="21"/>
          <w:sz w:val="32"/>
          <w:szCs w:val="32"/>
          <w:lang w:val="en-US" w:eastAsia="zh-CN" w:bidi="ar-SA"/>
        </w:rPr>
        <w:t>142.97</w:t>
      </w:r>
      <w:r>
        <w:rPr>
          <w:rFonts w:hint="eastAsia" w:ascii="Times New Roman" w:hAnsi="Times New Roman" w:eastAsia="仿宋_GB2312" w:cs="Times New Roman"/>
          <w:snapToGrid w:val="0"/>
          <w:color w:val="000000"/>
          <w:spacing w:val="11"/>
          <w:kern w:val="0"/>
          <w:position w:val="21"/>
          <w:sz w:val="32"/>
          <w:szCs w:val="32"/>
          <w:lang w:val="en-US" w:eastAsia="en-US" w:bidi="ar-SA"/>
        </w:rPr>
        <w:t>万元</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r>
        <w:rPr>
          <w:rFonts w:hint="default" w:ascii="Times New Roman" w:hAnsi="Times New Roman" w:eastAsia="仿宋_GB2312" w:cs="Times New Roman"/>
          <w:snapToGrid w:val="0"/>
          <w:color w:val="000000"/>
          <w:spacing w:val="11"/>
          <w:kern w:val="0"/>
          <w:position w:val="21"/>
          <w:sz w:val="32"/>
          <w:szCs w:val="32"/>
          <w:lang w:val="en-US" w:eastAsia="en-US" w:bidi="ar-SA"/>
        </w:rPr>
        <w:t>年末结转结余</w:t>
      </w:r>
      <w:r>
        <w:rPr>
          <w:rFonts w:hint="eastAsia" w:ascii="Times New Roman" w:hAnsi="Times New Roman" w:eastAsia="仿宋_GB2312" w:cs="Times New Roman"/>
          <w:snapToGrid w:val="0"/>
          <w:color w:val="000000"/>
          <w:spacing w:val="11"/>
          <w:kern w:val="0"/>
          <w:position w:val="21"/>
          <w:sz w:val="32"/>
          <w:szCs w:val="32"/>
          <w:lang w:val="en-US" w:eastAsia="zh-CN" w:bidi="ar-SA"/>
        </w:rPr>
        <w:t>104</w:t>
      </w:r>
      <w:r>
        <w:rPr>
          <w:rFonts w:hint="default" w:ascii="Times New Roman" w:hAnsi="Times New Roman" w:eastAsia="仿宋_GB2312" w:cs="Times New Roman"/>
          <w:snapToGrid w:val="0"/>
          <w:color w:val="000000"/>
          <w:spacing w:val="11"/>
          <w:kern w:val="0"/>
          <w:position w:val="21"/>
          <w:sz w:val="32"/>
          <w:szCs w:val="32"/>
          <w:lang w:val="en-US" w:eastAsia="en-US" w:bidi="ar-SA"/>
        </w:rPr>
        <w:t>万元</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p>
    <w:p>
      <w:pPr>
        <w:pStyle w:val="22"/>
        <w:snapToGrid w:val="0"/>
        <w:spacing w:line="570" w:lineRule="atLeast"/>
        <w:ind w:firstLine="643"/>
        <w:rPr>
          <w:rFonts w:hint="default"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（一）产出指标完成情况分析</w:t>
      </w:r>
    </w:p>
    <w:p>
      <w:pPr>
        <w:numPr>
          <w:ilvl w:val="0"/>
          <w:numId w:val="0"/>
        </w:numPr>
        <w:adjustRightInd w:val="0"/>
        <w:snapToGrid w:val="0"/>
        <w:spacing w:line="572" w:lineRule="exact"/>
        <w:ind w:firstLine="640" w:firstLineChars="200"/>
        <w:outlineLvl w:val="1"/>
        <w:rPr>
          <w:rFonts w:hint="default" w:ascii="Times New Roman" w:hAnsi="Times New Roman" w:eastAsia="仿宋_GB2312" w:cs="Times New Roman"/>
          <w:sz w:val="32"/>
          <w:szCs w:val="32"/>
          <w:lang w:val="en-US" w:eastAsia="zh-CN"/>
        </w:rPr>
      </w:pPr>
      <w:r>
        <w:rPr>
          <w:rFonts w:hint="eastAsia" w:ascii="Times New Roman" w:hAnsi="Times New Roman" w:cs="Times New Roman"/>
          <w:b w:val="0"/>
          <w:bCs w:val="0"/>
          <w:sz w:val="32"/>
          <w:szCs w:val="32"/>
          <w:lang w:val="en-US" w:eastAsia="zh-CN"/>
        </w:rPr>
        <w:t>1.</w:t>
      </w:r>
      <w:r>
        <w:rPr>
          <w:rFonts w:hint="default" w:ascii="Times New Roman" w:hAnsi="Times New Roman" w:eastAsia="仿宋_GB2312" w:cs="Times New Roman"/>
          <w:b w:val="0"/>
          <w:bCs w:val="0"/>
          <w:sz w:val="32"/>
          <w:szCs w:val="32"/>
          <w:lang w:val="en-US" w:eastAsia="zh-CN"/>
        </w:rPr>
        <w:t>开展农村创业典型县评选，助力返乡创业。</w:t>
      </w:r>
      <w:r>
        <w:rPr>
          <w:rFonts w:hint="default" w:ascii="Times New Roman" w:hAnsi="Times New Roman" w:eastAsia="仿宋_GB2312" w:cs="Times New Roman"/>
          <w:sz w:val="32"/>
          <w:szCs w:val="32"/>
          <w:lang w:val="en-US" w:eastAsia="zh-CN"/>
        </w:rPr>
        <w:t>为推动返乡创业工作深入开展，中心组织实施农村创业典型县评选工作。印发《关于做好2024年全省农村创业典型县推荐工作的通知》，严格按照组织保障有力、平台功能健全、工作推进有序、产业带动明显、创业成效突出的标准，组织专家进行评审，全省共评选出10个农村创业典型县。</w:t>
      </w:r>
    </w:p>
    <w:p>
      <w:pPr>
        <w:adjustRightInd w:val="0"/>
        <w:snapToGrid w:val="0"/>
        <w:spacing w:line="572" w:lineRule="exact"/>
        <w:ind w:firstLine="640" w:firstLineChars="200"/>
        <w:outlineLvl w:val="1"/>
        <w:rPr>
          <w:rFonts w:hint="default" w:ascii="Times New Roman" w:hAnsi="Times New Roman" w:eastAsia="仿宋_GB2312" w:cs="Times New Roman"/>
          <w:sz w:val="32"/>
          <w:szCs w:val="32"/>
          <w:lang w:val="en-US" w:eastAsia="zh-CN"/>
        </w:rPr>
      </w:pPr>
      <w:r>
        <w:rPr>
          <w:rFonts w:hint="eastAsia" w:ascii="Times New Roman" w:hAnsi="Times New Roman"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举办农村创业大赛，激发创业创新活力。</w:t>
      </w:r>
      <w:r>
        <w:rPr>
          <w:rFonts w:hint="default" w:ascii="Times New Roman" w:hAnsi="Times New Roman" w:eastAsia="仿宋_GB2312" w:cs="Times New Roman"/>
          <w:sz w:val="32"/>
          <w:szCs w:val="32"/>
          <w:lang w:val="en-US" w:eastAsia="zh-CN"/>
        </w:rPr>
        <w:t>为深入贯彻落实习近平总书记关于“引导外出人才返乡、城市人才下乡创业”重要指示,12月19-20日，我们组织举办了以“创业推动发展 加工提升效益”为主题的第八届湖南省农村创业大赛，本届大赛经市州选拔赛推荐，全省共有43个项目进入决赛，经专家评审，2个赛道共评选出一等奖2名、二等奖6名，三等奖12名</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本届大赛受到社会广泛关注。比赛期间，吸引了两家中央级媒体、四家省级媒体竞相报道，浏览量高达200万人次。湖南卫视于12月21日在午间新闻及新闻联播栏目对大赛进行报道，有效提升了全省农业农村工作的知名度，极大激发了农村创业创新活力。</w:t>
      </w:r>
    </w:p>
    <w:p>
      <w:pPr>
        <w:numPr>
          <w:ilvl w:val="0"/>
          <w:numId w:val="0"/>
        </w:numPr>
        <w:adjustRightInd w:val="0"/>
        <w:snapToGrid w:val="0"/>
        <w:spacing w:line="572" w:lineRule="exact"/>
        <w:ind w:firstLine="640" w:firstLineChars="200"/>
        <w:outlineLvl w:val="1"/>
        <w:rPr>
          <w:rFonts w:hint="default" w:ascii="Times New Roman" w:hAnsi="Times New Roman" w:eastAsia="仿宋_GB2312" w:cs="Times New Roman"/>
          <w:sz w:val="32"/>
          <w:szCs w:val="32"/>
          <w:lang w:val="en-US" w:eastAsia="zh-CN"/>
        </w:rPr>
      </w:pPr>
      <w:r>
        <w:rPr>
          <w:rFonts w:hint="eastAsia" w:ascii="Times New Roman" w:hAnsi="Times New Roman" w:cs="Times New Roman"/>
          <w:b w:val="0"/>
          <w:bCs w:val="0"/>
          <w:sz w:val="32"/>
          <w:szCs w:val="32"/>
          <w:lang w:val="en-US" w:eastAsia="zh-CN"/>
        </w:rPr>
        <w:t>3.</w:t>
      </w:r>
      <w:r>
        <w:rPr>
          <w:rFonts w:hint="default" w:ascii="Times New Roman" w:hAnsi="Times New Roman" w:eastAsia="仿宋_GB2312" w:cs="Times New Roman"/>
          <w:b w:val="0"/>
          <w:bCs w:val="0"/>
          <w:sz w:val="32"/>
          <w:szCs w:val="32"/>
          <w:lang w:val="en-US" w:eastAsia="zh-CN"/>
        </w:rPr>
        <w:t>做好产业集群技术服务，推动产业提质升级。依</w:t>
      </w:r>
      <w:r>
        <w:rPr>
          <w:rFonts w:hint="default" w:ascii="Times New Roman" w:hAnsi="Times New Roman" w:eastAsia="仿宋_GB2312" w:cs="Times New Roman"/>
          <w:sz w:val="32"/>
          <w:szCs w:val="32"/>
          <w:lang w:val="en-US" w:eastAsia="zh-CN"/>
        </w:rPr>
        <w:t>据厅 “洞庭湖小龙虾” 产业集群建设项目整体工作方案，中心承担项目技术服务团队组建与技术培训工作。为此，组建了9人专家团队，开展2轮实地调研，组织2次培训，累计培训200余人次，为小龙虾产业产业链的提质升级提供了技术支持。</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sz w:val="32"/>
          <w:szCs w:val="32"/>
          <w:lang w:val="en-US" w:eastAsia="zh-CN"/>
        </w:rPr>
      </w:pPr>
      <w:r>
        <w:rPr>
          <w:rFonts w:hint="eastAsia" w:ascii="Times New Roman" w:hAnsi="Times New Roman" w:eastAsia="仿宋_GB2312" w:cs="Times New Roman"/>
          <w:snapToGrid w:val="0"/>
          <w:color w:val="000000"/>
          <w:spacing w:val="11"/>
          <w:kern w:val="0"/>
          <w:position w:val="21"/>
          <w:sz w:val="32"/>
          <w:szCs w:val="32"/>
          <w:lang w:val="en-US" w:eastAsia="zh-CN" w:bidi="ar-SA"/>
        </w:rPr>
        <w:t>4.我中心与红网记者深入到全省14个市州30个县市区开展了返乡创业典型采访活动，共宣传推介了31位返乡创业典型，宣传材料汇编为《乡村追梦人》，作为返乡创业培训辅助资料。</w:t>
      </w:r>
    </w:p>
    <w:p>
      <w:pPr>
        <w:pStyle w:val="22"/>
        <w:snapToGrid w:val="0"/>
        <w:spacing w:line="570" w:lineRule="atLeast"/>
        <w:ind w:firstLine="643"/>
        <w:rPr>
          <w:rFonts w:hint="default"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（二）效益指标完成情况分析</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根据年初设定的绩效目标，省级专项全年预算数为97.74万元（其中2024年当年预算90万，上年结转预算7.74万元）。项目执行数为86.02万元，完成预算的88.01%；特色产业集群项目为2024-2025年跨年项目，两年预算数为100万元，2024年目标任务50万元，项目执行数为56.94万元，完成预算的56.94%，项目支出保障了重点工作的开展，达到预期绩效目标。</w:t>
      </w:r>
    </w:p>
    <w:p>
      <w:pPr>
        <w:pStyle w:val="22"/>
        <w:snapToGrid w:val="0"/>
        <w:spacing w:line="570" w:lineRule="atLeast"/>
        <w:ind w:firstLine="643"/>
        <w:rPr>
          <w:rFonts w:hint="default"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（三）提升履职效能</w:t>
      </w:r>
    </w:p>
    <w:p>
      <w:pPr>
        <w:adjustRightInd w:val="0"/>
        <w:snapToGrid w:val="0"/>
        <w:spacing w:line="572" w:lineRule="exact"/>
        <w:ind w:firstLine="640" w:firstLineChars="200"/>
        <w:outlineLvl w:val="1"/>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1.</w:t>
      </w:r>
      <w:r>
        <w:rPr>
          <w:rFonts w:hint="default" w:ascii="Times New Roman" w:hAnsi="Times New Roman" w:eastAsia="仿宋_GB2312" w:cs="Times New Roman"/>
          <w:b w:val="0"/>
          <w:bCs w:val="0"/>
          <w:sz w:val="32"/>
          <w:szCs w:val="32"/>
          <w:lang w:val="en-US" w:eastAsia="zh-CN"/>
        </w:rPr>
        <w:t>联合开展课题研究，提供发展理论实践支撑。为</w:t>
      </w:r>
      <w:r>
        <w:rPr>
          <w:rFonts w:hint="default" w:ascii="Times New Roman" w:hAnsi="Times New Roman" w:eastAsia="仿宋_GB2312" w:cs="Times New Roman"/>
          <w:sz w:val="32"/>
          <w:szCs w:val="32"/>
          <w:lang w:val="en-US" w:eastAsia="zh-CN"/>
        </w:rPr>
        <w:t>总结我省农村创业典型经验，为返乡创业提供有力的理论和实践指导，中心与省委党校创新智库合作开展《湖南农村创业典型县与优秀带头人案例研究》课题。目前，课题已形成初稿，后续将进一步完善，为推动农村创业工作提供有益参考。</w:t>
      </w:r>
    </w:p>
    <w:p>
      <w:pPr>
        <w:adjustRightInd w:val="0"/>
        <w:snapToGrid w:val="0"/>
        <w:spacing w:line="572" w:lineRule="exact"/>
        <w:ind w:firstLine="640" w:firstLineChars="200"/>
        <w:outlineLvl w:val="1"/>
        <w:rPr>
          <w:rFonts w:hint="eastAsia" w:ascii="Times New Roman" w:hAnsi="Times New Roman" w:cs="Times New Roman"/>
          <w:sz w:val="32"/>
          <w:szCs w:val="32"/>
          <w:lang w:val="en-US" w:eastAsia="zh-CN"/>
        </w:rPr>
      </w:pPr>
      <w:r>
        <w:rPr>
          <w:rFonts w:hint="eastAsia" w:ascii="Times New Roman" w:hAnsi="Times New Roman"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承办职业技能竞赛，培育高素质技能人才。</w:t>
      </w:r>
      <w:r>
        <w:rPr>
          <w:rFonts w:hint="default" w:ascii="Times New Roman" w:hAnsi="Times New Roman" w:eastAsia="仿宋_GB2312" w:cs="Times New Roman"/>
          <w:sz w:val="32"/>
          <w:szCs w:val="32"/>
          <w:lang w:val="en-US" w:eastAsia="zh-CN"/>
        </w:rPr>
        <w:t>9月，在厅乡村产业发展处的大力支持下，中心承办“2024年第六届全国农业行业职业技能选拔赛茶叶加工工（精制）技能竞赛湖南选拔赛”，全省14个市州共计30名选手参赛。9月28日，中心选派的代表队参加全国大赛，取得优异成绩，4名参赛选手中1人获二等奖、2人获三等奖，创造了我省在该项赛事中的历史最佳成绩。此次大赛充分展示了我省农产品加工行业的高超技艺和良好精神风貌，为推动我省农产品加工业高质量发展培育了一批高素质技能人才</w:t>
      </w:r>
      <w:r>
        <w:rPr>
          <w:rFonts w:hint="eastAsia" w:ascii="Times New Roman" w:hAnsi="Times New Roman" w:cs="Times New Roman"/>
          <w:sz w:val="32"/>
          <w:szCs w:val="32"/>
          <w:lang w:val="en-US" w:eastAsia="zh-CN"/>
        </w:rPr>
        <w:t>。</w:t>
      </w:r>
    </w:p>
    <w:p>
      <w:pPr>
        <w:pStyle w:val="22"/>
        <w:snapToGrid w:val="0"/>
        <w:spacing w:line="570" w:lineRule="atLeast"/>
        <w:ind w:firstLine="643"/>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（四）增加可持续发展</w:t>
      </w:r>
    </w:p>
    <w:p>
      <w:pPr>
        <w:numPr>
          <w:ilvl w:val="0"/>
          <w:numId w:val="0"/>
        </w:numPr>
        <w:adjustRightInd w:val="0"/>
        <w:snapToGrid w:val="0"/>
        <w:spacing w:line="572" w:lineRule="exact"/>
        <w:ind w:firstLine="640" w:firstLineChars="200"/>
        <w:outlineLvl w:val="1"/>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1.加强乡村追梦人宣传，营造良好创业氛围。中心在厅官网与红网开设《乡村追梦人专栏》，联合相关媒体，每月对市州推荐的农村创业典型进行宣传报道。全年共采访报道全省14个市州的31个农村创业典型人物，累计浏览量近400万次，为农村创业营造了浓厚的舆论氛围。</w:t>
      </w:r>
    </w:p>
    <w:p>
      <w:pPr>
        <w:ind w:firstLine="640" w:firstLineChars="200"/>
        <w:rPr>
          <w:rFonts w:hint="default" w:ascii="Times New Roman" w:hAnsi="Times New Roman" w:eastAsia="仿宋_GB2312" w:cs="Times New Roman"/>
          <w:snapToGrid w:val="0"/>
          <w:color w:val="000000"/>
          <w:spacing w:val="11"/>
          <w:kern w:val="0"/>
          <w:position w:val="21"/>
          <w:sz w:val="32"/>
          <w:szCs w:val="32"/>
          <w:lang w:val="en-US" w:eastAsia="zh-CN" w:bidi="ar-SA"/>
        </w:rPr>
      </w:pPr>
      <w:r>
        <w:rPr>
          <w:rFonts w:hint="default" w:ascii="Times New Roman" w:hAnsi="Times New Roman" w:eastAsia="仿宋_GB2312" w:cs="Times New Roman"/>
          <w:sz w:val="32"/>
          <w:szCs w:val="32"/>
          <w:lang w:val="en-US" w:eastAsia="zh-CN"/>
        </w:rPr>
        <w:t>2.小龙虾</w:t>
      </w:r>
      <w:r>
        <w:rPr>
          <w:rFonts w:hint="default" w:ascii="Times New Roman" w:hAnsi="Times New Roman" w:eastAsia="仿宋_GB2312" w:cs="Times New Roman"/>
          <w:sz w:val="32"/>
          <w:szCs w:val="32"/>
        </w:rPr>
        <w:t>产业链协同发展。通过培训，各小龙虾企业之间的合作与交流增多，共同推动了小龙虾产业的繁荣与发展，产业链各环节之间的联系更加紧密，形成了协同发展的良好局面。</w:t>
      </w:r>
    </w:p>
    <w:p>
      <w:pPr>
        <w:pStyle w:val="22"/>
        <w:snapToGrid w:val="0"/>
        <w:spacing w:line="570" w:lineRule="atLeast"/>
        <w:ind w:firstLine="643"/>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（五）满意度指标完成情况分析</w:t>
      </w:r>
    </w:p>
    <w:p>
      <w:pPr>
        <w:numPr>
          <w:ilvl w:val="0"/>
          <w:numId w:val="0"/>
        </w:numPr>
        <w:adjustRightInd w:val="0"/>
        <w:snapToGrid w:val="0"/>
        <w:spacing w:line="572" w:lineRule="exact"/>
        <w:ind w:firstLine="640" w:firstLineChars="200"/>
        <w:outlineLvl w:val="1"/>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指导典型县构建 “县有创业园、乡镇有创业基地、村有创业服务站” 的创业扶持体系，为返乡创业专项行动注入强大动力。返乡创业企业满意度90%以上。</w:t>
      </w:r>
    </w:p>
    <w:p>
      <w:p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特色产业集群小龙虾项目</w:t>
      </w:r>
      <w:r>
        <w:rPr>
          <w:rFonts w:hint="default" w:ascii="Times New Roman" w:hAnsi="Times New Roman" w:eastAsia="仿宋_GB2312" w:cs="Times New Roman"/>
          <w:sz w:val="32"/>
          <w:szCs w:val="32"/>
        </w:rPr>
        <w:t>集中培训和点对点培训相结合的模式得到了广泛好评。参训人员不仅掌握了先进的养殖技术和加工技术，还拓宽了视野和思路，为小龙虾产业的持续发展提供了有力的人才支撑</w:t>
      </w:r>
      <w:r>
        <w:rPr>
          <w:rFonts w:hint="default" w:ascii="Times New Roman" w:hAnsi="Times New Roman" w:eastAsia="仿宋_GB2312" w:cs="Times New Roman"/>
          <w:sz w:val="32"/>
          <w:szCs w:val="32"/>
          <w:lang w:eastAsia="zh-CN"/>
        </w:rPr>
        <w:t>，参训人员满意度</w:t>
      </w:r>
      <w:r>
        <w:rPr>
          <w:rFonts w:hint="default" w:ascii="Times New Roman" w:hAnsi="Times New Roman" w:eastAsia="仿宋_GB2312" w:cs="Times New Roman"/>
          <w:sz w:val="32"/>
          <w:szCs w:val="32"/>
          <w:lang w:val="en-US" w:eastAsia="zh-CN"/>
        </w:rPr>
        <w:t>95%以上。</w:t>
      </w:r>
      <w:r>
        <w:rPr>
          <w:rFonts w:hint="default" w:ascii="Times New Roman" w:hAnsi="Times New Roman" w:eastAsia="仿宋_GB2312" w:cs="Times New Roman"/>
          <w:sz w:val="32"/>
          <w:szCs w:val="32"/>
        </w:rPr>
        <w:t>通过专家团队的实地调研和技术指导，从各项目实施县主管及部分企业反映的情况来看，企业对于新技术、新模式的接受度和应用能力有所增强，进一步推动了小龙虾产业的转型升级</w:t>
      </w:r>
      <w:r>
        <w:rPr>
          <w:rFonts w:hint="default" w:ascii="Times New Roman" w:hAnsi="Times New Roman" w:eastAsia="仿宋_GB2312" w:cs="Times New Roman"/>
          <w:sz w:val="32"/>
          <w:szCs w:val="32"/>
          <w:lang w:eastAsia="zh-CN"/>
        </w:rPr>
        <w:t>，被指导企业满意度</w:t>
      </w:r>
      <w:r>
        <w:rPr>
          <w:rFonts w:hint="default" w:ascii="Times New Roman" w:hAnsi="Times New Roman" w:eastAsia="仿宋_GB2312" w:cs="Times New Roman"/>
          <w:sz w:val="32"/>
          <w:szCs w:val="32"/>
          <w:lang w:val="en-US" w:eastAsia="zh-CN"/>
        </w:rPr>
        <w:t>95%以上。</w:t>
      </w:r>
    </w:p>
    <w:p>
      <w:pPr>
        <w:pStyle w:val="22"/>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pStyle w:val="22"/>
        <w:snapToGrid w:val="0"/>
        <w:spacing w:line="570" w:lineRule="atLeast"/>
        <w:ind w:firstLine="643"/>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（一）绩效管理方面</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中心在实施绩效管理后编制绩效指标设置的精细化有待进一步改善。原因绩效管理人员对绩效目标及指标设置的科学性、合理性和规范性认识有待提高。</w:t>
      </w:r>
    </w:p>
    <w:p>
      <w:pPr>
        <w:pStyle w:val="22"/>
        <w:snapToGrid w:val="0"/>
        <w:spacing w:line="570" w:lineRule="atLeast"/>
        <w:ind w:firstLine="643"/>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（二）其他原因分析</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1.基本支出执行率低的原因是对2023年冯电同志任中经济责任审计进行了整改退款21.4万元；对冯电同志退休时重复发放工资进行整改退款退款2.9万元；退休1人，死亡1人，人员经费使用减少。</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default"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2.项目支出执行率低的原因是特色产业集群项目为跨年项目，2024年6月正式实施，由于项目暂未完成，下一步将继续加快项目进度，计划11月提前准备并整理相关材料，确保所有培训活动、技术服务及项目目标均达到或超过预期标准。</w:t>
      </w:r>
    </w:p>
    <w:p>
      <w:pPr>
        <w:spacing w:line="600" w:lineRule="exact"/>
        <w:ind w:firstLine="640"/>
        <w:rPr>
          <w:rFonts w:eastAsia="黑体"/>
          <w:sz w:val="32"/>
          <w:szCs w:val="32"/>
        </w:rPr>
      </w:pPr>
      <w:r>
        <w:rPr>
          <w:rFonts w:eastAsia="黑体"/>
          <w:sz w:val="32"/>
          <w:szCs w:val="32"/>
        </w:rPr>
        <w:t>八、下一步改进措施</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zh-CN" w:bidi="ar-SA"/>
        </w:rPr>
      </w:pPr>
      <w:r>
        <w:rPr>
          <w:rFonts w:hint="eastAsia" w:ascii="Times New Roman" w:hAnsi="Times New Roman" w:eastAsia="仿宋_GB2312" w:cs="Times New Roman"/>
          <w:snapToGrid w:val="0"/>
          <w:color w:val="000000"/>
          <w:spacing w:val="11"/>
          <w:kern w:val="0"/>
          <w:position w:val="21"/>
          <w:sz w:val="32"/>
          <w:szCs w:val="32"/>
          <w:lang w:val="en-US" w:eastAsia="en-US" w:bidi="ar-SA"/>
        </w:rPr>
        <w:t>一是严格预算编制，根据有关法律法规和财政部门文件精神，提前谋划，合理安排资金</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hint="eastAsia" w:ascii="Times New Roman" w:hAnsi="Times New Roman" w:eastAsia="仿宋_GB2312" w:cs="Times New Roman"/>
          <w:snapToGrid w:val="0"/>
          <w:color w:val="000000"/>
          <w:spacing w:val="11"/>
          <w:kern w:val="0"/>
          <w:position w:val="21"/>
          <w:sz w:val="32"/>
          <w:szCs w:val="32"/>
          <w:lang w:val="en-US" w:eastAsia="en-US" w:bidi="ar-SA"/>
        </w:rPr>
      </w:pPr>
      <w:r>
        <w:rPr>
          <w:rFonts w:hint="eastAsia" w:ascii="Times New Roman" w:hAnsi="Times New Roman" w:eastAsia="仿宋_GB2312" w:cs="Times New Roman"/>
          <w:snapToGrid w:val="0"/>
          <w:color w:val="000000"/>
          <w:spacing w:val="11"/>
          <w:kern w:val="0"/>
          <w:position w:val="21"/>
          <w:sz w:val="32"/>
          <w:szCs w:val="32"/>
          <w:lang w:val="en-US" w:eastAsia="zh-CN" w:bidi="ar-SA"/>
        </w:rPr>
        <w:t>二</w:t>
      </w:r>
      <w:r>
        <w:rPr>
          <w:rFonts w:hint="eastAsia" w:ascii="Times New Roman" w:hAnsi="Times New Roman" w:eastAsia="仿宋_GB2312" w:cs="Times New Roman"/>
          <w:snapToGrid w:val="0"/>
          <w:color w:val="000000"/>
          <w:spacing w:val="11"/>
          <w:kern w:val="0"/>
          <w:position w:val="21"/>
          <w:sz w:val="32"/>
          <w:szCs w:val="32"/>
          <w:lang w:val="en-US" w:eastAsia="en-US" w:bidi="ar-SA"/>
        </w:rPr>
        <w:t>是分管领导亲自主持召开专题会议，对预算绩效管理工作进行安排部署。</w:t>
      </w:r>
    </w:p>
    <w:p>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220" w:line="240" w:lineRule="auto"/>
        <w:ind w:firstLine="684" w:firstLineChars="200"/>
        <w:textAlignment w:val="baseline"/>
        <w:rPr>
          <w:rFonts w:eastAsia="黑体"/>
          <w:sz w:val="32"/>
          <w:szCs w:val="32"/>
        </w:rPr>
      </w:pPr>
      <w:r>
        <w:rPr>
          <w:rFonts w:hint="eastAsia" w:ascii="Times New Roman" w:hAnsi="Times New Roman" w:eastAsia="仿宋_GB2312" w:cs="Times New Roman"/>
          <w:snapToGrid w:val="0"/>
          <w:color w:val="000000"/>
          <w:spacing w:val="11"/>
          <w:kern w:val="0"/>
          <w:position w:val="21"/>
          <w:sz w:val="32"/>
          <w:szCs w:val="32"/>
          <w:lang w:val="en-US" w:eastAsia="zh-CN" w:bidi="ar-SA"/>
        </w:rPr>
        <w:t>三</w:t>
      </w:r>
      <w:r>
        <w:rPr>
          <w:rFonts w:hint="eastAsia" w:ascii="Times New Roman" w:hAnsi="Times New Roman" w:eastAsia="仿宋_GB2312" w:cs="Times New Roman"/>
          <w:snapToGrid w:val="0"/>
          <w:color w:val="000000"/>
          <w:spacing w:val="11"/>
          <w:kern w:val="0"/>
          <w:position w:val="21"/>
          <w:sz w:val="32"/>
          <w:szCs w:val="32"/>
          <w:lang w:val="en-US" w:eastAsia="en-US" w:bidi="ar-SA"/>
        </w:rPr>
        <w:t>是聘请专业人员组织开展预算绩效管理相关培训，强化预算绩效管理意识，提高人员绩效管理水平</w:t>
      </w:r>
      <w:r>
        <w:rPr>
          <w:rFonts w:hint="eastAsia" w:ascii="Times New Roman" w:hAnsi="Times New Roman" w:eastAsia="仿宋_GB2312" w:cs="Times New Roman"/>
          <w:snapToGrid w:val="0"/>
          <w:color w:val="000000"/>
          <w:spacing w:val="11"/>
          <w:kern w:val="0"/>
          <w:position w:val="21"/>
          <w:sz w:val="32"/>
          <w:szCs w:val="32"/>
          <w:lang w:val="en-US" w:eastAsia="zh-CN" w:bidi="ar-SA"/>
        </w:rPr>
        <w:t>。</w:t>
      </w:r>
    </w:p>
    <w:p>
      <w:pPr>
        <w:spacing w:line="600" w:lineRule="exact"/>
        <w:ind w:firstLine="640"/>
        <w:rPr>
          <w:rFonts w:eastAsia="黑体"/>
          <w:sz w:val="32"/>
          <w:szCs w:val="32"/>
        </w:rPr>
      </w:pPr>
      <w:r>
        <w:rPr>
          <w:rFonts w:eastAsia="黑体"/>
          <w:sz w:val="32"/>
          <w:szCs w:val="32"/>
        </w:rPr>
        <w:t>九、绩效自评结果拟应用和公开情况</w:t>
      </w:r>
    </w:p>
    <w:p>
      <w:p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依法定情况应用和公开</w:t>
      </w:r>
      <w:r>
        <w:rPr>
          <w:rFonts w:hint="eastAsia" w:ascii="仿宋_GB2312" w:hAnsi="仿宋_GB2312" w:cs="仿宋_GB2312"/>
          <w:sz w:val="32"/>
          <w:szCs w:val="32"/>
          <w:lang w:eastAsia="zh-CN"/>
        </w:rPr>
        <w:t>。</w:t>
      </w:r>
    </w:p>
    <w:p>
      <w:pPr>
        <w:spacing w:line="600" w:lineRule="exact"/>
        <w:ind w:firstLine="640"/>
        <w:rPr>
          <w:rFonts w:eastAsia="黑体"/>
          <w:sz w:val="32"/>
          <w:szCs w:val="32"/>
        </w:rPr>
      </w:pPr>
      <w:r>
        <w:rPr>
          <w:rFonts w:hint="eastAsia" w:eastAsia="黑体"/>
          <w:sz w:val="32"/>
          <w:szCs w:val="32"/>
          <w:lang w:eastAsia="zh-CN"/>
        </w:rPr>
        <w:t>十、</w:t>
      </w:r>
      <w:r>
        <w:rPr>
          <w:rFonts w:eastAsia="黑体"/>
          <w:sz w:val="32"/>
          <w:szCs w:val="32"/>
        </w:rPr>
        <w:t>其他需要说明的情况</w:t>
      </w:r>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无。</w:t>
      </w:r>
    </w:p>
    <w:p>
      <w:pPr>
        <w:pStyle w:val="2"/>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default" w:ascii="Times New Roman" w:hAnsi="Times New Roman" w:eastAsia="仿宋_GB2312" w:cs="Times New Roman"/>
          <w:bCs/>
          <w:spacing w:val="-2"/>
          <w:sz w:val="32"/>
          <w:szCs w:val="32"/>
          <w:lang w:val="en-US" w:eastAsia="zh-CN"/>
        </w:rPr>
      </w:pPr>
      <w:r>
        <w:rPr>
          <w:rFonts w:hint="default" w:ascii="Times New Roman" w:hAnsi="Times New Roman" w:eastAsia="仿宋_GB2312" w:cs="Times New Roman"/>
          <w:bCs/>
          <w:spacing w:val="-2"/>
          <w:sz w:val="32"/>
          <w:szCs w:val="32"/>
          <w:lang w:val="en-US" w:eastAsia="zh-CN"/>
        </w:rPr>
        <w:t>附件：</w:t>
      </w: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default" w:ascii="Times New Roman" w:hAnsi="Times New Roman" w:eastAsia="仿宋_GB2312" w:cs="Times New Roman"/>
          <w:bCs/>
          <w:spacing w:val="-2"/>
          <w:sz w:val="32"/>
          <w:szCs w:val="32"/>
          <w:lang w:val="en-US" w:eastAsia="zh-CN"/>
        </w:rPr>
      </w:pPr>
      <w:r>
        <w:rPr>
          <w:rFonts w:hint="default" w:ascii="Times New Roman" w:hAnsi="Times New Roman" w:eastAsia="仿宋_GB2312" w:cs="Times New Roman"/>
          <w:bCs/>
          <w:spacing w:val="-2"/>
          <w:sz w:val="32"/>
          <w:szCs w:val="32"/>
          <w:lang w:val="en-US" w:eastAsia="zh-CN"/>
        </w:rPr>
        <w:t>1、部门整体支出绩效评价基础数据表</w:t>
      </w: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default" w:ascii="Times New Roman" w:hAnsi="Times New Roman" w:eastAsia="仿宋_GB2312" w:cs="Times New Roman"/>
          <w:bCs/>
          <w:spacing w:val="-2"/>
          <w:sz w:val="32"/>
          <w:szCs w:val="32"/>
          <w:lang w:val="en-US" w:eastAsia="zh-CN"/>
        </w:rPr>
      </w:pPr>
      <w:r>
        <w:rPr>
          <w:rFonts w:hint="default" w:ascii="Times New Roman" w:hAnsi="Times New Roman" w:eastAsia="仿宋_GB2312" w:cs="Times New Roman"/>
          <w:bCs/>
          <w:spacing w:val="-2"/>
          <w:sz w:val="32"/>
          <w:szCs w:val="32"/>
          <w:lang w:val="en-US" w:eastAsia="zh-CN"/>
        </w:rPr>
        <w:t>2、部门整体支出绩效自评表</w:t>
      </w: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default" w:ascii="Times New Roman" w:hAnsi="Times New Roman" w:eastAsia="仿宋_GB2312" w:cs="Times New Roman"/>
          <w:bCs/>
          <w:spacing w:val="-2"/>
          <w:sz w:val="32"/>
          <w:szCs w:val="32"/>
          <w:lang w:val="en-US" w:eastAsia="zh-CN"/>
        </w:rPr>
      </w:pPr>
      <w:r>
        <w:rPr>
          <w:rFonts w:hint="default" w:ascii="Times New Roman" w:hAnsi="Times New Roman" w:eastAsia="仿宋_GB2312" w:cs="Times New Roman"/>
          <w:bCs/>
          <w:spacing w:val="-2"/>
          <w:sz w:val="32"/>
          <w:szCs w:val="32"/>
          <w:lang w:val="en-US" w:eastAsia="zh-CN"/>
        </w:rPr>
        <w:t>3、项目支出绩效自评表-其他事业发展资金</w:t>
      </w:r>
    </w:p>
    <w:p>
      <w:pPr>
        <w:ind w:firstLine="632" w:firstLineChars="200"/>
        <w:rPr>
          <w:rFonts w:hint="default" w:ascii="Times New Roman" w:hAnsi="Times New Roman" w:eastAsia="仿宋_GB2312" w:cs="Times New Roman"/>
          <w:lang w:eastAsia="zh-CN"/>
        </w:rPr>
      </w:pPr>
      <w:r>
        <w:rPr>
          <w:rFonts w:hint="default" w:ascii="Times New Roman" w:hAnsi="Times New Roman" w:eastAsia="仿宋_GB2312" w:cs="Times New Roman"/>
          <w:bCs/>
          <w:spacing w:val="-2"/>
          <w:sz w:val="32"/>
          <w:szCs w:val="32"/>
          <w:lang w:val="en-US" w:eastAsia="zh-CN"/>
        </w:rPr>
        <w:t>4、项目支出绩效自评表-现代农业发展专项</w:t>
      </w:r>
    </w:p>
    <w:p>
      <w:pPr>
        <w:ind w:left="0" w:leftChars="0" w:firstLine="0" w:firstLineChars="0"/>
      </w:pPr>
    </w:p>
    <w:p>
      <w:pPr>
        <w:pStyle w:val="2"/>
      </w:pPr>
    </w:p>
    <w:p/>
    <w:p>
      <w:pPr>
        <w:pStyle w:val="2"/>
      </w:pPr>
    </w:p>
    <w:p>
      <w:pPr>
        <w:ind w:left="0" w:leftChars="0" w:firstLine="0" w:firstLineChars="0"/>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3"/>
        <w:spacing w:before="144" w:beforeLines="25" w:line="500" w:lineRule="exact"/>
        <w:jc w:val="left"/>
        <w:rPr>
          <w:rFonts w:hint="default" w:ascii="Times New Roman" w:hAnsi="Times New Roman" w:cs="Times New Roman"/>
          <w:bCs/>
          <w:sz w:val="36"/>
          <w:szCs w:val="36"/>
          <w:lang w:val="en-US" w:eastAsia="zh-CN"/>
        </w:rPr>
      </w:pPr>
      <w:r>
        <w:rPr>
          <w:rFonts w:hint="eastAsia" w:ascii="Times New Roman" w:hAnsi="Times New Roman" w:cs="Times New Roman"/>
          <w:bCs/>
          <w:sz w:val="36"/>
          <w:szCs w:val="36"/>
          <w:lang w:val="en-US" w:eastAsia="zh-CN"/>
        </w:rPr>
        <w:t>附件1：</w:t>
      </w:r>
    </w:p>
    <w:p>
      <w:pPr>
        <w:pStyle w:val="3"/>
        <w:spacing w:before="144" w:beforeLines="25" w:after="144" w:afterLines="25" w:line="500" w:lineRule="exact"/>
        <w:jc w:val="center"/>
        <w:rPr>
          <w:sz w:val="36"/>
          <w:szCs w:val="36"/>
        </w:rPr>
      </w:pPr>
      <w:r>
        <w:rPr>
          <w:sz w:val="36"/>
          <w:szCs w:val="36"/>
        </w:rPr>
        <w:t>部门整体支出绩效评价基础数据表</w:t>
      </w:r>
    </w:p>
    <w:tbl>
      <w:tblPr>
        <w:tblStyle w:val="12"/>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893"/>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52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财政供养人员情况</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35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11</w:t>
            </w:r>
            <w:r>
              <w:rPr>
                <w:rFonts w:hint="default" w:ascii="Times New Roman" w:hAnsi="Times New Roman" w:eastAsia="仿宋_GB2312" w:cs="Times New Roman"/>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9</w:t>
            </w:r>
            <w:r>
              <w:rPr>
                <w:rFonts w:hint="default" w:ascii="Times New Roman" w:hAnsi="Times New Roman" w:eastAsia="仿宋_GB2312" w:cs="Times New Roman"/>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rPr>
              <w:t>　</w:t>
            </w:r>
            <w:r>
              <w:rPr>
                <w:rFonts w:hint="default" w:ascii="Times New Roman" w:hAnsi="Times New Roman" w:eastAsia="仿宋_GB2312" w:cs="Times New Roman"/>
                <w:kern w:val="0"/>
                <w:sz w:val="21"/>
                <w:szCs w:val="21"/>
                <w:lang w:val="en-US" w:eastAsia="zh-CN"/>
              </w:rPr>
              <w:t>81.82%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经费控制情况</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三公经费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1、公务用车购置和维护经费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其中：公车购置</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公车运行维护</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2、出国经费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3、公务接待</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项目支出：</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104.87</w:t>
            </w:r>
            <w:r>
              <w:rPr>
                <w:rFonts w:hint="default" w:ascii="Times New Roman" w:hAnsi="Times New Roman" w:eastAsia="仿宋_GB2312" w:cs="Times New Roman"/>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197.74</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142.96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1、业务工作经费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2、运行维护经费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3、省级专项资金</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r>
              <w:rPr>
                <w:rFonts w:hint="default" w:ascii="Times New Roman" w:hAnsi="Times New Roman" w:eastAsia="仿宋_GB2312" w:cs="Times New Roman"/>
                <w:kern w:val="0"/>
                <w:sz w:val="21"/>
                <w:szCs w:val="21"/>
                <w:lang w:val="en-US" w:eastAsia="zh-CN"/>
              </w:rPr>
              <w:t>104.87</w:t>
            </w:r>
            <w:r>
              <w:rPr>
                <w:rFonts w:hint="default" w:ascii="Times New Roman" w:hAnsi="Times New Roman" w:eastAsia="仿宋_GB2312" w:cs="Times New Roman"/>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r>
              <w:rPr>
                <w:rFonts w:hint="default" w:ascii="Times New Roman" w:hAnsi="Times New Roman" w:eastAsia="仿宋_GB2312" w:cs="Times New Roman"/>
                <w:kern w:val="0"/>
                <w:sz w:val="21"/>
                <w:szCs w:val="21"/>
                <w:lang w:val="en-US" w:eastAsia="zh-CN"/>
              </w:rPr>
              <w:t>97.74</w:t>
            </w:r>
            <w:r>
              <w:rPr>
                <w:rFonts w:hint="default" w:ascii="Times New Roman" w:hAnsi="Times New Roman" w:eastAsia="仿宋_GB2312" w:cs="Times New Roman"/>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r>
              <w:rPr>
                <w:rFonts w:hint="default" w:ascii="Times New Roman" w:hAnsi="Times New Roman" w:eastAsia="仿宋_GB2312" w:cs="Times New Roman"/>
                <w:kern w:val="0"/>
                <w:sz w:val="21"/>
                <w:szCs w:val="21"/>
                <w:lang w:val="en-US" w:eastAsia="zh-CN" w:bidi="ar-SA"/>
              </w:rPr>
              <w:t>86.02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农业双创大赛经费（2022结转）</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6.61</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农业双创大赛经费（2023结转）</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6.58</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left="0" w:leftChars="0" w:firstLine="420" w:firstLineChars="200"/>
              <w:jc w:val="left"/>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河南安徽，江苏等农博会经费（2023结转）</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38.84</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1.16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农业创业创新经费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59.42</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90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4、其他事业类发展资金</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r>
              <w:rPr>
                <w:rFonts w:hint="default" w:ascii="Times New Roman" w:hAnsi="Times New Roman" w:eastAsia="仿宋_GB2312" w:cs="Times New Roman"/>
                <w:kern w:val="0"/>
                <w:sz w:val="21"/>
                <w:szCs w:val="21"/>
                <w:lang w:val="en-US" w:eastAsia="zh-CN"/>
              </w:rPr>
              <w:t>100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r>
              <w:rPr>
                <w:rFonts w:hint="default" w:ascii="Times New Roman" w:hAnsi="Times New Roman" w:eastAsia="仿宋_GB2312" w:cs="Times New Roman"/>
                <w:kern w:val="0"/>
                <w:sz w:val="21"/>
                <w:szCs w:val="21"/>
                <w:lang w:val="en-US" w:eastAsia="zh-CN"/>
              </w:rPr>
              <w:t>56.94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公用经费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32.12</w:t>
            </w:r>
            <w:r>
              <w:rPr>
                <w:rFonts w:hint="default" w:ascii="Times New Roman" w:hAnsi="Times New Roman" w:eastAsia="仿宋_GB2312" w:cs="Times New Roman"/>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18</w:t>
            </w:r>
            <w:r>
              <w:rPr>
                <w:rFonts w:hint="default" w:ascii="Times New Roman" w:hAnsi="Times New Roman" w:eastAsia="仿宋_GB2312" w:cs="Times New Roman"/>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16.89</w:t>
            </w:r>
            <w:r>
              <w:rPr>
                <w:rFonts w:hint="default" w:ascii="Times New Roman" w:hAnsi="Times New Roman" w:eastAsia="仿宋_GB2312" w:cs="Times New Roman"/>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其中：办公费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水费、电费、差旅费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lang w:val="en-US" w:eastAsia="zh-CN"/>
              </w:rPr>
              <w:t>1.5</w:t>
            </w:r>
            <w:r>
              <w:rPr>
                <w:rFonts w:hint="default" w:ascii="Times New Roman" w:hAnsi="Times New Roman" w:eastAsia="仿宋_GB2312" w:cs="Times New Roman"/>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会议费、培训费</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auto"/>
                <w:kern w:val="0"/>
                <w:sz w:val="21"/>
                <w:szCs w:val="21"/>
              </w:rPr>
            </w:pPr>
            <w:r>
              <w:rPr>
                <w:rFonts w:hint="default" w:ascii="Times New Roman" w:hAnsi="Times New Roman" w:eastAsia="仿宋_GB2312" w:cs="Times New Roman"/>
                <w:color w:val="auto"/>
                <w:kern w:val="0"/>
                <w:sz w:val="21"/>
                <w:szCs w:val="21"/>
                <w:lang w:val="en-US" w:eastAsia="zh-CN"/>
              </w:rPr>
              <w:t>0.01</w:t>
            </w:r>
            <w:r>
              <w:rPr>
                <w:rFonts w:hint="default" w:ascii="Times New Roman" w:hAnsi="Times New Roman" w:eastAsia="仿宋_GB2312" w:cs="Times New Roman"/>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政府采购金额</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lang w:val="en-US" w:eastAsia="zh-CN"/>
              </w:rPr>
              <w:t>28.93</w:t>
            </w:r>
            <w:r>
              <w:rPr>
                <w:rFonts w:hint="default" w:ascii="Times New Roman" w:hAnsi="Times New Roman" w:eastAsia="仿宋_GB2312" w:cs="Times New Roman"/>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部门基本支出预算调整 </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楼堂馆所控制情况</w:t>
            </w:r>
            <w:r>
              <w:rPr>
                <w:rFonts w:hint="default" w:ascii="Times New Roman" w:hAnsi="Times New Roman" w:eastAsia="仿宋_GB2312" w:cs="Times New Roman"/>
                <w:kern w:val="0"/>
                <w:sz w:val="21"/>
                <w:szCs w:val="21"/>
              </w:rPr>
              <w:br w:type="textWrapping"/>
            </w:r>
            <w:r>
              <w:rPr>
                <w:rFonts w:hint="default" w:ascii="Times New Roman" w:hAnsi="Times New Roman" w:eastAsia="仿宋_GB2312" w:cs="Times New Roman"/>
                <w:kern w:val="0"/>
                <w:sz w:val="21"/>
                <w:szCs w:val="21"/>
              </w:rPr>
              <w:t>（2024年完工项目）</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批复规模</w:t>
            </w:r>
            <w:r>
              <w:rPr>
                <w:rFonts w:hint="default" w:ascii="Times New Roman" w:hAnsi="Times New Roman" w:eastAsia="仿宋_GB2312" w:cs="Times New Roman"/>
                <w:bCs/>
                <w:kern w:val="0"/>
                <w:sz w:val="21"/>
                <w:szCs w:val="21"/>
              </w:rPr>
              <w:br w:type="textWrapping"/>
            </w:r>
            <w:r>
              <w:rPr>
                <w:rFonts w:hint="default" w:ascii="Times New Roman" w:hAnsi="Times New Roman" w:eastAsia="仿宋_GB2312" w:cs="Times New Roman"/>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实际</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规模</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规模</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实际</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投资</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投资</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概算</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厉行节约保障措施</w:t>
            </w:r>
          </w:p>
        </w:tc>
        <w:tc>
          <w:tcPr>
            <w:tcW w:w="6138"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eastAsia="zh-CN"/>
              </w:rPr>
            </w:pPr>
            <w:r>
              <w:rPr>
                <w:rFonts w:hint="default" w:ascii="Times New Roman" w:hAnsi="Times New Roman" w:eastAsia="仿宋_GB2312" w:cs="Times New Roman"/>
                <w:kern w:val="0"/>
                <w:sz w:val="21"/>
                <w:szCs w:val="21"/>
                <w:lang w:eastAsia="zh-CN"/>
              </w:rPr>
              <w:t>在日常运行方面厉行节约，降低公务活动成本</w:t>
            </w:r>
          </w:p>
        </w:tc>
      </w:tr>
    </w:tbl>
    <w:p>
      <w:pPr>
        <w:adjustRightInd/>
        <w:snapToGrid/>
        <w:spacing w:line="360" w:lineRule="exact"/>
        <w:ind w:firstLine="0" w:firstLineChars="0"/>
        <w:rPr>
          <w:sz w:val="36"/>
          <w:szCs w:val="36"/>
        </w:rPr>
      </w:pPr>
      <w:r>
        <w:rPr>
          <w:rFonts w:hint="default" w:ascii="Times New Roman" w:hAnsi="Times New Roman" w:eastAsia="仿宋_GB2312" w:cs="Times New Roman"/>
          <w:kern w:val="0"/>
          <w:sz w:val="21"/>
          <w:szCs w:val="21"/>
        </w:rPr>
        <w:t>说明：“项目支出”需要填报基本支出以外的所有项目支出情况，“公用经费”填报基本支出中的一般商品和服务支出。</w:t>
      </w:r>
    </w:p>
    <w:p>
      <w:pPr>
        <w:pStyle w:val="3"/>
        <w:spacing w:before="144" w:beforeLines="25" w:line="500" w:lineRule="exact"/>
        <w:jc w:val="left"/>
        <w:rPr>
          <w:rFonts w:hint="eastAsia" w:ascii="Times New Roman" w:hAnsi="Times New Roman" w:cs="Times New Roman"/>
          <w:bCs/>
          <w:sz w:val="36"/>
          <w:szCs w:val="36"/>
          <w:lang w:val="en-US" w:eastAsia="zh-CN"/>
        </w:rPr>
      </w:pPr>
    </w:p>
    <w:p>
      <w:pPr>
        <w:pStyle w:val="3"/>
        <w:spacing w:before="144" w:beforeLines="25" w:line="500" w:lineRule="exact"/>
        <w:jc w:val="left"/>
        <w:rPr>
          <w:rFonts w:hint="default" w:ascii="Times New Roman" w:hAnsi="Times New Roman" w:cs="Times New Roman"/>
          <w:bCs/>
          <w:sz w:val="36"/>
          <w:szCs w:val="36"/>
          <w:lang w:val="en-US" w:eastAsia="zh-CN"/>
        </w:rPr>
      </w:pPr>
      <w:r>
        <w:rPr>
          <w:rFonts w:hint="eastAsia" w:ascii="Times New Roman" w:hAnsi="Times New Roman" w:cs="Times New Roman"/>
          <w:bCs/>
          <w:sz w:val="36"/>
          <w:szCs w:val="36"/>
          <w:lang w:val="en-US" w:eastAsia="zh-CN"/>
        </w:rPr>
        <w:t>附件2：</w:t>
      </w:r>
    </w:p>
    <w:p>
      <w:pPr>
        <w:pStyle w:val="3"/>
        <w:spacing w:before="144" w:beforeLines="25" w:line="500" w:lineRule="exact"/>
        <w:rPr>
          <w:sz w:val="36"/>
          <w:szCs w:val="36"/>
        </w:rPr>
      </w:pPr>
      <w:r>
        <w:rPr>
          <w:sz w:val="36"/>
          <w:szCs w:val="36"/>
        </w:rPr>
        <w:t>部门整体支出绩效自评表</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2024</w:t>
      </w:r>
      <w:r>
        <w:rPr>
          <w:rFonts w:hint="default" w:ascii="Times New Roman" w:hAnsi="Times New Roman" w:eastAsia="仿宋_GB2312" w:cs="Times New Roman"/>
          <w:color w:val="000000"/>
          <w:kern w:val="0"/>
          <w:sz w:val="21"/>
          <w:szCs w:val="21"/>
        </w:rPr>
        <w:t>年度）</w:t>
      </w:r>
    </w:p>
    <w:tbl>
      <w:tblPr>
        <w:tblStyle w:val="12"/>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395"/>
        <w:gridCol w:w="1252"/>
        <w:gridCol w:w="1114"/>
        <w:gridCol w:w="180"/>
        <w:gridCol w:w="1115"/>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省级预算部门名称</w:t>
            </w:r>
          </w:p>
        </w:tc>
        <w:tc>
          <w:tcPr>
            <w:tcW w:w="9243"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kern w:val="0"/>
                <w:sz w:val="21"/>
                <w:szCs w:val="21"/>
                <w:lang w:val="en-US" w:eastAsia="zh-CN"/>
              </w:rPr>
              <w:t>湖南省农业产业化发展服务中心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年度预</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算申请</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2647"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p>
        </w:tc>
        <w:tc>
          <w:tcPr>
            <w:tcW w:w="111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年初</w:t>
            </w:r>
          </w:p>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预算数</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70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89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2647"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color w:val="000000"/>
                <w:kern w:val="0"/>
                <w:sz w:val="21"/>
                <w:szCs w:val="21"/>
              </w:rPr>
              <w:t>年度资金总额</w:t>
            </w:r>
          </w:p>
        </w:tc>
        <w:tc>
          <w:tcPr>
            <w:tcW w:w="111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407.68</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lang w:val="en-US"/>
              </w:rPr>
            </w:pPr>
            <w:r>
              <w:rPr>
                <w:rFonts w:hint="default" w:ascii="Times New Roman" w:hAnsi="Times New Roman" w:eastAsia="仿宋_GB2312" w:cs="Times New Roman"/>
                <w:kern w:val="0"/>
                <w:sz w:val="21"/>
                <w:szCs w:val="21"/>
                <w:lang w:val="en-US" w:eastAsia="zh-CN"/>
              </w:rPr>
              <w:t>507.68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lang w:val="en-US"/>
              </w:rPr>
            </w:pPr>
            <w:r>
              <w:rPr>
                <w:rFonts w:hint="default" w:ascii="Times New Roman" w:hAnsi="Times New Roman" w:eastAsia="仿宋_GB2312" w:cs="Times New Roman"/>
                <w:sz w:val="21"/>
                <w:szCs w:val="21"/>
                <w:lang w:val="en-US"/>
              </w:rPr>
              <w:t>403.68</w:t>
            </w:r>
          </w:p>
        </w:tc>
        <w:tc>
          <w:tcPr>
            <w:tcW w:w="709"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79.51%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按收入性质分：</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 xml:space="preserve">  其中：  一般公共预算：</w:t>
            </w:r>
            <w:r>
              <w:rPr>
                <w:rFonts w:hint="default" w:ascii="Times New Roman" w:hAnsi="Times New Roman" w:eastAsia="仿宋_GB2312" w:cs="Times New Roman"/>
                <w:color w:val="000000"/>
                <w:kern w:val="0"/>
                <w:sz w:val="21"/>
                <w:szCs w:val="21"/>
                <w:lang w:val="en-US" w:eastAsia="zh-CN"/>
              </w:rPr>
              <w:t>499.94</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其中：基本支出：</w:t>
            </w:r>
            <w:r>
              <w:rPr>
                <w:rFonts w:hint="default" w:ascii="Times New Roman" w:hAnsi="Times New Roman" w:eastAsia="仿宋_GB2312" w:cs="Times New Roman"/>
                <w:color w:val="000000"/>
                <w:kern w:val="0"/>
                <w:sz w:val="21"/>
                <w:szCs w:val="21"/>
                <w:lang w:val="en-US" w:eastAsia="zh-CN"/>
              </w:rPr>
              <w:t>260.71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840" w:firstLineChars="400"/>
              <w:jc w:val="left"/>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政府性基金拨款：</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项目支出：</w:t>
            </w:r>
            <w:r>
              <w:rPr>
                <w:rFonts w:hint="default" w:ascii="Times New Roman" w:hAnsi="Times New Roman" w:eastAsia="仿宋_GB2312" w:cs="Times New Roman"/>
                <w:color w:val="000000"/>
                <w:kern w:val="0"/>
                <w:sz w:val="21"/>
                <w:szCs w:val="21"/>
                <w:lang w:val="en-US" w:eastAsia="zh-CN"/>
              </w:rPr>
              <w:t>142.97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纳入专户管理的非税收入拨款：</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1050" w:firstLineChars="500"/>
              <w:jc w:val="left"/>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上年结转资金：</w:t>
            </w:r>
            <w:r>
              <w:rPr>
                <w:rFonts w:hint="default" w:ascii="Times New Roman" w:hAnsi="Times New Roman" w:eastAsia="仿宋_GB2312" w:cs="Times New Roman"/>
                <w:color w:val="000000"/>
                <w:kern w:val="0"/>
                <w:sz w:val="21"/>
                <w:szCs w:val="21"/>
                <w:lang w:val="en-US" w:eastAsia="zh-CN"/>
              </w:rPr>
              <w:t>7.74</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00" w:lineRule="atLeast"/>
              <w:ind w:left="0" w:leftChars="0" w:firstLine="210" w:firstLineChars="100"/>
              <w:jc w:val="both"/>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kern w:val="2"/>
                <w:sz w:val="21"/>
                <w:szCs w:val="21"/>
                <w:lang w:val="en-US" w:eastAsia="zh-CN" w:bidi="ar-SA"/>
              </w:rPr>
              <w:t>（一）</w:t>
            </w:r>
            <w:r>
              <w:rPr>
                <w:rFonts w:hint="default" w:ascii="Times New Roman" w:hAnsi="Times New Roman" w:eastAsia="仿宋_GB2312" w:cs="Times New Roman"/>
                <w:sz w:val="21"/>
                <w:szCs w:val="21"/>
              </w:rPr>
              <w:t>推动落实返乡创业“百园千企万人”工程。创建10个农村创业典型县</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rPr>
              <w:t>同时督促各地落实返乡创业各项政策</w:t>
            </w:r>
            <w:r>
              <w:rPr>
                <w:rFonts w:hint="default" w:ascii="Times New Roman" w:hAnsi="Times New Roman" w:eastAsia="仿宋_GB2312" w:cs="Times New Roman"/>
                <w:sz w:val="21"/>
                <w:szCs w:val="21"/>
                <w:lang w:eastAsia="zh-CN"/>
              </w:rPr>
              <w:t>措</w:t>
            </w:r>
            <w:r>
              <w:rPr>
                <w:rFonts w:hint="default" w:ascii="Times New Roman" w:hAnsi="Times New Roman" w:eastAsia="仿宋_GB2312" w:cs="Times New Roman"/>
                <w:sz w:val="21"/>
                <w:szCs w:val="21"/>
              </w:rPr>
              <w:t>施，激励更多人员返乡创业。</w:t>
            </w:r>
          </w:p>
          <w:p>
            <w:pPr>
              <w:pStyle w:val="9"/>
              <w:rPr>
                <w:rFonts w:hint="default" w:ascii="Times New Roman" w:hAnsi="Times New Roman" w:eastAsia="仿宋_GB2312" w:cs="Times New Roman"/>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00" w:lineRule="atLeast"/>
              <w:ind w:left="0" w:leftChars="0" w:firstLine="210" w:firstLineChars="100"/>
              <w:jc w:val="both"/>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kern w:val="2"/>
                <w:sz w:val="21"/>
                <w:szCs w:val="21"/>
                <w:lang w:val="en-US" w:eastAsia="zh-CN" w:bidi="ar-SA"/>
              </w:rPr>
              <w:t>（二）</w:t>
            </w:r>
            <w:r>
              <w:rPr>
                <w:rFonts w:hint="default" w:ascii="Times New Roman" w:hAnsi="Times New Roman" w:eastAsia="仿宋_GB2312" w:cs="Times New Roman"/>
                <w:sz w:val="21"/>
                <w:szCs w:val="21"/>
              </w:rPr>
              <w:t>优化返乡创业服务。一是发布一批优秀创业项目。汇编整理连续7届近400多个优秀创业项目，在全省发布，供返乡创业人员选择借鉴，实地考察学习。</w:t>
            </w:r>
            <w:r>
              <w:rPr>
                <w:rFonts w:hint="default" w:ascii="Times New Roman" w:hAnsi="Times New Roman" w:eastAsia="仿宋_GB2312" w:cs="Times New Roman"/>
                <w:sz w:val="21"/>
                <w:szCs w:val="21"/>
                <w:lang w:eastAsia="zh-CN"/>
              </w:rPr>
              <w:t>二是</w:t>
            </w:r>
            <w:r>
              <w:rPr>
                <w:rFonts w:hint="default" w:ascii="Times New Roman" w:hAnsi="Times New Roman" w:eastAsia="仿宋_GB2312" w:cs="Times New Roman"/>
                <w:sz w:val="21"/>
                <w:szCs w:val="21"/>
              </w:rPr>
              <w:t>广泛开展创业培训。</w:t>
            </w:r>
          </w:p>
          <w:p>
            <w:pPr>
              <w:pStyle w:val="9"/>
              <w:rPr>
                <w:rFonts w:hint="default" w:ascii="Times New Roman" w:hAnsi="Times New Roman" w:eastAsia="仿宋_GB2312" w:cs="Times New Roman"/>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00" w:lineRule="atLeast"/>
              <w:ind w:left="0" w:leftChars="0" w:firstLine="210" w:firstLineChars="100"/>
              <w:jc w:val="both"/>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kern w:val="2"/>
                <w:sz w:val="21"/>
                <w:szCs w:val="21"/>
                <w:lang w:val="en-US" w:eastAsia="zh-CN" w:bidi="ar-SA"/>
              </w:rPr>
              <w:t>（三）</w:t>
            </w:r>
            <w:r>
              <w:rPr>
                <w:rFonts w:hint="default" w:ascii="Times New Roman" w:hAnsi="Times New Roman" w:eastAsia="仿宋_GB2312" w:cs="Times New Roman"/>
                <w:sz w:val="21"/>
                <w:szCs w:val="21"/>
              </w:rPr>
              <w:t>大力营造返乡创业氛围。一是谋划好第八届全省农村创业大赛。二是多渠道开展“乡村追梦人”宣传活动。</w:t>
            </w:r>
          </w:p>
          <w:p>
            <w:pPr>
              <w:pStyle w:val="9"/>
              <w:rPr>
                <w:rFonts w:hint="default" w:ascii="Times New Roman" w:hAnsi="Times New Roman" w:eastAsia="仿宋_GB2312" w:cs="Times New Roman"/>
                <w:sz w:val="21"/>
                <w:szCs w:val="21"/>
              </w:rPr>
            </w:pPr>
          </w:p>
          <w:p>
            <w:pPr>
              <w:pStyle w:val="9"/>
              <w:numPr>
                <w:ilvl w:val="0"/>
                <w:numId w:val="0"/>
              </w:numPr>
              <w:ind w:left="0" w:leftChars="0" w:firstLine="210" w:firstLineChars="100"/>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kern w:val="2"/>
                <w:sz w:val="21"/>
                <w:szCs w:val="21"/>
                <w:lang w:val="en-US" w:eastAsia="zh-CN" w:bidi="ar-SA"/>
              </w:rPr>
              <w:t>（四）</w:t>
            </w:r>
            <w:r>
              <w:rPr>
                <w:rFonts w:hint="default" w:ascii="Times New Roman" w:hAnsi="Times New Roman" w:eastAsia="仿宋_GB2312" w:cs="Times New Roman"/>
                <w:sz w:val="21"/>
                <w:szCs w:val="21"/>
                <w:lang w:val="en-US" w:eastAsia="zh-CN"/>
              </w:rPr>
              <w:t>组织开展“洞庭湖小龙虾”产业集群建设项目技术服务团队与技术培训。</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ind w:firstLine="210" w:firstLineChars="100"/>
              <w:jc w:val="both"/>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（一）开展农村创业典型县评选，助力返乡创业</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全省共评选出10个农村创业典型县：衡阳县、汝城县、邵东市、岳阳县、湘乡市、会同县、祁阳市、望城区、津市市、桑植县。指导项目县构建 “县有创业园、乡镇有创业基地、村有创业服务站” 的创业扶持体系。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ind w:firstLine="210" w:firstLineChars="100"/>
              <w:jc w:val="both"/>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（二）举办农村创业大赛，激发创业创新活力</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12月19-20日举办了以“创业推动发展 加工提升效益”为主题的第八届湖南省农村创业大赛，赛前对参赛选手进行培训。</w:t>
            </w:r>
          </w:p>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ind w:leftChars="0" w:firstLine="210" w:firstLineChars="100"/>
              <w:jc w:val="both"/>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（三）承办职业技能竞赛，培育高素质技能人才</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9 月，承办 “2024 年第六届全国农业行业职业技能选拔赛茶叶加工工（精制）技能竞赛湖南选拔赛”。</w:t>
            </w:r>
          </w:p>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ind w:leftChars="0" w:firstLine="210" w:firstLineChars="100"/>
              <w:jc w:val="both"/>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（四）加强乡村追梦人宣传，营造良好创业氛围</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在厅官网与红网开设《乡村追梦人专栏》，联合相关媒体，每月对市州推荐的农村创业典型进行宣传报道。汇编整理《乡村追梦人》用于返乡创业人员培训。</w:t>
            </w:r>
          </w:p>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ind w:leftChars="0" w:firstLine="210" w:firstLineChars="100"/>
              <w:jc w:val="both"/>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（五）联合开展课题研究，提供</w:t>
            </w:r>
            <w:r>
              <w:rPr>
                <w:rFonts w:hint="default" w:ascii="Times New Roman" w:hAnsi="Times New Roman" w:eastAsia="仿宋_GB2312" w:cs="Times New Roman"/>
                <w:sz w:val="21"/>
                <w:szCs w:val="21"/>
                <w:lang w:val="en-US" w:eastAsia="zh-CN"/>
              </w:rPr>
              <w:t>发展</w:t>
            </w:r>
            <w:r>
              <w:rPr>
                <w:rFonts w:hint="default" w:ascii="Times New Roman" w:hAnsi="Times New Roman" w:eastAsia="仿宋_GB2312" w:cs="Times New Roman"/>
                <w:sz w:val="21"/>
                <w:szCs w:val="21"/>
              </w:rPr>
              <w:t>理论实践支撑</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与省委党校创新智库合作开展《湖南农村创业典型县与优秀带头人案例研究》课题。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ind w:leftChars="0" w:firstLine="210" w:firstLineChars="100"/>
              <w:jc w:val="both"/>
              <w:textAlignment w:val="auto"/>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sz w:val="21"/>
                <w:szCs w:val="21"/>
              </w:rPr>
              <w:t>（六）做好产业集群技术服务，推动产业提质升级</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承担项目技术服务团队组建与技术培训工作。已组建 9 人专家团队，开展2 轮实地调研（华容、君山），组织 2 次培训（南县、君山），累计培训200 余人次。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125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446" w:type="dxa"/>
            <w:tcBorders>
              <w:top w:val="single" w:color="auto" w:sz="4" w:space="0"/>
              <w:left w:val="single" w:color="auto" w:sz="4" w:space="0"/>
              <w:bottom w:val="single" w:color="auto" w:sz="4" w:space="0"/>
              <w:right w:val="single" w:color="auto" w:sz="4" w:space="0"/>
            </w:tcBorders>
            <w:noWrap w:val="0"/>
            <w:vAlign w:val="top"/>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1252" w:type="dxa"/>
            <w:vMerge w:val="restart"/>
            <w:tcBorders>
              <w:top w:val="nil"/>
              <w:left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评选</w:t>
            </w:r>
            <w:r>
              <w:rPr>
                <w:rFonts w:hint="default" w:ascii="Times New Roman" w:hAnsi="Times New Roman" w:eastAsia="仿宋_GB2312" w:cs="Times New Roman"/>
                <w:color w:val="000000"/>
                <w:kern w:val="0"/>
                <w:sz w:val="21"/>
                <w:szCs w:val="21"/>
              </w:rPr>
              <w:t>农村创业典型县</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举办农村创业大赛</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eastAsia="zh-CN"/>
              </w:rPr>
              <w:t>产业集群项目组织技术培训</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2次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产业集群项目培训人数</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150人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sz w:val="21"/>
                <w:szCs w:val="21"/>
              </w:rPr>
              <w:t>优化返乡创业服务</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sz w:val="21"/>
                <w:szCs w:val="21"/>
              </w:rPr>
              <w:t>发布一批优秀创业项目</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sz w:val="21"/>
                <w:szCs w:val="21"/>
                <w:lang w:val="en-US" w:eastAsia="zh-CN"/>
              </w:rPr>
              <w:t>汇编整理《乡村追梦人》</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项目完成时间</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2024年12月31日前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2024年12月31日前</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开展农村创业创新项目经费</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97.74万元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85.56</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开展“洞庭湖小龙虾”产业集群项目经费</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56.94</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该项目为跨年项目，</w:t>
            </w:r>
            <w:r>
              <w:rPr>
                <w:rFonts w:hint="default" w:ascii="Times New Roman" w:hAnsi="Times New Roman" w:eastAsia="仿宋_GB2312" w:cs="Times New Roman"/>
                <w:color w:val="000000"/>
                <w:kern w:val="0"/>
                <w:sz w:val="21"/>
                <w:szCs w:val="21"/>
                <w:lang w:val="en-US" w:eastAsia="zh-CN"/>
              </w:rPr>
              <w:t>2024年目标任务为50万，已达预期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pacing w:line="280" w:lineRule="exact"/>
              <w:ind w:firstLine="210" w:firstLineChars="10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　</w:t>
            </w: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社会效</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rPr>
              <w:t>益指标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sz w:val="21"/>
                <w:szCs w:val="21"/>
              </w:rPr>
              <w:t>激励更多人员返乡创业</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sz w:val="21"/>
                <w:szCs w:val="21"/>
              </w:rPr>
              <w:t>开展农村创业典型县评选</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sz w:val="21"/>
                <w:szCs w:val="21"/>
                <w:lang w:val="en-US" w:eastAsia="zh-CN"/>
              </w:rPr>
              <w:t>全省共评选出10个农村创业典型县</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可持续影响指标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sz w:val="21"/>
                <w:szCs w:val="21"/>
              </w:rPr>
              <w:t>营造返乡创业氛围</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sz w:val="21"/>
                <w:szCs w:val="21"/>
                <w:lang w:eastAsia="zh-CN"/>
              </w:rPr>
              <w:t>举办</w:t>
            </w:r>
            <w:r>
              <w:rPr>
                <w:rFonts w:hint="default" w:ascii="Times New Roman" w:hAnsi="Times New Roman" w:eastAsia="仿宋_GB2312" w:cs="Times New Roman"/>
                <w:sz w:val="21"/>
                <w:szCs w:val="21"/>
              </w:rPr>
              <w:t>第八届全省农村创业大赛</w:t>
            </w:r>
            <w:r>
              <w:rPr>
                <w:rFonts w:hint="default" w:ascii="Times New Roman" w:hAnsi="Times New Roman" w:eastAsia="仿宋_GB2312" w:cs="Times New Roman"/>
                <w:sz w:val="21"/>
                <w:szCs w:val="21"/>
                <w:lang w:eastAsia="zh-CN"/>
              </w:rPr>
              <w:t>并积极宣传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160" w:lineRule="atLeast"/>
              <w:jc w:val="both"/>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val="en-US" w:eastAsia="zh-CN"/>
              </w:rPr>
              <w:t>举办了以“创业推动发展 加工提升效益”为主题的第八届湖南省农村创业大赛。</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52"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sz w:val="21"/>
                <w:szCs w:val="21"/>
              </w:rPr>
              <w:t>多渠道开展“乡村追梦人”宣传活动</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sz w:val="21"/>
                <w:szCs w:val="21"/>
              </w:rPr>
              <w:t>开办“乡村追梦人”专栏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sz w:val="21"/>
                <w:szCs w:val="21"/>
                <w:lang w:val="en-US" w:eastAsia="zh-CN"/>
              </w:rPr>
              <w:t>在厅官网与红网开设《乡村追梦人专栏》</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39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（10分）</w:t>
            </w:r>
          </w:p>
        </w:tc>
        <w:tc>
          <w:tcPr>
            <w:tcW w:w="1252"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返乡创业企业满意度</w:t>
            </w:r>
          </w:p>
        </w:tc>
        <w:tc>
          <w:tcPr>
            <w:tcW w:w="111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95%</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7270"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97.45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bl>
    <w:p>
      <w:pPr>
        <w:pStyle w:val="3"/>
        <w:spacing w:before="144" w:beforeLines="25" w:line="500" w:lineRule="exact"/>
        <w:jc w:val="left"/>
        <w:rPr>
          <w:rFonts w:hint="eastAsia" w:ascii="Times New Roman" w:hAnsi="Times New Roman" w:cs="Times New Roman"/>
          <w:bCs/>
          <w:sz w:val="36"/>
          <w:szCs w:val="36"/>
          <w:lang w:val="en-US" w:eastAsia="zh-CN"/>
        </w:rPr>
      </w:pPr>
    </w:p>
    <w:p>
      <w:pPr>
        <w:pStyle w:val="3"/>
        <w:spacing w:before="144" w:beforeLines="25" w:line="500" w:lineRule="exact"/>
        <w:jc w:val="left"/>
        <w:rPr>
          <w:rFonts w:hint="eastAsia" w:ascii="Times New Roman" w:hAnsi="Times New Roman" w:cs="Times New Roman"/>
          <w:bCs/>
          <w:sz w:val="36"/>
          <w:szCs w:val="36"/>
          <w:lang w:val="en-US" w:eastAsia="zh-CN"/>
        </w:rPr>
      </w:pPr>
    </w:p>
    <w:p>
      <w:pPr>
        <w:pStyle w:val="3"/>
        <w:spacing w:before="144" w:beforeLines="25" w:line="500" w:lineRule="exact"/>
        <w:jc w:val="left"/>
        <w:rPr>
          <w:rFonts w:hint="default" w:ascii="Times New Roman" w:hAnsi="Times New Roman" w:cs="Times New Roman"/>
          <w:bCs/>
          <w:sz w:val="36"/>
          <w:szCs w:val="36"/>
          <w:lang w:val="en-US" w:eastAsia="zh-CN"/>
        </w:rPr>
      </w:pPr>
      <w:r>
        <w:rPr>
          <w:rFonts w:hint="eastAsia" w:ascii="Times New Roman" w:hAnsi="Times New Roman" w:cs="Times New Roman"/>
          <w:bCs/>
          <w:sz w:val="36"/>
          <w:szCs w:val="36"/>
          <w:lang w:val="en-US" w:eastAsia="zh-CN"/>
        </w:rPr>
        <w:t>附件3：</w:t>
      </w:r>
    </w:p>
    <w:p>
      <w:pPr>
        <w:pStyle w:val="3"/>
        <w:spacing w:before="144" w:beforeLines="25" w:line="500" w:lineRule="exact"/>
        <w:jc w:val="center"/>
        <w:rPr>
          <w:sz w:val="36"/>
          <w:szCs w:val="36"/>
        </w:rPr>
      </w:pPr>
      <w:r>
        <w:rPr>
          <w:sz w:val="36"/>
          <w:szCs w:val="36"/>
        </w:rPr>
        <w:t>项目支出绩效自评表</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2024</w:t>
      </w:r>
      <w:r>
        <w:rPr>
          <w:rFonts w:hint="default" w:ascii="Times New Roman" w:hAnsi="Times New Roman" w:eastAsia="仿宋_GB2312" w:cs="Times New Roman"/>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209"/>
        <w:gridCol w:w="1212"/>
        <w:gridCol w:w="1272"/>
        <w:gridCol w:w="744"/>
        <w:gridCol w:w="900"/>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省级专项资金（农业创业创新经费）</w:t>
            </w: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主管部门</w:t>
            </w:r>
          </w:p>
        </w:tc>
        <w:tc>
          <w:tcPr>
            <w:tcW w:w="458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湖南省农业农村厅</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实施单位</w:t>
            </w:r>
          </w:p>
        </w:tc>
        <w:tc>
          <w:tcPr>
            <w:tcW w:w="2918"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kern w:val="0"/>
                <w:sz w:val="21"/>
                <w:szCs w:val="21"/>
                <w:lang w:val="en-US" w:eastAsia="zh-CN"/>
              </w:rPr>
              <w:t>湖南省农业产业化发展服务中心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年初</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全年</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9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年度资金总额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97.74</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97.74</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86.02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88.01%</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其中：当年财政拨款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90</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bidi="ar-SA"/>
              </w:rPr>
              <w:t>90</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上年结转资金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7.74</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7.74</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其他资金</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458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41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458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val="0"/>
              <w:snapToGrid w:val="0"/>
              <w:spacing w:line="200" w:lineRule="atLeast"/>
              <w:ind w:left="0" w:leftChars="0" w:firstLine="0" w:firstLineChars="0"/>
              <w:textAlignment w:val="auto"/>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bidi="ar-SA"/>
              </w:rPr>
              <w:t>开展农村创业典型县评选</w:t>
            </w:r>
          </w:p>
          <w:p>
            <w:pPr>
              <w:keepNext w:val="0"/>
              <w:keepLines w:val="0"/>
              <w:pageBreakBefore w:val="0"/>
              <w:widowControl w:val="0"/>
              <w:numPr>
                <w:ilvl w:val="0"/>
                <w:numId w:val="0"/>
              </w:numPr>
              <w:kinsoku/>
              <w:wordWrap/>
              <w:overflowPunct/>
              <w:topLinePunct w:val="0"/>
              <w:autoSpaceDE/>
              <w:autoSpaceDN/>
              <w:bidi w:val="0"/>
              <w:adjustRightInd w:val="0"/>
              <w:snapToGrid w:val="0"/>
              <w:spacing w:line="200" w:lineRule="atLeast"/>
              <w:ind w:leftChars="0"/>
              <w:textAlignment w:val="auto"/>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bidi="ar-SA"/>
              </w:rPr>
              <w:t>（二）举办农村创业大赛</w:t>
            </w:r>
          </w:p>
          <w:p>
            <w:pPr>
              <w:keepNext w:val="0"/>
              <w:keepLines w:val="0"/>
              <w:pageBreakBefore w:val="0"/>
              <w:widowControl w:val="0"/>
              <w:numPr>
                <w:ilvl w:val="0"/>
                <w:numId w:val="0"/>
              </w:numPr>
              <w:kinsoku/>
              <w:wordWrap/>
              <w:overflowPunct/>
              <w:topLinePunct w:val="0"/>
              <w:autoSpaceDE/>
              <w:autoSpaceDN/>
              <w:bidi w:val="0"/>
              <w:adjustRightInd w:val="0"/>
              <w:snapToGrid w:val="0"/>
              <w:spacing w:line="200" w:lineRule="atLeast"/>
              <w:ind w:left="0" w:leftChars="0" w:firstLine="0" w:firstLineChars="0"/>
              <w:textAlignment w:val="auto"/>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bidi="ar-SA"/>
              </w:rPr>
              <w:t>（三）加强乡村追梦人宣传</w:t>
            </w:r>
          </w:p>
        </w:tc>
        <w:tc>
          <w:tcPr>
            <w:tcW w:w="419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完成目标任务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1080" w:type="dxa"/>
            <w:vMerge w:val="restart"/>
            <w:tcBorders>
              <w:top w:val="nil"/>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评选</w:t>
            </w:r>
            <w:r>
              <w:rPr>
                <w:rFonts w:hint="default" w:ascii="Times New Roman" w:hAnsi="Times New Roman" w:eastAsia="仿宋_GB2312" w:cs="Times New Roman"/>
                <w:color w:val="000000"/>
                <w:kern w:val="0"/>
                <w:sz w:val="21"/>
                <w:szCs w:val="21"/>
              </w:rPr>
              <w:t>农村创业典型县</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=10个</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10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推介</w:t>
            </w:r>
            <w:r>
              <w:rPr>
                <w:rFonts w:hint="default" w:ascii="Times New Roman" w:hAnsi="Times New Roman" w:eastAsia="仿宋_GB2312" w:cs="Times New Roman"/>
                <w:color w:val="000000"/>
                <w:kern w:val="0"/>
                <w:sz w:val="21"/>
                <w:szCs w:val="21"/>
              </w:rPr>
              <w:t>创业典型</w:t>
            </w:r>
            <w:r>
              <w:rPr>
                <w:rFonts w:hint="default" w:ascii="Times New Roman" w:hAnsi="Times New Roman" w:eastAsia="仿宋_GB2312" w:cs="Times New Roman"/>
                <w:color w:val="000000"/>
                <w:kern w:val="0"/>
                <w:sz w:val="21"/>
                <w:szCs w:val="21"/>
                <w:lang w:eastAsia="zh-CN"/>
              </w:rPr>
              <w:t>人物</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20人</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31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培训大赛参赛人员</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100人</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120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提高涉农企业管理水平</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开展双创监测和举办技能大赛</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完成双创监测，并承办职业技能大赛</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项目完成时间</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2024年12月31日前</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2024年12月31日前</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开展农村创业创新项目经费</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97.74万元</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85.56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rPr>
              <w:t>可持续影响指标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推动乡村产业发展</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举办双创大赛和成果展示</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高质量完成第八届农村创业大赛</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农村创业创新氛围</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推介农村创业典型</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eastAsia="zh-CN"/>
              </w:rPr>
              <w:t>采访典型人员</w:t>
            </w:r>
            <w:r>
              <w:rPr>
                <w:rFonts w:hint="default" w:ascii="Times New Roman" w:hAnsi="Times New Roman" w:eastAsia="仿宋_GB2312" w:cs="Times New Roman"/>
                <w:color w:val="000000"/>
                <w:kern w:val="0"/>
                <w:sz w:val="21"/>
                <w:szCs w:val="21"/>
                <w:lang w:val="en-US" w:eastAsia="zh-CN"/>
              </w:rPr>
              <w:t>31人</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服务对象满意度</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90%</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val="en-US" w:eastAsia="zh-CN"/>
              </w:rPr>
              <w:t>95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33"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98.8</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bl>
    <w:p>
      <w:pPr>
        <w:pStyle w:val="3"/>
        <w:spacing w:before="144" w:beforeLines="25" w:line="500" w:lineRule="exact"/>
        <w:jc w:val="left"/>
        <w:rPr>
          <w:rFonts w:hint="default" w:eastAsia="微软雅黑"/>
          <w:sz w:val="36"/>
          <w:szCs w:val="36"/>
          <w:lang w:val="en-US" w:eastAsia="zh-CN"/>
        </w:rPr>
      </w:pPr>
      <w:r>
        <w:rPr>
          <w:rFonts w:hint="eastAsia"/>
          <w:sz w:val="36"/>
          <w:szCs w:val="36"/>
          <w:lang w:val="en-US" w:eastAsia="zh-CN"/>
        </w:rPr>
        <w:t>附件4：</w:t>
      </w:r>
    </w:p>
    <w:p>
      <w:pPr>
        <w:pStyle w:val="3"/>
        <w:spacing w:before="144" w:beforeLines="25" w:line="500" w:lineRule="exact"/>
        <w:jc w:val="center"/>
        <w:rPr>
          <w:sz w:val="36"/>
          <w:szCs w:val="36"/>
        </w:rPr>
      </w:pPr>
      <w:r>
        <w:rPr>
          <w:sz w:val="36"/>
          <w:szCs w:val="36"/>
        </w:rPr>
        <w:t>项目支出绩效自评表</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2024</w:t>
      </w:r>
      <w:r>
        <w:rPr>
          <w:rFonts w:hint="default" w:ascii="Times New Roman" w:hAnsi="Times New Roman" w:eastAsia="仿宋_GB2312" w:cs="Times New Roman"/>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kern w:val="0"/>
                <w:sz w:val="21"/>
                <w:szCs w:val="21"/>
                <w:lang w:val="en-US" w:eastAsia="zh-CN"/>
              </w:rPr>
              <w:t>其他事业发展资金（特色产业集群2024-2025跨年项目）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kern w:val="0"/>
                <w:sz w:val="21"/>
                <w:szCs w:val="21"/>
                <w:lang w:val="en-US" w:eastAsia="zh-CN"/>
              </w:rPr>
              <w:t>湖南省农业产业化发展服务中心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年初</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全年</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56.94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56.94%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中央</w:t>
            </w:r>
            <w:r>
              <w:rPr>
                <w:rFonts w:hint="default" w:ascii="Times New Roman" w:hAnsi="Times New Roman" w:eastAsia="仿宋_GB2312" w:cs="Times New Roman"/>
                <w:color w:val="000000"/>
                <w:kern w:val="0"/>
                <w:sz w:val="21"/>
                <w:szCs w:val="21"/>
              </w:rPr>
              <w:t>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210" w:firstLineChars="100"/>
              <w:jc w:val="left"/>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56.94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val="en-US" w:eastAsia="zh-CN" w:bidi="ar-SA"/>
              </w:rPr>
              <w:t>（一）</w:t>
            </w:r>
            <w:r>
              <w:rPr>
                <w:rFonts w:hint="default" w:ascii="Times New Roman" w:hAnsi="Times New Roman" w:eastAsia="仿宋_GB2312" w:cs="Times New Roman"/>
                <w:color w:val="000000"/>
                <w:kern w:val="0"/>
                <w:sz w:val="21"/>
                <w:szCs w:val="21"/>
              </w:rPr>
              <w:t>组建专家团队开展技术</w:t>
            </w:r>
            <w:r>
              <w:rPr>
                <w:rFonts w:hint="default" w:ascii="Times New Roman" w:hAnsi="Times New Roman" w:eastAsia="仿宋_GB2312" w:cs="Times New Roman"/>
                <w:color w:val="000000"/>
                <w:kern w:val="0"/>
                <w:sz w:val="21"/>
                <w:szCs w:val="21"/>
                <w:lang w:eastAsia="zh-CN"/>
              </w:rPr>
              <w:t>指导</w:t>
            </w:r>
            <w:r>
              <w:rPr>
                <w:rFonts w:hint="default" w:ascii="Times New Roman" w:hAnsi="Times New Roman" w:eastAsia="仿宋_GB2312" w:cs="Times New Roman"/>
                <w:color w:val="000000"/>
                <w:kern w:val="0"/>
                <w:sz w:val="21"/>
                <w:szCs w:val="21"/>
              </w:rPr>
              <w:t>服务</w:t>
            </w:r>
            <w:r>
              <w:rPr>
                <w:rFonts w:hint="default" w:ascii="Times New Roman" w:hAnsi="Times New Roman" w:eastAsia="仿宋_GB2312" w:cs="Times New Roman"/>
                <w:color w:val="000000"/>
                <w:kern w:val="0"/>
                <w:sz w:val="21"/>
                <w:szCs w:val="21"/>
                <w:lang w:eastAsia="zh-CN"/>
              </w:rPr>
              <w:t>。</w:t>
            </w:r>
          </w:p>
          <w:p>
            <w:pPr>
              <w:widowControl/>
              <w:numPr>
                <w:ilvl w:val="0"/>
                <w:numId w:val="0"/>
              </w:numPr>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bidi="ar-SA"/>
              </w:rPr>
              <w:t>（二）开展技术培训。2024年-2025年</w:t>
            </w:r>
            <w:r>
              <w:rPr>
                <w:rFonts w:hint="default" w:ascii="Times New Roman" w:hAnsi="Times New Roman" w:eastAsia="仿宋_GB2312" w:cs="Times New Roman"/>
                <w:color w:val="000000"/>
                <w:kern w:val="0"/>
                <w:sz w:val="21"/>
                <w:szCs w:val="21"/>
              </w:rPr>
              <w:t>开展</w:t>
            </w:r>
            <w:r>
              <w:rPr>
                <w:rFonts w:hint="default" w:ascii="Times New Roman" w:hAnsi="Times New Roman" w:eastAsia="仿宋_GB2312" w:cs="Times New Roman"/>
                <w:color w:val="000000"/>
                <w:kern w:val="0"/>
                <w:sz w:val="21"/>
                <w:szCs w:val="21"/>
                <w:lang w:val="en-US" w:eastAsia="zh-CN"/>
              </w:rPr>
              <w:t>3</w:t>
            </w:r>
            <w:r>
              <w:rPr>
                <w:rFonts w:hint="default" w:ascii="Times New Roman" w:hAnsi="Times New Roman" w:eastAsia="仿宋_GB2312" w:cs="Times New Roman"/>
                <w:color w:val="000000"/>
                <w:kern w:val="0"/>
                <w:sz w:val="21"/>
                <w:szCs w:val="21"/>
              </w:rPr>
              <w:t>场集中技术培训和</w:t>
            </w:r>
            <w:r>
              <w:rPr>
                <w:rFonts w:hint="default" w:ascii="Times New Roman" w:hAnsi="Times New Roman" w:eastAsia="仿宋_GB2312" w:cs="Times New Roman"/>
                <w:color w:val="000000"/>
                <w:kern w:val="0"/>
                <w:sz w:val="21"/>
                <w:szCs w:val="21"/>
                <w:lang w:val="en-US" w:eastAsia="zh-CN"/>
              </w:rPr>
              <w:t>4</w:t>
            </w:r>
            <w:r>
              <w:rPr>
                <w:rFonts w:hint="default" w:ascii="Times New Roman" w:hAnsi="Times New Roman" w:eastAsia="仿宋_GB2312" w:cs="Times New Roman"/>
                <w:color w:val="000000"/>
                <w:kern w:val="0"/>
                <w:sz w:val="21"/>
                <w:szCs w:val="21"/>
              </w:rPr>
              <w:t>场点对点培训</w:t>
            </w:r>
            <w:r>
              <w:rPr>
                <w:rFonts w:hint="default" w:ascii="Times New Roman" w:hAnsi="Times New Roman" w:eastAsia="仿宋_GB2312" w:cs="Times New Roman"/>
                <w:color w:val="000000"/>
                <w:kern w:val="0"/>
                <w:sz w:val="21"/>
                <w:szCs w:val="21"/>
                <w:lang w:eastAsia="zh-CN"/>
              </w:rPr>
              <w:t>，计划培训技术骨干和养殖户约</w:t>
            </w:r>
            <w:r>
              <w:rPr>
                <w:rFonts w:hint="default" w:ascii="Times New Roman" w:hAnsi="Times New Roman" w:eastAsia="仿宋_GB2312" w:cs="Times New Roman"/>
                <w:color w:val="000000"/>
                <w:kern w:val="0"/>
                <w:sz w:val="21"/>
                <w:szCs w:val="21"/>
                <w:lang w:val="en-US" w:eastAsia="zh-CN"/>
              </w:rPr>
              <w:t>350</w:t>
            </w:r>
            <w:r>
              <w:rPr>
                <w:rFonts w:hint="default" w:ascii="Times New Roman" w:hAnsi="Times New Roman" w:eastAsia="仿宋_GB2312" w:cs="Times New Roman"/>
                <w:color w:val="000000"/>
                <w:kern w:val="0"/>
                <w:sz w:val="21"/>
                <w:szCs w:val="21"/>
                <w:lang w:eastAsia="zh-CN"/>
              </w:rPr>
              <w:t>人次。</w:t>
            </w:r>
            <w:r>
              <w:rPr>
                <w:rFonts w:hint="default" w:ascii="Times New Roman" w:hAnsi="Times New Roman" w:eastAsia="仿宋_GB2312" w:cs="Times New Roman"/>
                <w:color w:val="000000"/>
                <w:kern w:val="0"/>
                <w:sz w:val="21"/>
                <w:szCs w:val="21"/>
                <w:lang w:val="en-US" w:eastAsia="zh-CN"/>
              </w:rPr>
              <w:t>2024年目标开展2场培训，培训150人次。</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（一）</w:t>
            </w:r>
            <w:r>
              <w:rPr>
                <w:rFonts w:hint="default" w:ascii="Times New Roman" w:hAnsi="Times New Roman" w:eastAsia="仿宋_GB2312" w:cs="Times New Roman"/>
                <w:color w:val="000000"/>
                <w:kern w:val="0"/>
                <w:sz w:val="21"/>
                <w:szCs w:val="21"/>
              </w:rPr>
              <w:t>6月组建了以王冬武教授为首席的9人专家团队</w:t>
            </w:r>
            <w:r>
              <w:rPr>
                <w:rFonts w:hint="default" w:ascii="Times New Roman" w:hAnsi="Times New Roman" w:eastAsia="仿宋_GB2312" w:cs="Times New Roman"/>
                <w:color w:val="000000"/>
                <w:kern w:val="0"/>
                <w:sz w:val="21"/>
                <w:szCs w:val="21"/>
                <w:lang w:eastAsia="zh-CN"/>
              </w:rPr>
              <w:t>，并召开两次专家见面会。</w:t>
            </w:r>
          </w:p>
          <w:p>
            <w:pPr>
              <w:pStyle w:val="9"/>
              <w:ind w:left="0" w:leftChars="0" w:firstLine="0" w:firstLineChars="0"/>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color w:val="000000"/>
                <w:kern w:val="0"/>
                <w:sz w:val="21"/>
                <w:szCs w:val="21"/>
                <w:lang w:eastAsia="zh-CN"/>
              </w:rPr>
              <w:t>（二）开展了两轮实地调研（华容、君山），其中华容县调研企业</w:t>
            </w:r>
            <w:r>
              <w:rPr>
                <w:rFonts w:hint="default" w:ascii="Times New Roman" w:hAnsi="Times New Roman" w:eastAsia="仿宋_GB2312" w:cs="Times New Roman"/>
                <w:color w:val="000000"/>
                <w:kern w:val="0"/>
                <w:sz w:val="21"/>
                <w:szCs w:val="21"/>
                <w:lang w:val="en-US" w:eastAsia="zh-CN"/>
              </w:rPr>
              <w:t>11家，君山区调研以产业链情况为主。</w:t>
            </w:r>
          </w:p>
          <w:p>
            <w:pPr>
              <w:pStyle w:val="9"/>
              <w:numPr>
                <w:ilvl w:val="0"/>
                <w:numId w:val="0"/>
              </w:numPr>
              <w:ind w:leftChars="0"/>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eastAsia="zh-CN"/>
              </w:rPr>
              <w:t>（二）</w:t>
            </w:r>
            <w:r>
              <w:rPr>
                <w:rFonts w:hint="default" w:ascii="Times New Roman" w:hAnsi="Times New Roman" w:eastAsia="仿宋_GB2312" w:cs="Times New Roman"/>
                <w:sz w:val="21"/>
                <w:szCs w:val="21"/>
              </w:rPr>
              <w:t>11月21日-23日</w:t>
            </w:r>
            <w:r>
              <w:rPr>
                <w:rFonts w:hint="default" w:ascii="Times New Roman" w:hAnsi="Times New Roman" w:eastAsia="仿宋_GB2312" w:cs="Times New Roman"/>
                <w:sz w:val="21"/>
                <w:szCs w:val="21"/>
                <w:lang w:eastAsia="zh-CN"/>
              </w:rPr>
              <w:t>在</w:t>
            </w:r>
            <w:r>
              <w:rPr>
                <w:rFonts w:hint="default" w:ascii="Times New Roman" w:hAnsi="Times New Roman" w:eastAsia="仿宋_GB2312" w:cs="Times New Roman"/>
                <w:sz w:val="21"/>
                <w:szCs w:val="21"/>
              </w:rPr>
              <w:t>南县</w:t>
            </w:r>
            <w:r>
              <w:rPr>
                <w:rFonts w:hint="default" w:ascii="Times New Roman" w:hAnsi="Times New Roman" w:eastAsia="仿宋_GB2312" w:cs="Times New Roman"/>
                <w:sz w:val="21"/>
                <w:szCs w:val="21"/>
                <w:lang w:eastAsia="zh-CN"/>
              </w:rPr>
              <w:t>开展</w:t>
            </w:r>
            <w:r>
              <w:rPr>
                <w:rFonts w:hint="default" w:ascii="Times New Roman" w:hAnsi="Times New Roman" w:eastAsia="仿宋_GB2312" w:cs="Times New Roman"/>
                <w:sz w:val="21"/>
                <w:szCs w:val="21"/>
              </w:rPr>
              <w:t>集中培训</w:t>
            </w:r>
            <w:r>
              <w:rPr>
                <w:rFonts w:hint="default" w:ascii="Times New Roman" w:hAnsi="Times New Roman" w:eastAsia="仿宋_GB2312" w:cs="Times New Roman"/>
                <w:sz w:val="21"/>
                <w:szCs w:val="21"/>
                <w:lang w:eastAsia="zh-CN"/>
              </w:rPr>
              <w:t>，培训</w:t>
            </w:r>
            <w:r>
              <w:rPr>
                <w:rFonts w:hint="default" w:ascii="Times New Roman" w:hAnsi="Times New Roman" w:eastAsia="仿宋_GB2312" w:cs="Times New Roman"/>
                <w:sz w:val="21"/>
                <w:szCs w:val="21"/>
                <w:lang w:val="en-US" w:eastAsia="zh-CN"/>
              </w:rPr>
              <w:t>110余人；12月9日-11日，在君山区开展点对点培训，培训90余人。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1080" w:type="dxa"/>
            <w:vMerge w:val="restart"/>
            <w:tcBorders>
              <w:top w:val="nil"/>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组建专家团队</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开展</w:t>
            </w:r>
            <w:r>
              <w:rPr>
                <w:rFonts w:hint="default" w:ascii="Times New Roman" w:hAnsi="Times New Roman" w:eastAsia="仿宋_GB2312" w:cs="Times New Roman"/>
                <w:color w:val="000000"/>
                <w:kern w:val="0"/>
                <w:sz w:val="21"/>
                <w:szCs w:val="21"/>
                <w:lang w:val="en-US" w:eastAsia="zh-CN"/>
              </w:rPr>
              <w:t>技术培训</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2场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val="en-US" w:eastAsia="zh-CN"/>
              </w:rPr>
              <w:t>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技术培训人数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rPr>
              <w:t>≥</w:t>
            </w:r>
            <w:r>
              <w:rPr>
                <w:rFonts w:hint="default" w:ascii="Times New Roman" w:hAnsi="Times New Roman" w:eastAsia="仿宋_GB2312" w:cs="Times New Roman"/>
                <w:color w:val="000000"/>
                <w:kern w:val="0"/>
                <w:sz w:val="21"/>
                <w:szCs w:val="21"/>
                <w:lang w:val="en-US" w:eastAsia="zh-CN"/>
              </w:rPr>
              <w:t>150人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技术</w:t>
            </w:r>
            <w:r>
              <w:rPr>
                <w:rFonts w:hint="default" w:ascii="Times New Roman" w:hAnsi="Times New Roman" w:eastAsia="仿宋_GB2312" w:cs="Times New Roman"/>
                <w:color w:val="000000"/>
                <w:kern w:val="0"/>
                <w:sz w:val="21"/>
                <w:szCs w:val="21"/>
              </w:rPr>
              <w:t>培训效果</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效果良好</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效果显著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2024年的目标</w:t>
            </w:r>
            <w:r>
              <w:rPr>
                <w:rFonts w:hint="default" w:ascii="Times New Roman" w:hAnsi="Times New Roman" w:eastAsia="仿宋_GB2312" w:cs="Times New Roman"/>
                <w:color w:val="000000"/>
                <w:kern w:val="0"/>
                <w:sz w:val="21"/>
                <w:szCs w:val="21"/>
                <w:lang w:eastAsia="zh-CN"/>
              </w:rPr>
              <w:t>完成时间</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2024年12月31日前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2024年12月31日前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2024年</w:t>
            </w:r>
            <w:r>
              <w:rPr>
                <w:rFonts w:hint="default" w:ascii="Times New Roman" w:hAnsi="Times New Roman" w:eastAsia="仿宋_GB2312" w:cs="Times New Roman"/>
                <w:color w:val="000000"/>
                <w:kern w:val="0"/>
                <w:sz w:val="21"/>
                <w:szCs w:val="21"/>
                <w:lang w:eastAsia="zh-CN"/>
              </w:rPr>
              <w:t>开展“洞庭湖小龙虾”产业集群项目经费</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100万元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val="en-US" w:eastAsia="zh-CN"/>
              </w:rPr>
              <w:t>56.94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eastAsia="zh-CN"/>
              </w:rPr>
              <w:t>该项目为跨年项目，</w:t>
            </w:r>
            <w:r>
              <w:rPr>
                <w:rFonts w:hint="default" w:ascii="Times New Roman" w:hAnsi="Times New Roman" w:eastAsia="仿宋_GB2312" w:cs="Times New Roman"/>
                <w:color w:val="000000"/>
                <w:kern w:val="0"/>
                <w:sz w:val="21"/>
                <w:szCs w:val="21"/>
                <w:lang w:val="en-US" w:eastAsia="zh-CN"/>
              </w:rPr>
              <w:t>2024年目标任务为50万，已达预期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w:t>
            </w:r>
          </w:p>
        </w:tc>
        <w:tc>
          <w:tcPr>
            <w:tcW w:w="1080" w:type="dxa"/>
            <w:vMerge w:val="restart"/>
            <w:tcBorders>
              <w:top w:val="nil"/>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产业链协同发展</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增强企业合作与交流，推动协同发展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lang w:eastAsia="zh-CN"/>
              </w:rPr>
              <w:t>企业</w:t>
            </w:r>
            <w:r>
              <w:rPr>
                <w:rFonts w:hint="default" w:ascii="Times New Roman" w:hAnsi="Times New Roman" w:eastAsia="仿宋_GB2312" w:cs="Times New Roman"/>
                <w:color w:val="000000"/>
                <w:kern w:val="0"/>
                <w:sz w:val="21"/>
                <w:szCs w:val="21"/>
              </w:rPr>
              <w:t>合作与交流增多，联系更加紧密，形成了协同发展的良好局面</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小龙虾全产业链</w:t>
            </w:r>
            <w:r>
              <w:rPr>
                <w:rFonts w:hint="default" w:ascii="Times New Roman" w:hAnsi="Times New Roman" w:eastAsia="仿宋_GB2312" w:cs="Times New Roman"/>
                <w:color w:val="000000"/>
                <w:kern w:val="0"/>
                <w:sz w:val="21"/>
                <w:szCs w:val="21"/>
              </w:rPr>
              <w:t>技术水平提升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开展实地调研和技术指导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 w:val="21"/>
                <w:szCs w:val="21"/>
                <w:lang w:eastAsia="zh-CN"/>
              </w:rPr>
              <w:t>开展了</w:t>
            </w:r>
            <w:r>
              <w:rPr>
                <w:rFonts w:hint="default" w:ascii="Times New Roman" w:hAnsi="Times New Roman" w:eastAsia="仿宋_GB2312" w:cs="Times New Roman"/>
                <w:color w:val="000000"/>
                <w:kern w:val="0"/>
                <w:sz w:val="21"/>
                <w:szCs w:val="21"/>
                <w:lang w:val="en-US" w:eastAsia="zh-CN"/>
              </w:rPr>
              <w:t>2轮实地调研和2场培训技术指导，企业对于新技术、新模式的接受度和应用能力有所增强，进一步推动了小龙虾产业的转型升级</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被指导企业满意度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0" w:type="auto"/>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eastAsia="zh-CN"/>
              </w:rPr>
            </w:pPr>
            <w:r>
              <w:rPr>
                <w:rFonts w:hint="default" w:ascii="Times New Roman" w:hAnsi="Times New Roman" w:eastAsia="仿宋_GB2312" w:cs="Times New Roman"/>
                <w:color w:val="000000"/>
                <w:kern w:val="0"/>
                <w:sz w:val="21"/>
                <w:szCs w:val="21"/>
                <w:lang w:eastAsia="zh-CN"/>
              </w:rPr>
              <w:t>参训人员满意度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95.69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bl>
    <w:p>
      <w:pPr>
        <w:spacing w:line="240" w:lineRule="exact"/>
        <w:ind w:firstLine="0" w:firstLineChars="0"/>
      </w:pPr>
    </w:p>
    <w:p>
      <w:pPr>
        <w:pStyle w:val="4"/>
        <w:ind w:firstLine="0" w:firstLineChars="0"/>
      </w:pPr>
    </w:p>
    <w:p>
      <w:pPr>
        <w:ind w:firstLine="640"/>
      </w:pPr>
      <w:r>
        <w:t xml:space="preserve"> </w:t>
      </w:r>
    </w:p>
    <w:p>
      <w:pPr>
        <w:pStyle w:val="2"/>
        <w:ind w:left="0" w:leftChars="0" w:firstLine="0" w:firstLineChars="0"/>
      </w:pPr>
    </w:p>
    <w:p>
      <w:pPr>
        <w:jc w:val="left"/>
        <w:rPr>
          <w:rFonts w:ascii="Times New Roman" w:hAnsi="Times New Roman" w:cs="Times New Roman"/>
          <w:color w:val="000000"/>
          <w:kern w:val="0"/>
          <w:sz w:val="32"/>
          <w:szCs w:val="32"/>
        </w:rPr>
      </w:pPr>
    </w:p>
    <w:sectPr>
      <w:pgSz w:w="11906" w:h="16838"/>
      <w:pgMar w:top="1474" w:right="1474"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C9C15"/>
    <w:multiLevelType w:val="singleLevel"/>
    <w:tmpl w:val="ACEC9C15"/>
    <w:lvl w:ilvl="0" w:tentative="0">
      <w:start w:val="3"/>
      <w:numFmt w:val="decimal"/>
      <w:suff w:val="nothing"/>
      <w:lvlText w:val="%1、"/>
      <w:lvlJc w:val="left"/>
    </w:lvl>
  </w:abstractNum>
  <w:abstractNum w:abstractNumId="1">
    <w:nsid w:val="C27FD48C"/>
    <w:multiLevelType w:val="singleLevel"/>
    <w:tmpl w:val="C27FD48C"/>
    <w:lvl w:ilvl="0" w:tentative="0">
      <w:start w:val="3"/>
      <w:numFmt w:val="chineseCounting"/>
      <w:suff w:val="nothing"/>
      <w:lvlText w:val="%1、"/>
      <w:lvlJc w:val="left"/>
      <w:rPr>
        <w:rFonts w:hint="eastAsia"/>
      </w:rPr>
    </w:lvl>
  </w:abstractNum>
  <w:abstractNum w:abstractNumId="2">
    <w:nsid w:val="4AEC4C3A"/>
    <w:multiLevelType w:val="singleLevel"/>
    <w:tmpl w:val="4AEC4C3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BE9256D"/>
    <w:rsid w:val="13877EBC"/>
    <w:rsid w:val="1D97DEFF"/>
    <w:rsid w:val="1DFF72E5"/>
    <w:rsid w:val="1EFC6F07"/>
    <w:rsid w:val="2FDF85B8"/>
    <w:rsid w:val="2FFFEE04"/>
    <w:rsid w:val="34DF85B0"/>
    <w:rsid w:val="3B8F36BC"/>
    <w:rsid w:val="491FF225"/>
    <w:rsid w:val="4FFD214C"/>
    <w:rsid w:val="56385CDD"/>
    <w:rsid w:val="5777D4F5"/>
    <w:rsid w:val="59DD8326"/>
    <w:rsid w:val="5DEF592A"/>
    <w:rsid w:val="5FC6BB1E"/>
    <w:rsid w:val="5FF720F1"/>
    <w:rsid w:val="67FF5C0B"/>
    <w:rsid w:val="6EFC0924"/>
    <w:rsid w:val="6FB74722"/>
    <w:rsid w:val="6FEF8B7E"/>
    <w:rsid w:val="71A6591B"/>
    <w:rsid w:val="737D59BA"/>
    <w:rsid w:val="76FF0832"/>
    <w:rsid w:val="771D60FB"/>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9BF5910"/>
    <w:rsid w:val="DFFE359E"/>
    <w:rsid w:val="DFFE4FFD"/>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line="700" w:lineRule="exact"/>
      <w:ind w:firstLine="0" w:firstLineChars="0"/>
      <w:jc w:val="center"/>
      <w:outlineLvl w:val="0"/>
    </w:pPr>
    <w:rPr>
      <w:rFonts w:ascii="Times New Roman" w:hAnsi="Times New Roman" w:eastAsia="微软雅黑"/>
      <w:bCs/>
      <w:kern w:val="44"/>
      <w:sz w:val="44"/>
      <w:szCs w:val="44"/>
    </w:rPr>
  </w:style>
  <w:style w:type="paragraph" w:styleId="4">
    <w:name w:val="heading 2"/>
    <w:basedOn w:val="1"/>
    <w:next w:val="1"/>
    <w:qFormat/>
    <w:uiPriority w:val="0"/>
    <w:pPr>
      <w:outlineLvl w:val="1"/>
    </w:pPr>
    <w:rPr>
      <w:rFonts w:ascii="Times New Roman" w:hAnsi="Times New Roman" w:eastAsia="黑体"/>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iPriority w:val="0"/>
    <w:pPr>
      <w:adjustRightInd/>
      <w:snapToGrid/>
      <w:spacing w:line="360" w:lineRule="auto"/>
      <w:ind w:left="240"/>
      <w:jc w:val="left"/>
    </w:pPr>
    <w:rPr>
      <w:rFonts w:ascii="Calibri" w:hAnsi="Calibri" w:eastAsia="宋体" w:cs="Calibri"/>
      <w:smallCaps/>
      <w:sz w:val="20"/>
      <w:szCs w:val="20"/>
    </w:r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customStyle="1" w:styleId="14">
    <w:name w:val="页眉 Char"/>
    <w:basedOn w:val="13"/>
    <w:link w:val="10"/>
    <w:qFormat/>
    <w:uiPriority w:val="99"/>
    <w:rPr>
      <w:sz w:val="18"/>
      <w:szCs w:val="18"/>
    </w:rPr>
  </w:style>
  <w:style w:type="character" w:customStyle="1" w:styleId="15">
    <w:name w:val="页脚 Char"/>
    <w:basedOn w:val="13"/>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8"/>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 w:type="paragraph" w:customStyle="1" w:styleId="22">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7581</Words>
  <Characters>9312</Characters>
  <Lines>69</Lines>
  <Paragraphs>19</Paragraphs>
  <TotalTime>1</TotalTime>
  <ScaleCrop>false</ScaleCrop>
  <LinksUpToDate>false</LinksUpToDate>
  <CharactersWithSpaces>10337</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2025-08-19T10:17:00Z</dcterms:created>
  <dc:creator>李航 null</dc:creator>
  <cp:lastModifiedBy>greatwall</cp:lastModifiedBy>
  <cp:lastPrinted>2024-08-09T18:20:00Z</cp:lastPrinted>
  <dcterms:modified xsi:type="dcterms:W3CDTF">2025-09-16T15:09:30Z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4C4584A36F3043D498A40C1E9F361BCF_13</vt:lpwstr>
  </property>
  <property fmtid="{D5CDD505-2E9C-101B-9397-08002B2CF9AE}" pid="4" name="KSOTemplateDocerSaveRecord">
    <vt:lpwstr>eyJoZGlkIjoiZGZjMjBhNzEyNDY5Yjk0NzRiODMzM2RiOTgxNjRmNTEiLCJ1c2VySWQiOiI2MjQ4MTAyNzQifQ==</vt:lpwstr>
  </property>
</Properties>
</file>