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ascii="Times New Roman" w:hAnsi="Times New Roman" w:eastAsia="方正小标宋_GBK"/>
          <w:bCs/>
          <w:kern w:val="0"/>
          <w:sz w:val="44"/>
          <w:szCs w:val="44"/>
        </w:rPr>
      </w:pPr>
      <w:r>
        <w:rPr>
          <w:rFonts w:hint="eastAsia" w:ascii="Times New Roman" w:hAnsi="Times New Roman" w:eastAsia="方正小标宋_GBK"/>
          <w:bCs/>
          <w:kern w:val="0"/>
          <w:sz w:val="44"/>
          <w:szCs w:val="44"/>
        </w:rPr>
        <w:t>2025</w:t>
      </w:r>
      <w:r>
        <w:rPr>
          <w:rFonts w:ascii="Times New Roman" w:hAnsi="Times New Roman" w:eastAsia="方正小标宋_GBK"/>
          <w:bCs/>
          <w:kern w:val="0"/>
          <w:sz w:val="44"/>
          <w:szCs w:val="44"/>
        </w:rPr>
        <w:t>年湖南省农业对外经济合作中心</w:t>
      </w:r>
      <w:bookmarkStart w:id="0" w:name="_GoBack"/>
      <w:bookmarkEnd w:id="0"/>
      <w:r>
        <w:rPr>
          <w:rFonts w:ascii="Times New Roman" w:hAnsi="Times New Roman" w:eastAsia="方正小标宋_GBK"/>
          <w:bCs/>
          <w:kern w:val="0"/>
          <w:sz w:val="44"/>
          <w:szCs w:val="44"/>
        </w:rPr>
        <w:t>预算</w:t>
      </w:r>
    </w:p>
    <w:p>
      <w:pPr>
        <w:widowControl/>
        <w:spacing w:line="600" w:lineRule="exact"/>
        <w:jc w:val="center"/>
        <w:rPr>
          <w:rFonts w:ascii="Times New Roman" w:hAnsi="Times New Roman" w:eastAsia="楷体_GB2312"/>
          <w:bCs/>
          <w:kern w:val="0"/>
          <w:sz w:val="32"/>
          <w:szCs w:val="32"/>
        </w:rPr>
      </w:pPr>
    </w:p>
    <w:p>
      <w:pPr>
        <w:widowControl/>
        <w:spacing w:line="600" w:lineRule="exact"/>
        <w:jc w:val="center"/>
        <w:rPr>
          <w:rFonts w:ascii="Times New Roman" w:hAnsi="Times New Roman" w:eastAsia="黑体"/>
          <w:bCs/>
          <w:kern w:val="0"/>
          <w:sz w:val="32"/>
          <w:szCs w:val="32"/>
        </w:rPr>
      </w:pPr>
      <w:r>
        <w:rPr>
          <w:rFonts w:ascii="Times New Roman" w:hAnsi="Times New Roman" w:eastAsia="黑体"/>
          <w:bCs/>
          <w:kern w:val="0"/>
          <w:sz w:val="32"/>
          <w:szCs w:val="32"/>
        </w:rPr>
        <w:t>目 录</w:t>
      </w:r>
    </w:p>
    <w:p>
      <w:pPr>
        <w:widowControl/>
        <w:spacing w:line="600" w:lineRule="exact"/>
        <w:jc w:val="left"/>
        <w:rPr>
          <w:rFonts w:ascii="Times New Roman" w:hAnsi="Times New Roman" w:eastAsia="黑体"/>
          <w:bCs/>
          <w:kern w:val="0"/>
          <w:sz w:val="32"/>
          <w:szCs w:val="32"/>
        </w:rPr>
      </w:pPr>
    </w:p>
    <w:p>
      <w:pPr>
        <w:widowControl/>
        <w:spacing w:line="600" w:lineRule="exact"/>
        <w:ind w:firstLine="636" w:firstLineChars="200"/>
        <w:rPr>
          <w:rFonts w:ascii="Times New Roman" w:hAnsi="Times New Roman" w:eastAsia="方正小标宋_GBK"/>
          <w:b/>
          <w:bCs/>
          <w:kern w:val="0"/>
          <w:sz w:val="32"/>
          <w:szCs w:val="32"/>
        </w:rPr>
      </w:pPr>
      <w:r>
        <w:rPr>
          <w:rFonts w:ascii="Times New Roman" w:hAnsi="Times New Roman" w:eastAsia="仿宋_GB2312"/>
          <w:b/>
          <w:bCs/>
          <w:kern w:val="0"/>
          <w:sz w:val="32"/>
          <w:szCs w:val="32"/>
        </w:rPr>
        <w:t xml:space="preserve">第一部分 </w:t>
      </w:r>
      <w:r>
        <w:rPr>
          <w:rFonts w:hint="eastAsia" w:ascii="Times New Roman" w:hAnsi="Times New Roman" w:eastAsia="方正小标宋_GBK"/>
          <w:b/>
          <w:bCs/>
          <w:kern w:val="0"/>
          <w:sz w:val="32"/>
          <w:szCs w:val="32"/>
        </w:rPr>
        <w:t>2025</w:t>
      </w:r>
      <w:r>
        <w:rPr>
          <w:rFonts w:ascii="Times New Roman" w:hAnsi="Times New Roman" w:eastAsia="仿宋_GB2312"/>
          <w:b/>
          <w:bCs/>
          <w:kern w:val="0"/>
          <w:sz w:val="32"/>
          <w:szCs w:val="32"/>
        </w:rPr>
        <w:t>年单位预算说明</w:t>
      </w:r>
    </w:p>
    <w:p>
      <w:pPr>
        <w:widowControl/>
        <w:spacing w:line="600" w:lineRule="exact"/>
        <w:ind w:firstLine="636" w:firstLineChars="200"/>
        <w:jc w:val="left"/>
        <w:rPr>
          <w:rFonts w:ascii="Times New Roman" w:hAnsi="Times New Roman" w:eastAsia="仿宋_GB2312"/>
          <w:b/>
          <w:bCs/>
          <w:kern w:val="0"/>
          <w:sz w:val="32"/>
          <w:szCs w:val="32"/>
        </w:rPr>
      </w:pPr>
      <w:r>
        <w:rPr>
          <w:rFonts w:ascii="Times New Roman" w:hAnsi="Times New Roman" w:eastAsia="仿宋_GB2312"/>
          <w:b/>
          <w:bCs/>
          <w:kern w:val="0"/>
          <w:sz w:val="32"/>
          <w:szCs w:val="32"/>
        </w:rPr>
        <w:t xml:space="preserve">第二部分 </w:t>
      </w:r>
      <w:r>
        <w:rPr>
          <w:rFonts w:hint="eastAsia" w:ascii="Times New Roman" w:hAnsi="Times New Roman" w:eastAsia="仿宋_GB2312"/>
          <w:b/>
          <w:bCs/>
          <w:kern w:val="0"/>
          <w:sz w:val="32"/>
          <w:szCs w:val="32"/>
        </w:rPr>
        <w:t>2025</w:t>
      </w:r>
      <w:r>
        <w:rPr>
          <w:rFonts w:ascii="Times New Roman" w:hAnsi="Times New Roman" w:eastAsia="仿宋_GB2312"/>
          <w:b/>
          <w:bCs/>
          <w:kern w:val="0"/>
          <w:sz w:val="32"/>
          <w:szCs w:val="32"/>
        </w:rPr>
        <w:t>年单位预算表</w:t>
      </w:r>
    </w:p>
    <w:p>
      <w:pPr>
        <w:widowControl/>
        <w:spacing w:line="600" w:lineRule="exact"/>
        <w:ind w:firstLine="636" w:firstLineChars="200"/>
        <w:jc w:val="left"/>
        <w:rPr>
          <w:rFonts w:ascii="Times New Roman" w:hAnsi="Times New Roman" w:eastAsia="仿宋_GB2312"/>
          <w:sz w:val="32"/>
          <w:szCs w:val="32"/>
        </w:rPr>
      </w:pPr>
      <w:r>
        <w:rPr>
          <w:rFonts w:ascii="Times New Roman" w:hAnsi="Times New Roman" w:eastAsia="仿宋_GB2312"/>
          <w:sz w:val="32"/>
          <w:szCs w:val="32"/>
        </w:rPr>
        <w:t>1、收支总表</w:t>
      </w:r>
    </w:p>
    <w:p>
      <w:pPr>
        <w:widowControl/>
        <w:spacing w:line="600" w:lineRule="exact"/>
        <w:ind w:firstLine="636" w:firstLineChars="200"/>
        <w:jc w:val="left"/>
        <w:rPr>
          <w:rFonts w:ascii="Times New Roman" w:hAnsi="Times New Roman" w:eastAsia="仿宋_GB2312"/>
          <w:sz w:val="32"/>
          <w:szCs w:val="32"/>
        </w:rPr>
      </w:pPr>
      <w:r>
        <w:rPr>
          <w:rFonts w:ascii="Times New Roman" w:hAnsi="Times New Roman" w:eastAsia="仿宋_GB2312"/>
          <w:sz w:val="32"/>
          <w:szCs w:val="32"/>
        </w:rPr>
        <w:t>2、收入总表</w:t>
      </w:r>
    </w:p>
    <w:p>
      <w:pPr>
        <w:widowControl/>
        <w:spacing w:line="600" w:lineRule="exact"/>
        <w:ind w:firstLine="636" w:firstLineChars="200"/>
        <w:jc w:val="left"/>
        <w:rPr>
          <w:rFonts w:ascii="Times New Roman" w:hAnsi="Times New Roman" w:eastAsia="仿宋_GB2312"/>
          <w:sz w:val="32"/>
          <w:szCs w:val="32"/>
        </w:rPr>
      </w:pPr>
      <w:r>
        <w:rPr>
          <w:rFonts w:ascii="Times New Roman" w:hAnsi="Times New Roman" w:eastAsia="仿宋_GB2312"/>
          <w:sz w:val="32"/>
          <w:szCs w:val="32"/>
        </w:rPr>
        <w:t>3、支出总表</w:t>
      </w:r>
    </w:p>
    <w:p>
      <w:pPr>
        <w:widowControl/>
        <w:spacing w:line="600" w:lineRule="exact"/>
        <w:ind w:firstLine="636" w:firstLineChars="200"/>
        <w:jc w:val="left"/>
        <w:rPr>
          <w:rFonts w:ascii="Times New Roman" w:hAnsi="Times New Roman" w:eastAsia="仿宋_GB2312"/>
          <w:sz w:val="32"/>
          <w:szCs w:val="32"/>
        </w:rPr>
      </w:pPr>
      <w:r>
        <w:rPr>
          <w:rFonts w:ascii="Times New Roman" w:hAnsi="Times New Roman" w:eastAsia="仿宋_GB2312"/>
          <w:sz w:val="32"/>
          <w:szCs w:val="32"/>
        </w:rPr>
        <w:t>4、支出预算分类汇总表（按政府预算经济分类）</w:t>
      </w:r>
    </w:p>
    <w:p>
      <w:pPr>
        <w:widowControl/>
        <w:spacing w:line="600" w:lineRule="exact"/>
        <w:ind w:firstLine="636" w:firstLineChars="200"/>
        <w:jc w:val="left"/>
        <w:rPr>
          <w:rFonts w:ascii="Times New Roman" w:hAnsi="Times New Roman" w:eastAsia="仿宋_GB2312"/>
          <w:sz w:val="32"/>
          <w:szCs w:val="32"/>
        </w:rPr>
      </w:pPr>
      <w:r>
        <w:rPr>
          <w:rFonts w:ascii="Times New Roman" w:hAnsi="Times New Roman" w:eastAsia="仿宋_GB2312"/>
          <w:sz w:val="32"/>
          <w:szCs w:val="32"/>
        </w:rPr>
        <w:t>5、支出预算分类汇总表（按部门预算经济分类）</w:t>
      </w:r>
    </w:p>
    <w:p>
      <w:pPr>
        <w:widowControl/>
        <w:spacing w:line="600" w:lineRule="exact"/>
        <w:ind w:firstLine="636" w:firstLineChars="200"/>
        <w:jc w:val="left"/>
        <w:rPr>
          <w:rFonts w:ascii="Times New Roman" w:hAnsi="Times New Roman" w:eastAsia="仿宋_GB2312"/>
          <w:sz w:val="32"/>
          <w:szCs w:val="32"/>
        </w:rPr>
      </w:pPr>
      <w:r>
        <w:rPr>
          <w:rFonts w:ascii="Times New Roman" w:hAnsi="Times New Roman" w:eastAsia="仿宋_GB2312"/>
          <w:sz w:val="32"/>
          <w:szCs w:val="32"/>
        </w:rPr>
        <w:t>6、财政拨款收支总表</w:t>
      </w:r>
    </w:p>
    <w:p>
      <w:pPr>
        <w:widowControl/>
        <w:spacing w:line="600" w:lineRule="exact"/>
        <w:ind w:firstLine="636" w:firstLineChars="200"/>
        <w:jc w:val="left"/>
        <w:rPr>
          <w:rFonts w:ascii="Times New Roman" w:hAnsi="Times New Roman" w:eastAsia="仿宋_GB2312"/>
          <w:sz w:val="32"/>
          <w:szCs w:val="32"/>
        </w:rPr>
      </w:pPr>
      <w:r>
        <w:rPr>
          <w:rFonts w:ascii="Times New Roman" w:hAnsi="Times New Roman" w:eastAsia="仿宋_GB2312"/>
          <w:sz w:val="32"/>
          <w:szCs w:val="32"/>
        </w:rPr>
        <w:t>7、一般公共预算支出表</w:t>
      </w:r>
    </w:p>
    <w:p>
      <w:pPr>
        <w:widowControl/>
        <w:spacing w:line="600" w:lineRule="exact"/>
        <w:ind w:firstLine="636" w:firstLineChars="200"/>
        <w:jc w:val="left"/>
        <w:rPr>
          <w:rFonts w:ascii="Times New Roman" w:hAnsi="Times New Roman" w:eastAsia="仿宋_GB2312"/>
          <w:sz w:val="32"/>
          <w:szCs w:val="32"/>
        </w:rPr>
      </w:pPr>
      <w:r>
        <w:rPr>
          <w:rFonts w:ascii="Times New Roman" w:hAnsi="Times New Roman" w:eastAsia="仿宋_GB2312"/>
          <w:sz w:val="32"/>
          <w:szCs w:val="32"/>
        </w:rPr>
        <w:t>8、一般公共预算基本支出表-人员经费（工资福利支出）（按政府预算经济分类）</w:t>
      </w:r>
    </w:p>
    <w:p>
      <w:pPr>
        <w:widowControl/>
        <w:spacing w:line="600" w:lineRule="exact"/>
        <w:ind w:firstLine="636" w:firstLineChars="200"/>
        <w:jc w:val="left"/>
        <w:rPr>
          <w:rFonts w:ascii="Times New Roman" w:hAnsi="Times New Roman" w:eastAsia="仿宋_GB2312"/>
          <w:sz w:val="32"/>
          <w:szCs w:val="32"/>
        </w:rPr>
      </w:pPr>
      <w:r>
        <w:rPr>
          <w:rFonts w:ascii="Times New Roman" w:hAnsi="Times New Roman" w:eastAsia="仿宋_GB2312"/>
          <w:sz w:val="32"/>
          <w:szCs w:val="32"/>
        </w:rPr>
        <w:t>9、一般公共预算基本支出表-人员经费（工资福利支出）（按部门预算经济分类）</w:t>
      </w:r>
    </w:p>
    <w:p>
      <w:pPr>
        <w:widowControl/>
        <w:spacing w:line="600" w:lineRule="exact"/>
        <w:ind w:firstLine="636" w:firstLineChars="200"/>
        <w:jc w:val="left"/>
        <w:rPr>
          <w:rFonts w:ascii="Times New Roman" w:hAnsi="Times New Roman" w:eastAsia="仿宋_GB2312"/>
          <w:sz w:val="32"/>
          <w:szCs w:val="32"/>
        </w:rPr>
      </w:pPr>
      <w:r>
        <w:rPr>
          <w:rFonts w:ascii="Times New Roman" w:hAnsi="Times New Roman" w:eastAsia="仿宋_GB2312"/>
          <w:sz w:val="32"/>
          <w:szCs w:val="32"/>
        </w:rPr>
        <w:t>10、一般公共预算基本支出表-人员经费（对个人和家庭的补助）（按政府预算经济分类）</w:t>
      </w:r>
    </w:p>
    <w:p>
      <w:pPr>
        <w:widowControl/>
        <w:spacing w:line="600" w:lineRule="exact"/>
        <w:ind w:firstLine="636" w:firstLineChars="200"/>
        <w:jc w:val="left"/>
        <w:rPr>
          <w:rFonts w:ascii="Times New Roman" w:hAnsi="Times New Roman" w:eastAsia="仿宋_GB2312"/>
          <w:sz w:val="32"/>
          <w:szCs w:val="32"/>
        </w:rPr>
      </w:pPr>
      <w:r>
        <w:rPr>
          <w:rFonts w:ascii="Times New Roman" w:hAnsi="Times New Roman" w:eastAsia="仿宋_GB2312"/>
          <w:sz w:val="32"/>
          <w:szCs w:val="32"/>
        </w:rPr>
        <w:t>11、一般公共预算基本支出表-人员经费（对个人和家庭的补助）（按部门预算经济分类）</w:t>
      </w:r>
    </w:p>
    <w:p>
      <w:pPr>
        <w:widowControl/>
        <w:spacing w:line="600" w:lineRule="exact"/>
        <w:ind w:firstLine="636" w:firstLineChars="200"/>
        <w:jc w:val="left"/>
        <w:rPr>
          <w:rFonts w:ascii="Times New Roman" w:hAnsi="Times New Roman" w:eastAsia="仿宋_GB2312"/>
          <w:sz w:val="32"/>
          <w:szCs w:val="32"/>
        </w:rPr>
      </w:pPr>
      <w:r>
        <w:rPr>
          <w:rFonts w:ascii="Times New Roman" w:hAnsi="Times New Roman" w:eastAsia="仿宋_GB2312"/>
          <w:sz w:val="32"/>
          <w:szCs w:val="32"/>
        </w:rPr>
        <w:t>12、一般公共预算基本支出表-公用经费（商品和服务支出）（按政府预算经济分类）</w:t>
      </w:r>
    </w:p>
    <w:p>
      <w:pPr>
        <w:widowControl/>
        <w:spacing w:line="600" w:lineRule="exact"/>
        <w:ind w:firstLine="636" w:firstLineChars="200"/>
        <w:jc w:val="left"/>
        <w:rPr>
          <w:rFonts w:ascii="Times New Roman" w:hAnsi="Times New Roman" w:eastAsia="仿宋_GB2312"/>
          <w:sz w:val="32"/>
          <w:szCs w:val="32"/>
        </w:rPr>
      </w:pPr>
      <w:r>
        <w:rPr>
          <w:rFonts w:ascii="Times New Roman" w:hAnsi="Times New Roman" w:eastAsia="仿宋_GB2312"/>
          <w:sz w:val="32"/>
          <w:szCs w:val="32"/>
        </w:rPr>
        <w:t>13、一般公共预算基本支出表-公用经费（商品和服务支出）（按部门预算经济分类）</w:t>
      </w:r>
    </w:p>
    <w:p>
      <w:pPr>
        <w:widowControl/>
        <w:spacing w:line="600" w:lineRule="exact"/>
        <w:ind w:firstLine="636" w:firstLineChars="200"/>
        <w:jc w:val="left"/>
        <w:rPr>
          <w:rFonts w:ascii="Times New Roman" w:hAnsi="Times New Roman" w:eastAsia="仿宋_GB2312"/>
          <w:sz w:val="32"/>
          <w:szCs w:val="32"/>
        </w:rPr>
      </w:pPr>
      <w:r>
        <w:rPr>
          <w:rFonts w:ascii="Times New Roman" w:hAnsi="Times New Roman" w:eastAsia="仿宋_GB2312"/>
          <w:sz w:val="32"/>
          <w:szCs w:val="32"/>
        </w:rPr>
        <w:t>14、一般公共预算“三公”经费支出表</w:t>
      </w:r>
    </w:p>
    <w:p>
      <w:pPr>
        <w:widowControl/>
        <w:spacing w:line="600" w:lineRule="exact"/>
        <w:ind w:firstLine="636" w:firstLineChars="200"/>
        <w:jc w:val="left"/>
        <w:rPr>
          <w:rFonts w:ascii="Times New Roman" w:hAnsi="Times New Roman" w:eastAsia="仿宋_GB2312"/>
          <w:sz w:val="32"/>
          <w:szCs w:val="32"/>
        </w:rPr>
      </w:pPr>
      <w:r>
        <w:rPr>
          <w:rFonts w:ascii="Times New Roman" w:hAnsi="Times New Roman" w:eastAsia="仿宋_GB2312"/>
          <w:sz w:val="32"/>
          <w:szCs w:val="32"/>
        </w:rPr>
        <w:t>15、政府性基金预算支出表</w:t>
      </w:r>
    </w:p>
    <w:p>
      <w:pPr>
        <w:widowControl/>
        <w:spacing w:line="600" w:lineRule="exact"/>
        <w:ind w:firstLine="636" w:firstLineChars="200"/>
        <w:jc w:val="left"/>
        <w:rPr>
          <w:rFonts w:ascii="Times New Roman" w:hAnsi="Times New Roman" w:eastAsia="仿宋_GB2312"/>
          <w:sz w:val="32"/>
          <w:szCs w:val="32"/>
        </w:rPr>
      </w:pPr>
      <w:r>
        <w:rPr>
          <w:rFonts w:ascii="Times New Roman" w:hAnsi="Times New Roman" w:eastAsia="仿宋_GB2312"/>
          <w:sz w:val="32"/>
          <w:szCs w:val="32"/>
        </w:rPr>
        <w:t>16、政府性基金预算支出分类汇总表（按政府预算经济分类）</w:t>
      </w:r>
    </w:p>
    <w:p>
      <w:pPr>
        <w:widowControl/>
        <w:spacing w:line="600" w:lineRule="exact"/>
        <w:ind w:firstLine="636" w:firstLineChars="200"/>
        <w:jc w:val="left"/>
        <w:rPr>
          <w:rFonts w:ascii="Times New Roman" w:hAnsi="Times New Roman" w:eastAsia="仿宋_GB2312"/>
          <w:sz w:val="32"/>
          <w:szCs w:val="32"/>
        </w:rPr>
      </w:pPr>
      <w:r>
        <w:rPr>
          <w:rFonts w:ascii="Times New Roman" w:hAnsi="Times New Roman" w:eastAsia="仿宋_GB2312"/>
          <w:sz w:val="32"/>
          <w:szCs w:val="32"/>
        </w:rPr>
        <w:t>17、政府性基金预算支出分类汇总表（按部门预算经济分类）</w:t>
      </w:r>
    </w:p>
    <w:p>
      <w:pPr>
        <w:widowControl/>
        <w:spacing w:line="600" w:lineRule="exact"/>
        <w:ind w:firstLine="636" w:firstLineChars="200"/>
        <w:jc w:val="left"/>
        <w:rPr>
          <w:rFonts w:ascii="Times New Roman" w:hAnsi="Times New Roman" w:eastAsia="仿宋_GB2312"/>
          <w:sz w:val="32"/>
          <w:szCs w:val="32"/>
        </w:rPr>
      </w:pPr>
      <w:r>
        <w:rPr>
          <w:rFonts w:ascii="Times New Roman" w:hAnsi="Times New Roman" w:eastAsia="仿宋_GB2312"/>
          <w:sz w:val="32"/>
          <w:szCs w:val="32"/>
        </w:rPr>
        <w:t>18、国有资本经营预算支出表</w:t>
      </w:r>
    </w:p>
    <w:p>
      <w:pPr>
        <w:widowControl/>
        <w:spacing w:line="600" w:lineRule="exact"/>
        <w:ind w:firstLine="636" w:firstLineChars="200"/>
        <w:jc w:val="left"/>
        <w:rPr>
          <w:rFonts w:ascii="Times New Roman" w:hAnsi="Times New Roman" w:eastAsia="仿宋_GB2312"/>
          <w:sz w:val="32"/>
          <w:szCs w:val="32"/>
        </w:rPr>
      </w:pPr>
      <w:r>
        <w:rPr>
          <w:rFonts w:ascii="Times New Roman" w:hAnsi="Times New Roman" w:eastAsia="仿宋_GB2312"/>
          <w:sz w:val="32"/>
          <w:szCs w:val="32"/>
        </w:rPr>
        <w:t>19、财政专户管理资金预算支出表</w:t>
      </w:r>
    </w:p>
    <w:p>
      <w:pPr>
        <w:widowControl/>
        <w:spacing w:line="600" w:lineRule="exact"/>
        <w:ind w:firstLine="636" w:firstLineChars="200"/>
        <w:jc w:val="left"/>
        <w:rPr>
          <w:rFonts w:ascii="Times New Roman" w:hAnsi="Times New Roman" w:eastAsia="仿宋_GB2312"/>
          <w:sz w:val="32"/>
          <w:szCs w:val="32"/>
        </w:rPr>
      </w:pPr>
      <w:r>
        <w:rPr>
          <w:rFonts w:ascii="Times New Roman" w:hAnsi="Times New Roman" w:eastAsia="仿宋_GB2312"/>
          <w:sz w:val="32"/>
          <w:szCs w:val="32"/>
        </w:rPr>
        <w:t>20、省级专项资金预算汇总表</w:t>
      </w:r>
    </w:p>
    <w:p>
      <w:pPr>
        <w:widowControl/>
        <w:spacing w:line="600" w:lineRule="exact"/>
        <w:ind w:firstLine="636" w:firstLineChars="200"/>
        <w:jc w:val="left"/>
        <w:rPr>
          <w:rFonts w:ascii="Times New Roman" w:hAnsi="Times New Roman" w:eastAsia="仿宋_GB2312"/>
          <w:sz w:val="32"/>
          <w:szCs w:val="32"/>
        </w:rPr>
      </w:pPr>
      <w:r>
        <w:rPr>
          <w:rFonts w:ascii="Times New Roman" w:hAnsi="Times New Roman" w:eastAsia="仿宋_GB2312"/>
          <w:sz w:val="32"/>
          <w:szCs w:val="32"/>
        </w:rPr>
        <w:t>21、省级专项资金绩效目标表</w:t>
      </w:r>
    </w:p>
    <w:p>
      <w:pPr>
        <w:widowControl/>
        <w:spacing w:line="600" w:lineRule="exact"/>
        <w:ind w:firstLine="636" w:firstLineChars="200"/>
        <w:jc w:val="left"/>
        <w:rPr>
          <w:rFonts w:ascii="Times New Roman" w:hAnsi="Times New Roman" w:eastAsia="仿宋_GB2312"/>
          <w:sz w:val="32"/>
          <w:szCs w:val="32"/>
        </w:rPr>
      </w:pPr>
      <w:r>
        <w:rPr>
          <w:rFonts w:ascii="Times New Roman" w:hAnsi="Times New Roman" w:eastAsia="仿宋_GB2312"/>
          <w:sz w:val="32"/>
          <w:szCs w:val="32"/>
        </w:rPr>
        <w:t>22、其他项目支出绩效目标表</w:t>
      </w:r>
    </w:p>
    <w:p>
      <w:pPr>
        <w:widowControl/>
        <w:spacing w:line="600" w:lineRule="exact"/>
        <w:ind w:firstLine="636" w:firstLineChars="200"/>
        <w:jc w:val="left"/>
        <w:rPr>
          <w:rFonts w:ascii="Times New Roman" w:hAnsi="Times New Roman" w:eastAsia="仿宋_GB2312"/>
          <w:sz w:val="32"/>
          <w:szCs w:val="32"/>
        </w:rPr>
      </w:pPr>
      <w:r>
        <w:rPr>
          <w:rFonts w:ascii="Times New Roman" w:hAnsi="Times New Roman" w:eastAsia="仿宋_GB2312"/>
          <w:sz w:val="32"/>
          <w:szCs w:val="32"/>
        </w:rPr>
        <w:t>23、部门整体支出绩效目标表</w:t>
      </w:r>
    </w:p>
    <w:p>
      <w:pPr>
        <w:widowControl/>
        <w:spacing w:line="600" w:lineRule="exact"/>
        <w:jc w:val="center"/>
        <w:rPr>
          <w:rFonts w:ascii="Times New Roman" w:hAnsi="Times New Roman" w:eastAsia="方正小标宋_GBK"/>
          <w:bCs/>
          <w:kern w:val="0"/>
          <w:sz w:val="36"/>
          <w:szCs w:val="36"/>
        </w:rPr>
      </w:pPr>
    </w:p>
    <w:p>
      <w:pPr>
        <w:widowControl/>
        <w:spacing w:line="600" w:lineRule="exact"/>
        <w:jc w:val="center"/>
        <w:rPr>
          <w:rFonts w:ascii="Times New Roman" w:hAnsi="Times New Roman" w:eastAsia="方正小标宋_GBK"/>
          <w:bCs/>
          <w:kern w:val="0"/>
          <w:sz w:val="36"/>
          <w:szCs w:val="36"/>
        </w:rPr>
      </w:pPr>
    </w:p>
    <w:p>
      <w:pPr>
        <w:widowControl/>
        <w:spacing w:line="600" w:lineRule="exact"/>
        <w:jc w:val="center"/>
        <w:rPr>
          <w:rFonts w:ascii="Times New Roman" w:hAnsi="Times New Roman" w:eastAsia="方正小标宋_GBK"/>
          <w:bCs/>
          <w:kern w:val="0"/>
          <w:sz w:val="36"/>
          <w:szCs w:val="36"/>
        </w:rPr>
      </w:pPr>
    </w:p>
    <w:p>
      <w:pPr>
        <w:widowControl/>
        <w:spacing w:line="600" w:lineRule="exact"/>
        <w:jc w:val="center"/>
        <w:rPr>
          <w:rFonts w:ascii="Times New Roman" w:hAnsi="Times New Roman" w:eastAsia="方正小标宋_GBK"/>
          <w:bCs/>
          <w:kern w:val="0"/>
          <w:sz w:val="36"/>
          <w:szCs w:val="36"/>
        </w:rPr>
      </w:pPr>
    </w:p>
    <w:p>
      <w:pPr>
        <w:widowControl/>
        <w:spacing w:line="600" w:lineRule="exact"/>
        <w:jc w:val="center"/>
        <w:rPr>
          <w:rFonts w:ascii="Times New Roman" w:hAnsi="Times New Roman" w:eastAsia="方正小标宋_GBK"/>
          <w:bCs/>
          <w:kern w:val="0"/>
          <w:sz w:val="36"/>
          <w:szCs w:val="36"/>
        </w:rPr>
      </w:pPr>
    </w:p>
    <w:p>
      <w:pPr>
        <w:widowControl/>
        <w:spacing w:line="600" w:lineRule="exact"/>
        <w:jc w:val="center"/>
        <w:rPr>
          <w:rFonts w:ascii="Times New Roman" w:hAnsi="Times New Roman" w:eastAsia="方正小标宋_GBK"/>
          <w:bCs/>
          <w:kern w:val="0"/>
          <w:sz w:val="36"/>
          <w:szCs w:val="36"/>
        </w:rPr>
      </w:pPr>
    </w:p>
    <w:p>
      <w:pPr>
        <w:widowControl/>
        <w:spacing w:line="600" w:lineRule="exact"/>
        <w:jc w:val="center"/>
        <w:rPr>
          <w:rFonts w:ascii="Times New Roman" w:hAnsi="Times New Roman" w:eastAsia="方正小标宋_GBK"/>
          <w:bCs/>
          <w:kern w:val="0"/>
          <w:sz w:val="36"/>
          <w:szCs w:val="36"/>
        </w:rPr>
      </w:pPr>
    </w:p>
    <w:p>
      <w:pPr>
        <w:widowControl/>
        <w:spacing w:line="600" w:lineRule="exact"/>
        <w:jc w:val="center"/>
        <w:rPr>
          <w:rFonts w:ascii="Times New Roman" w:hAnsi="Times New Roman" w:eastAsia="方正小标宋_GBK"/>
          <w:bCs/>
          <w:kern w:val="0"/>
          <w:sz w:val="36"/>
          <w:szCs w:val="36"/>
        </w:rPr>
      </w:pPr>
    </w:p>
    <w:p>
      <w:pPr>
        <w:widowControl/>
        <w:spacing w:line="600" w:lineRule="exact"/>
        <w:jc w:val="center"/>
        <w:rPr>
          <w:rFonts w:ascii="Times New Roman" w:hAnsi="Times New Roman" w:eastAsia="方正小标宋_GBK"/>
          <w:bCs/>
          <w:kern w:val="0"/>
          <w:sz w:val="36"/>
          <w:szCs w:val="36"/>
        </w:rPr>
      </w:pPr>
    </w:p>
    <w:p>
      <w:pPr>
        <w:widowControl/>
        <w:spacing w:line="600" w:lineRule="exact"/>
        <w:jc w:val="center"/>
        <w:rPr>
          <w:rFonts w:ascii="Times New Roman" w:hAnsi="Times New Roman" w:eastAsia="方正小标宋_GBK"/>
          <w:bCs/>
          <w:kern w:val="0"/>
          <w:sz w:val="36"/>
          <w:szCs w:val="36"/>
        </w:rPr>
      </w:pPr>
    </w:p>
    <w:p>
      <w:pPr>
        <w:widowControl/>
        <w:spacing w:line="600" w:lineRule="exact"/>
        <w:jc w:val="center"/>
        <w:rPr>
          <w:rFonts w:ascii="Times New Roman" w:hAnsi="Times New Roman" w:eastAsia="方正小标宋_GBK"/>
          <w:bCs/>
          <w:kern w:val="0"/>
          <w:sz w:val="36"/>
          <w:szCs w:val="36"/>
        </w:rPr>
      </w:pPr>
      <w:r>
        <w:rPr>
          <w:rFonts w:ascii="Times New Roman" w:hAnsi="Times New Roman" w:eastAsia="方正小标宋_GBK"/>
          <w:bCs/>
          <w:kern w:val="0"/>
          <w:sz w:val="36"/>
          <w:szCs w:val="36"/>
        </w:rPr>
        <w:t xml:space="preserve">第一部分 </w:t>
      </w:r>
      <w:r>
        <w:rPr>
          <w:rFonts w:hint="eastAsia" w:ascii="Times New Roman" w:hAnsi="Times New Roman" w:eastAsia="方正小标宋_GBK"/>
          <w:bCs/>
          <w:kern w:val="0"/>
          <w:sz w:val="36"/>
          <w:szCs w:val="36"/>
        </w:rPr>
        <w:t>2025</w:t>
      </w:r>
      <w:r>
        <w:rPr>
          <w:rFonts w:ascii="Times New Roman" w:hAnsi="Times New Roman" w:eastAsia="方正小标宋_GBK"/>
          <w:bCs/>
          <w:kern w:val="0"/>
          <w:sz w:val="36"/>
          <w:szCs w:val="36"/>
        </w:rPr>
        <w:t>年单位预算说明</w:t>
      </w:r>
    </w:p>
    <w:p>
      <w:pPr>
        <w:widowControl/>
        <w:spacing w:line="600" w:lineRule="exact"/>
        <w:jc w:val="left"/>
        <w:rPr>
          <w:rFonts w:ascii="Times New Roman" w:hAnsi="Times New Roman" w:eastAsia="仿宋_GB2312"/>
          <w:b/>
          <w:bCs/>
          <w:kern w:val="0"/>
          <w:sz w:val="32"/>
          <w:szCs w:val="32"/>
        </w:rPr>
      </w:pPr>
    </w:p>
    <w:p>
      <w:pPr>
        <w:spacing w:line="600" w:lineRule="exact"/>
        <w:ind w:firstLine="636" w:firstLineChars="200"/>
        <w:jc w:val="left"/>
        <w:rPr>
          <w:rFonts w:ascii="Times New Roman" w:hAnsi="Times New Roman" w:eastAsia="黑体"/>
          <w:bCs/>
          <w:kern w:val="0"/>
          <w:sz w:val="32"/>
          <w:szCs w:val="32"/>
        </w:rPr>
      </w:pPr>
      <w:r>
        <w:rPr>
          <w:rFonts w:ascii="Times New Roman" w:hAnsi="Times New Roman" w:eastAsia="黑体"/>
          <w:bCs/>
          <w:kern w:val="0"/>
          <w:sz w:val="32"/>
          <w:szCs w:val="32"/>
        </w:rPr>
        <w:t>一、单位基本概况</w:t>
      </w:r>
    </w:p>
    <w:p>
      <w:pPr>
        <w:spacing w:line="600" w:lineRule="exact"/>
        <w:ind w:firstLine="636" w:firstLineChars="200"/>
        <w:jc w:val="left"/>
        <w:rPr>
          <w:rFonts w:ascii="Times New Roman" w:hAnsi="Times New Roman" w:eastAsia="楷体_GB2312"/>
          <w:b/>
          <w:sz w:val="32"/>
          <w:szCs w:val="32"/>
        </w:rPr>
      </w:pPr>
      <w:r>
        <w:rPr>
          <w:rFonts w:ascii="Times New Roman" w:hAnsi="Times New Roman" w:eastAsia="楷体_GB2312"/>
          <w:b/>
          <w:sz w:val="32"/>
          <w:szCs w:val="32"/>
        </w:rPr>
        <w:t>（一）职能职责。</w:t>
      </w:r>
    </w:p>
    <w:p>
      <w:pPr>
        <w:snapToGrid w:val="0"/>
        <w:spacing w:line="600" w:lineRule="exact"/>
        <w:ind w:firstLine="636" w:firstLineChars="200"/>
        <w:rPr>
          <w:rFonts w:eastAsia="仿宋_GB2312"/>
          <w:sz w:val="32"/>
          <w:szCs w:val="32"/>
        </w:rPr>
      </w:pPr>
      <w:r>
        <w:rPr>
          <w:rFonts w:hint="eastAsia" w:eastAsia="仿宋_GB2312"/>
          <w:sz w:val="32"/>
          <w:szCs w:val="32"/>
        </w:rPr>
        <w:t>湖南省农业对外经济合作中心</w:t>
      </w:r>
      <w:r>
        <w:rPr>
          <w:rFonts w:eastAsia="仿宋_GB2312"/>
          <w:sz w:val="32"/>
          <w:szCs w:val="32"/>
        </w:rPr>
        <w:t>为湖南省农业农村厅直属机构</w:t>
      </w:r>
      <w:r>
        <w:rPr>
          <w:rFonts w:hint="eastAsia" w:eastAsia="仿宋_GB2312"/>
          <w:sz w:val="32"/>
          <w:szCs w:val="32"/>
        </w:rPr>
        <w:t>，为公益一类正处级事业单位。</w:t>
      </w:r>
    </w:p>
    <w:p>
      <w:pPr>
        <w:snapToGrid w:val="0"/>
        <w:spacing w:line="600" w:lineRule="exact"/>
        <w:ind w:firstLine="636" w:firstLineChars="200"/>
        <w:rPr>
          <w:rFonts w:eastAsia="仿宋_GB2312"/>
          <w:sz w:val="32"/>
          <w:szCs w:val="32"/>
        </w:rPr>
      </w:pPr>
      <w:r>
        <w:rPr>
          <w:rFonts w:hint="eastAsia" w:ascii="Times New Roman" w:hAnsi="Times New Roman" w:eastAsia="仿宋_GB2312"/>
          <w:sz w:val="32"/>
          <w:szCs w:val="32"/>
        </w:rPr>
        <w:t>湖南</w:t>
      </w:r>
      <w:r>
        <w:rPr>
          <w:rFonts w:hint="eastAsia" w:eastAsia="仿宋_GB2312"/>
          <w:sz w:val="32"/>
          <w:szCs w:val="32"/>
        </w:rPr>
        <w:t>省农业对外经济合作中心作为农业农村部三中心（即农业农村部对外经济合作中心、农业贸易促进中心、国际交流服务中心）在湖南省级的业务承担对口单位，服从农业农村部“全国一盘棋”的工作指导，承接国家管理的农业援外项目实施，开展与国际金融组织农业项目合作；开展境内外农产品贸易促进活动和产业损害调查；承担农业涉外培训和农业援外专家派遣。同时，受湖南省农业农村厅委托，为省里重大外事活动提供支撑服务。主要职责是：</w:t>
      </w:r>
    </w:p>
    <w:p>
      <w:pPr>
        <w:snapToGrid w:val="0"/>
        <w:spacing w:line="600" w:lineRule="exact"/>
        <w:ind w:firstLine="636" w:firstLineChars="200"/>
        <w:rPr>
          <w:rFonts w:eastAsia="仿宋_GB2312"/>
          <w:sz w:val="32"/>
          <w:szCs w:val="32"/>
        </w:rPr>
      </w:pPr>
      <w:r>
        <w:rPr>
          <w:rFonts w:hint="eastAsia" w:eastAsia="仿宋_GB2312"/>
          <w:sz w:val="32"/>
          <w:szCs w:val="32"/>
        </w:rPr>
        <w:t>（1）受委托负责管理农业利用外资项目和农业对外援助项目，承办项目的编制申报、前期论证考察、组织实施等工作。</w:t>
      </w:r>
    </w:p>
    <w:p>
      <w:pPr>
        <w:snapToGrid w:val="0"/>
        <w:spacing w:line="600" w:lineRule="exact"/>
        <w:ind w:firstLine="636" w:firstLineChars="200"/>
        <w:rPr>
          <w:rFonts w:eastAsia="仿宋_GB2312"/>
          <w:sz w:val="32"/>
          <w:szCs w:val="32"/>
        </w:rPr>
      </w:pPr>
      <w:r>
        <w:rPr>
          <w:rFonts w:hint="eastAsia" w:eastAsia="仿宋_GB2312"/>
          <w:sz w:val="32"/>
          <w:szCs w:val="32"/>
        </w:rPr>
        <w:t>（2）承担农业对外经济交流合作服务。</w:t>
      </w:r>
    </w:p>
    <w:p>
      <w:pPr>
        <w:snapToGrid w:val="0"/>
        <w:spacing w:line="600" w:lineRule="exact"/>
        <w:ind w:firstLine="636" w:firstLineChars="200"/>
        <w:rPr>
          <w:rFonts w:eastAsia="仿宋_GB2312"/>
          <w:sz w:val="32"/>
          <w:szCs w:val="32"/>
        </w:rPr>
      </w:pPr>
      <w:r>
        <w:rPr>
          <w:rFonts w:hint="eastAsia" w:eastAsia="仿宋_GB2312"/>
          <w:sz w:val="32"/>
          <w:szCs w:val="32"/>
        </w:rPr>
        <w:t>（3）承担农业援外专家的选派、培训和服务工作。</w:t>
      </w:r>
    </w:p>
    <w:p>
      <w:pPr>
        <w:snapToGrid w:val="0"/>
        <w:spacing w:line="600" w:lineRule="exact"/>
        <w:ind w:firstLine="636" w:firstLineChars="200"/>
        <w:rPr>
          <w:rFonts w:eastAsia="仿宋_GB2312"/>
          <w:sz w:val="32"/>
          <w:szCs w:val="32"/>
        </w:rPr>
      </w:pPr>
      <w:r>
        <w:rPr>
          <w:rFonts w:hint="eastAsia" w:eastAsia="仿宋_GB2312"/>
          <w:sz w:val="32"/>
          <w:szCs w:val="32"/>
        </w:rPr>
        <w:t>（4）承担农业涉外培训的组织、协调和服务工作。</w:t>
      </w:r>
    </w:p>
    <w:p>
      <w:pPr>
        <w:snapToGrid w:val="0"/>
        <w:spacing w:line="600" w:lineRule="exact"/>
        <w:ind w:firstLine="636" w:firstLineChars="200"/>
        <w:rPr>
          <w:rFonts w:eastAsia="仿宋_GB2312"/>
          <w:sz w:val="32"/>
          <w:szCs w:val="32"/>
        </w:rPr>
      </w:pPr>
      <w:r>
        <w:rPr>
          <w:rFonts w:hint="eastAsia" w:eastAsia="仿宋_GB2312"/>
          <w:sz w:val="32"/>
          <w:szCs w:val="32"/>
        </w:rPr>
        <w:t>（5）协助组织农业系统科技、管理和经营人员出国考察任务。</w:t>
      </w:r>
    </w:p>
    <w:p>
      <w:pPr>
        <w:snapToGrid w:val="0"/>
        <w:spacing w:line="600" w:lineRule="exact"/>
        <w:ind w:firstLine="636" w:firstLineChars="200"/>
        <w:rPr>
          <w:rFonts w:eastAsia="仿宋_GB2312"/>
          <w:sz w:val="32"/>
          <w:szCs w:val="32"/>
        </w:rPr>
      </w:pPr>
      <w:r>
        <w:rPr>
          <w:rFonts w:hint="eastAsia" w:eastAsia="仿宋_GB2312"/>
          <w:sz w:val="32"/>
          <w:szCs w:val="32"/>
        </w:rPr>
        <w:t>（6）承担有关农业国际合作的信息咨询。</w:t>
      </w:r>
    </w:p>
    <w:p>
      <w:pPr>
        <w:snapToGrid w:val="0"/>
        <w:spacing w:line="600" w:lineRule="exact"/>
        <w:ind w:firstLine="636" w:firstLineChars="200"/>
        <w:rPr>
          <w:rFonts w:eastAsia="仿宋_GB2312"/>
          <w:sz w:val="32"/>
          <w:szCs w:val="32"/>
        </w:rPr>
      </w:pPr>
      <w:r>
        <w:rPr>
          <w:rFonts w:hint="eastAsia" w:eastAsia="仿宋_GB2312"/>
          <w:sz w:val="32"/>
          <w:szCs w:val="32"/>
        </w:rPr>
        <w:t>（7）承担农产品贸易促进相关工作。</w:t>
      </w:r>
    </w:p>
    <w:p>
      <w:pPr>
        <w:snapToGrid w:val="0"/>
        <w:spacing w:line="600" w:lineRule="exact"/>
        <w:ind w:firstLine="636" w:firstLineChars="200"/>
        <w:rPr>
          <w:rFonts w:eastAsia="仿宋_GB2312"/>
          <w:sz w:val="32"/>
          <w:szCs w:val="32"/>
        </w:rPr>
      </w:pPr>
      <w:r>
        <w:rPr>
          <w:rFonts w:hint="eastAsia" w:eastAsia="仿宋_GB2312"/>
          <w:sz w:val="32"/>
          <w:szCs w:val="32"/>
        </w:rPr>
        <w:t>（8）湖南省农业农村厅党组交办的其他工作。</w:t>
      </w:r>
    </w:p>
    <w:p>
      <w:pPr>
        <w:widowControl/>
        <w:spacing w:line="600" w:lineRule="exact"/>
        <w:ind w:firstLine="624" w:firstLineChars="196"/>
        <w:jc w:val="left"/>
        <w:rPr>
          <w:rFonts w:eastAsia="楷体_GB2312"/>
          <w:b/>
          <w:sz w:val="32"/>
          <w:szCs w:val="32"/>
        </w:rPr>
      </w:pPr>
      <w:r>
        <w:rPr>
          <w:rFonts w:eastAsia="楷体_GB2312"/>
          <w:b/>
          <w:sz w:val="32"/>
          <w:szCs w:val="32"/>
        </w:rPr>
        <w:t>（二）机构设置。</w:t>
      </w:r>
    </w:p>
    <w:p>
      <w:pPr>
        <w:widowControl/>
        <w:spacing w:line="600" w:lineRule="exact"/>
        <w:ind w:firstLine="624" w:firstLineChars="196"/>
        <w:jc w:val="left"/>
        <w:rPr>
          <w:rFonts w:eastAsia="仿宋_GB2312"/>
          <w:sz w:val="32"/>
          <w:szCs w:val="32"/>
        </w:rPr>
      </w:pPr>
      <w:r>
        <w:rPr>
          <w:rFonts w:hint="eastAsia" w:ascii="Times New Roman" w:hAnsi="Times New Roman" w:eastAsia="仿宋_GB2312"/>
          <w:sz w:val="32"/>
          <w:szCs w:val="32"/>
        </w:rPr>
        <w:t>湖南</w:t>
      </w:r>
      <w:r>
        <w:rPr>
          <w:rFonts w:hint="eastAsia" w:eastAsia="仿宋_GB2312"/>
          <w:sz w:val="32"/>
          <w:szCs w:val="32"/>
        </w:rPr>
        <w:t>省农业对外经济合作中心设有综合科、财务科、外资利用科、海外项目科、贸易促进科、交流服务科。</w:t>
      </w:r>
    </w:p>
    <w:p>
      <w:pPr>
        <w:spacing w:line="600" w:lineRule="exact"/>
        <w:ind w:firstLine="636" w:firstLineChars="200"/>
        <w:jc w:val="left"/>
        <w:rPr>
          <w:rFonts w:ascii="Times New Roman" w:hAnsi="Times New Roman" w:eastAsia="黑体"/>
          <w:bCs/>
          <w:kern w:val="0"/>
          <w:sz w:val="32"/>
          <w:szCs w:val="32"/>
        </w:rPr>
      </w:pPr>
      <w:r>
        <w:rPr>
          <w:rFonts w:hint="eastAsia" w:ascii="Times New Roman" w:hAnsi="Times New Roman" w:eastAsia="黑体"/>
          <w:bCs/>
          <w:kern w:val="0"/>
          <w:sz w:val="32"/>
          <w:szCs w:val="32"/>
        </w:rPr>
        <w:t>二、预算单位构成</w:t>
      </w:r>
    </w:p>
    <w:p>
      <w:pPr>
        <w:spacing w:line="600" w:lineRule="exact"/>
        <w:ind w:firstLine="636" w:firstLineChars="200"/>
        <w:rPr>
          <w:rFonts w:ascii="Times New Roman" w:hAnsi="Times New Roman" w:eastAsia="黑体"/>
          <w:bCs/>
          <w:kern w:val="0"/>
          <w:sz w:val="32"/>
          <w:szCs w:val="32"/>
        </w:rPr>
      </w:pPr>
      <w:r>
        <w:rPr>
          <w:rFonts w:hint="eastAsia" w:ascii="Times New Roman" w:hAnsi="Times New Roman" w:eastAsia="仿宋_GB2312"/>
          <w:sz w:val="32"/>
          <w:szCs w:val="32"/>
        </w:rPr>
        <w:t>湖南省农业对外经济合作中心无下属</w:t>
      </w:r>
      <w:r>
        <w:rPr>
          <w:rFonts w:ascii="Times New Roman" w:hAnsi="Times New Roman" w:eastAsia="仿宋_GB2312"/>
          <w:sz w:val="32"/>
          <w:szCs w:val="32"/>
        </w:rPr>
        <w:t>预算单位。</w:t>
      </w:r>
    </w:p>
    <w:p>
      <w:pPr>
        <w:spacing w:line="600" w:lineRule="exact"/>
        <w:ind w:firstLine="636" w:firstLineChars="200"/>
        <w:jc w:val="left"/>
        <w:rPr>
          <w:rFonts w:ascii="Times New Roman" w:hAnsi="Times New Roman" w:eastAsia="黑体"/>
          <w:bCs/>
          <w:kern w:val="0"/>
          <w:sz w:val="32"/>
          <w:szCs w:val="32"/>
        </w:rPr>
      </w:pPr>
      <w:r>
        <w:rPr>
          <w:rFonts w:hint="eastAsia" w:ascii="Times New Roman" w:hAnsi="Times New Roman" w:eastAsia="黑体"/>
          <w:bCs/>
          <w:kern w:val="0"/>
          <w:sz w:val="32"/>
          <w:szCs w:val="32"/>
        </w:rPr>
        <w:t>三</w:t>
      </w:r>
      <w:r>
        <w:rPr>
          <w:rFonts w:ascii="Times New Roman" w:hAnsi="Times New Roman" w:eastAsia="黑体"/>
          <w:bCs/>
          <w:kern w:val="0"/>
          <w:sz w:val="32"/>
          <w:szCs w:val="32"/>
        </w:rPr>
        <w:t>、单位收支总体情况</w:t>
      </w:r>
    </w:p>
    <w:p>
      <w:pPr>
        <w:spacing w:line="600" w:lineRule="exact"/>
        <w:ind w:firstLine="636" w:firstLineChars="200"/>
        <w:rPr>
          <w:rFonts w:ascii="Times New Roman" w:hAnsi="Times New Roman" w:eastAsia="仿宋_GB2312"/>
          <w:bCs/>
          <w:sz w:val="32"/>
          <w:szCs w:val="32"/>
        </w:rPr>
      </w:pPr>
      <w:r>
        <w:rPr>
          <w:rFonts w:ascii="Times New Roman" w:hAnsi="Times New Roman" w:eastAsia="楷体_GB2312"/>
          <w:b/>
          <w:sz w:val="32"/>
          <w:szCs w:val="32"/>
        </w:rPr>
        <w:t>（一）收入预算：</w:t>
      </w:r>
      <w:r>
        <w:rPr>
          <w:rFonts w:ascii="Times New Roman" w:hAnsi="Times New Roman" w:eastAsia="仿宋_GB2312"/>
          <w:sz w:val="32"/>
          <w:szCs w:val="32"/>
        </w:rPr>
        <w:t>包括一般公共预算、政府性基金、国有资本经营预算等财政拨款收入，以及经营收入、事业收入等单位资金。</w:t>
      </w:r>
      <w:r>
        <w:rPr>
          <w:rFonts w:hint="eastAsia" w:ascii="Times New Roman" w:hAnsi="Times New Roman" w:eastAsia="仿宋_GB2312"/>
          <w:sz w:val="32"/>
          <w:szCs w:val="32"/>
        </w:rPr>
        <w:t>2025</w:t>
      </w:r>
      <w:r>
        <w:rPr>
          <w:rFonts w:ascii="Times New Roman" w:hAnsi="Times New Roman" w:eastAsia="仿宋_GB2312"/>
          <w:sz w:val="32"/>
          <w:szCs w:val="32"/>
        </w:rPr>
        <w:t>年本单位收入预算</w:t>
      </w:r>
      <w:r>
        <w:rPr>
          <w:rFonts w:hint="eastAsia" w:ascii="Times New Roman" w:hAnsi="Times New Roman" w:eastAsia="仿宋_GB2312"/>
          <w:sz w:val="32"/>
          <w:szCs w:val="32"/>
        </w:rPr>
        <w:t>788.80</w:t>
      </w:r>
      <w:r>
        <w:rPr>
          <w:rFonts w:ascii="Times New Roman" w:hAnsi="Times New Roman" w:eastAsia="仿宋_GB2312"/>
          <w:sz w:val="32"/>
          <w:szCs w:val="32"/>
        </w:rPr>
        <w:t>万元，其中，一般公共预算拨款</w:t>
      </w:r>
      <w:r>
        <w:rPr>
          <w:rFonts w:hint="eastAsia" w:ascii="Times New Roman" w:hAnsi="Times New Roman" w:eastAsia="仿宋_GB2312"/>
          <w:sz w:val="32"/>
          <w:szCs w:val="32"/>
        </w:rPr>
        <w:t>584.73</w:t>
      </w:r>
      <w:r>
        <w:rPr>
          <w:rFonts w:ascii="Times New Roman" w:hAnsi="Times New Roman" w:eastAsia="仿宋_GB2312"/>
          <w:sz w:val="32"/>
          <w:szCs w:val="32"/>
        </w:rPr>
        <w:t>万元，政府性基金预算拨款</w:t>
      </w:r>
      <w:r>
        <w:rPr>
          <w:rFonts w:hint="eastAsia" w:ascii="Times New Roman" w:hAnsi="Times New Roman" w:eastAsia="仿宋_GB2312"/>
          <w:sz w:val="32"/>
          <w:szCs w:val="32"/>
        </w:rPr>
        <w:t>0</w:t>
      </w:r>
      <w:r>
        <w:rPr>
          <w:rFonts w:ascii="Times New Roman" w:hAnsi="Times New Roman" w:eastAsia="仿宋_GB2312"/>
          <w:sz w:val="32"/>
          <w:szCs w:val="32"/>
        </w:rPr>
        <w:t>万元，国有资本经营预算拨款</w:t>
      </w:r>
      <w:r>
        <w:rPr>
          <w:rFonts w:hint="eastAsia" w:ascii="Times New Roman" w:hAnsi="Times New Roman" w:eastAsia="仿宋_GB2312"/>
          <w:sz w:val="32"/>
          <w:szCs w:val="32"/>
        </w:rPr>
        <w:t>0</w:t>
      </w:r>
      <w:r>
        <w:rPr>
          <w:rFonts w:ascii="Times New Roman" w:hAnsi="Times New Roman" w:eastAsia="仿宋_GB2312"/>
          <w:sz w:val="32"/>
          <w:szCs w:val="32"/>
        </w:rPr>
        <w:t>万元，纳入专户管理的非税收入   万</w:t>
      </w:r>
      <w:r>
        <w:rPr>
          <w:rFonts w:hint="eastAsia" w:ascii="Times New Roman" w:hAnsi="Times New Roman" w:eastAsia="仿宋_GB2312"/>
          <w:sz w:val="32"/>
          <w:szCs w:val="32"/>
        </w:rPr>
        <w:t>0</w:t>
      </w:r>
      <w:r>
        <w:rPr>
          <w:rFonts w:ascii="Times New Roman" w:hAnsi="Times New Roman" w:eastAsia="仿宋_GB2312"/>
          <w:sz w:val="32"/>
          <w:szCs w:val="32"/>
        </w:rPr>
        <w:t>元，</w:t>
      </w:r>
      <w:r>
        <w:rPr>
          <w:rFonts w:hint="eastAsia" w:ascii="Times New Roman" w:hAnsi="Times New Roman" w:eastAsia="仿宋_GB2312"/>
          <w:sz w:val="32"/>
          <w:szCs w:val="32"/>
        </w:rPr>
        <w:t>其他收入4.00万元，上年结转结余200.07</w:t>
      </w:r>
      <w:r>
        <w:rPr>
          <w:rFonts w:ascii="Times New Roman" w:hAnsi="Times New Roman" w:eastAsia="仿宋_GB2312"/>
          <w:sz w:val="32"/>
          <w:szCs w:val="32"/>
        </w:rPr>
        <w:t>。</w:t>
      </w:r>
      <w:r>
        <w:rPr>
          <w:rFonts w:ascii="Times New Roman" w:hAnsi="Times New Roman" w:eastAsia="仿宋_GB2312"/>
          <w:bCs/>
          <w:sz w:val="32"/>
          <w:szCs w:val="32"/>
        </w:rPr>
        <w:t>收入较去年增加</w:t>
      </w:r>
      <w:r>
        <w:rPr>
          <w:rFonts w:hint="eastAsia" w:ascii="Times New Roman" w:hAnsi="Times New Roman" w:eastAsia="仿宋_GB2312"/>
          <w:bCs/>
          <w:sz w:val="32"/>
          <w:szCs w:val="32"/>
        </w:rPr>
        <w:t>102.29</w:t>
      </w:r>
      <w:r>
        <w:rPr>
          <w:rFonts w:ascii="Times New Roman" w:hAnsi="Times New Roman" w:eastAsia="仿宋_GB2312"/>
          <w:bCs/>
          <w:sz w:val="32"/>
          <w:szCs w:val="32"/>
        </w:rPr>
        <w:t>万元，主要是</w:t>
      </w:r>
      <w:r>
        <w:rPr>
          <w:rFonts w:hint="eastAsia" w:ascii="Times New Roman" w:hAnsi="Times New Roman" w:eastAsia="仿宋_GB2312"/>
          <w:bCs/>
          <w:sz w:val="32"/>
          <w:szCs w:val="32"/>
        </w:rPr>
        <w:t>上年结转结余增加</w:t>
      </w:r>
      <w:r>
        <w:rPr>
          <w:rFonts w:ascii="Times New Roman" w:hAnsi="Times New Roman" w:eastAsia="仿宋_GB2312"/>
          <w:bCs/>
          <w:sz w:val="32"/>
          <w:szCs w:val="32"/>
        </w:rPr>
        <w:t>。</w:t>
      </w:r>
    </w:p>
    <w:p>
      <w:pPr>
        <w:spacing w:line="600" w:lineRule="exact"/>
        <w:ind w:firstLine="636" w:firstLineChars="200"/>
        <w:rPr>
          <w:rFonts w:ascii="Times New Roman" w:hAnsi="Times New Roman" w:eastAsia="仿宋_GB2312"/>
          <w:bCs/>
          <w:sz w:val="32"/>
          <w:szCs w:val="32"/>
        </w:rPr>
      </w:pPr>
      <w:r>
        <w:rPr>
          <w:rFonts w:ascii="Times New Roman" w:hAnsi="Times New Roman" w:eastAsia="楷体_GB2312"/>
          <w:b/>
          <w:sz w:val="32"/>
          <w:szCs w:val="32"/>
        </w:rPr>
        <w:t>（二）支出预算：</w:t>
      </w:r>
      <w:r>
        <w:rPr>
          <w:rFonts w:hint="eastAsia" w:ascii="Times New Roman" w:hAnsi="Times New Roman" w:eastAsia="仿宋_GB2312"/>
          <w:sz w:val="32"/>
          <w:szCs w:val="32"/>
        </w:rPr>
        <w:t>2025</w:t>
      </w:r>
      <w:r>
        <w:rPr>
          <w:rFonts w:ascii="Times New Roman" w:hAnsi="Times New Roman" w:eastAsia="仿宋_GB2312"/>
          <w:sz w:val="32"/>
          <w:szCs w:val="32"/>
        </w:rPr>
        <w:t>年本单位支出预算</w:t>
      </w:r>
      <w:r>
        <w:rPr>
          <w:rFonts w:hint="eastAsia" w:ascii="Times New Roman" w:hAnsi="Times New Roman" w:eastAsia="仿宋_GB2312"/>
          <w:sz w:val="32"/>
          <w:szCs w:val="32"/>
        </w:rPr>
        <w:t>788.80</w:t>
      </w:r>
      <w:r>
        <w:rPr>
          <w:rFonts w:ascii="Times New Roman" w:hAnsi="Times New Roman" w:eastAsia="仿宋_GB2312"/>
          <w:sz w:val="32"/>
          <w:szCs w:val="32"/>
        </w:rPr>
        <w:t>万元，其中，一般公共服务</w:t>
      </w:r>
      <w:r>
        <w:rPr>
          <w:rFonts w:hint="eastAsia" w:ascii="Times New Roman" w:hAnsi="Times New Roman" w:eastAsia="仿宋_GB2312"/>
          <w:sz w:val="32"/>
          <w:szCs w:val="32"/>
        </w:rPr>
        <w:t>49.65</w:t>
      </w:r>
      <w:r>
        <w:rPr>
          <w:rFonts w:ascii="Times New Roman" w:hAnsi="Times New Roman" w:eastAsia="仿宋_GB2312"/>
          <w:sz w:val="32"/>
          <w:szCs w:val="32"/>
        </w:rPr>
        <w:t>万元，</w:t>
      </w:r>
      <w:r>
        <w:rPr>
          <w:rFonts w:hint="eastAsia" w:ascii="Times New Roman" w:hAnsi="Times New Roman" w:eastAsia="仿宋_GB2312"/>
          <w:sz w:val="32"/>
          <w:szCs w:val="32"/>
        </w:rPr>
        <w:t>社会保障和就业85.70</w:t>
      </w:r>
      <w:r>
        <w:rPr>
          <w:rFonts w:ascii="Times New Roman" w:hAnsi="Times New Roman" w:eastAsia="仿宋_GB2312"/>
          <w:sz w:val="32"/>
          <w:szCs w:val="32"/>
        </w:rPr>
        <w:t>万元，</w:t>
      </w:r>
      <w:r>
        <w:rPr>
          <w:rFonts w:hint="eastAsia" w:ascii="Times New Roman" w:hAnsi="Times New Roman" w:eastAsia="仿宋_GB2312"/>
          <w:sz w:val="32"/>
          <w:szCs w:val="32"/>
        </w:rPr>
        <w:t>卫生健康25.75万元，农林水575.73万元，商业服务业29.67</w:t>
      </w:r>
      <w:r>
        <w:rPr>
          <w:rFonts w:ascii="Times New Roman" w:hAnsi="Times New Roman" w:eastAsia="仿宋_GB2312"/>
          <w:sz w:val="32"/>
          <w:szCs w:val="32"/>
        </w:rPr>
        <w:t>万元，</w:t>
      </w:r>
      <w:r>
        <w:rPr>
          <w:rFonts w:hint="eastAsia" w:ascii="Times New Roman" w:hAnsi="Times New Roman" w:eastAsia="仿宋_GB2312"/>
          <w:sz w:val="32"/>
          <w:szCs w:val="32"/>
        </w:rPr>
        <w:t>住房保障22.30</w:t>
      </w:r>
      <w:r>
        <w:rPr>
          <w:rFonts w:ascii="Times New Roman" w:hAnsi="Times New Roman" w:eastAsia="仿宋_GB2312"/>
          <w:sz w:val="32"/>
          <w:szCs w:val="32"/>
        </w:rPr>
        <w:t>万元。</w:t>
      </w:r>
      <w:r>
        <w:rPr>
          <w:rFonts w:ascii="Times New Roman" w:hAnsi="Times New Roman" w:eastAsia="仿宋_GB2312"/>
          <w:bCs/>
          <w:sz w:val="32"/>
          <w:szCs w:val="32"/>
        </w:rPr>
        <w:t>支出较去年增加</w:t>
      </w:r>
      <w:r>
        <w:rPr>
          <w:rFonts w:hint="eastAsia" w:ascii="Times New Roman" w:hAnsi="Times New Roman" w:eastAsia="仿宋_GB2312"/>
          <w:bCs/>
          <w:sz w:val="32"/>
          <w:szCs w:val="32"/>
        </w:rPr>
        <w:t>102.29</w:t>
      </w:r>
      <w:r>
        <w:rPr>
          <w:rFonts w:ascii="Times New Roman" w:hAnsi="Times New Roman" w:eastAsia="仿宋_GB2312"/>
          <w:bCs/>
          <w:sz w:val="32"/>
          <w:szCs w:val="32"/>
        </w:rPr>
        <w:t>万元，主要是</w:t>
      </w:r>
      <w:r>
        <w:rPr>
          <w:rFonts w:hint="eastAsia" w:ascii="Times New Roman" w:hAnsi="Times New Roman" w:eastAsia="仿宋_GB2312"/>
          <w:bCs/>
          <w:color w:val="auto"/>
          <w:sz w:val="32"/>
          <w:szCs w:val="32"/>
        </w:rPr>
        <w:t>上年结转结余增加</w:t>
      </w:r>
      <w:r>
        <w:rPr>
          <w:rFonts w:ascii="Times New Roman" w:hAnsi="Times New Roman" w:eastAsia="仿宋_GB2312"/>
          <w:bCs/>
          <w:color w:val="000000" w:themeColor="text1"/>
          <w:sz w:val="32"/>
          <w:szCs w:val="32"/>
          <w14:textFill>
            <w14:solidFill>
              <w14:schemeClr w14:val="tx1"/>
            </w14:solidFill>
          </w14:textFill>
        </w:rPr>
        <w:t>。</w:t>
      </w:r>
    </w:p>
    <w:p>
      <w:pPr>
        <w:spacing w:line="600" w:lineRule="exact"/>
        <w:ind w:firstLine="636" w:firstLineChars="200"/>
        <w:jc w:val="left"/>
        <w:rPr>
          <w:rFonts w:ascii="Times New Roman" w:hAnsi="Times New Roman" w:eastAsia="黑体"/>
          <w:sz w:val="32"/>
          <w:szCs w:val="32"/>
        </w:rPr>
      </w:pPr>
      <w:r>
        <w:rPr>
          <w:rFonts w:hint="eastAsia" w:ascii="Times New Roman" w:hAnsi="Times New Roman" w:eastAsia="黑体"/>
          <w:sz w:val="32"/>
          <w:szCs w:val="32"/>
        </w:rPr>
        <w:t>四</w:t>
      </w:r>
      <w:r>
        <w:rPr>
          <w:rFonts w:ascii="Times New Roman" w:hAnsi="Times New Roman" w:eastAsia="黑体"/>
          <w:sz w:val="32"/>
          <w:szCs w:val="32"/>
        </w:rPr>
        <w:t>、一般公共预算拨款支出</w:t>
      </w:r>
    </w:p>
    <w:p>
      <w:pPr>
        <w:spacing w:line="600" w:lineRule="exact"/>
        <w:ind w:firstLine="636" w:firstLineChars="200"/>
        <w:jc w:val="left"/>
        <w:rPr>
          <w:rFonts w:ascii="Times New Roman" w:hAnsi="Times New Roman" w:eastAsia="黑体"/>
          <w:sz w:val="32"/>
          <w:szCs w:val="32"/>
        </w:rPr>
      </w:pPr>
      <w:r>
        <w:rPr>
          <w:rFonts w:hint="eastAsia" w:ascii="Times New Roman" w:hAnsi="Times New Roman" w:eastAsia="仿宋_GB2312"/>
          <w:sz w:val="32"/>
          <w:szCs w:val="32"/>
        </w:rPr>
        <w:t>2025</w:t>
      </w:r>
      <w:r>
        <w:rPr>
          <w:rFonts w:ascii="Times New Roman" w:hAnsi="Times New Roman" w:eastAsia="仿宋_GB2312"/>
          <w:sz w:val="32"/>
          <w:szCs w:val="32"/>
        </w:rPr>
        <w:t>年本单位一般公共预算拨款支出预算</w:t>
      </w:r>
      <w:r>
        <w:rPr>
          <w:rFonts w:hint="eastAsia" w:ascii="Times New Roman" w:hAnsi="Times New Roman" w:eastAsia="仿宋_GB2312"/>
          <w:sz w:val="32"/>
          <w:szCs w:val="32"/>
        </w:rPr>
        <w:t>784.80</w:t>
      </w:r>
      <w:r>
        <w:rPr>
          <w:rFonts w:ascii="Times New Roman" w:hAnsi="Times New Roman" w:eastAsia="仿宋_GB2312"/>
          <w:sz w:val="32"/>
          <w:szCs w:val="32"/>
        </w:rPr>
        <w:t>万元，其中，一般公共服务</w:t>
      </w:r>
      <w:r>
        <w:rPr>
          <w:rFonts w:hint="eastAsia" w:ascii="Times New Roman" w:hAnsi="Times New Roman" w:eastAsia="仿宋_GB2312"/>
          <w:sz w:val="32"/>
          <w:szCs w:val="32"/>
        </w:rPr>
        <w:t>支出49.65</w:t>
      </w:r>
      <w:r>
        <w:rPr>
          <w:rFonts w:ascii="Times New Roman" w:hAnsi="Times New Roman" w:eastAsia="仿宋_GB2312"/>
          <w:sz w:val="32"/>
          <w:szCs w:val="32"/>
        </w:rPr>
        <w:t>万元，占</w:t>
      </w:r>
      <w:r>
        <w:rPr>
          <w:rFonts w:hint="eastAsia" w:ascii="Times New Roman" w:hAnsi="Times New Roman" w:eastAsia="仿宋_GB2312"/>
          <w:sz w:val="32"/>
          <w:szCs w:val="32"/>
        </w:rPr>
        <w:t>6.33</w:t>
      </w:r>
      <w:r>
        <w:rPr>
          <w:rFonts w:ascii="Times New Roman" w:hAnsi="Times New Roman" w:eastAsia="仿宋_GB2312"/>
          <w:sz w:val="32"/>
          <w:szCs w:val="32"/>
        </w:rPr>
        <w:t>%；</w:t>
      </w:r>
      <w:r>
        <w:rPr>
          <w:rFonts w:hint="eastAsia" w:ascii="Times New Roman" w:hAnsi="Times New Roman" w:eastAsia="仿宋_GB2312"/>
          <w:sz w:val="32"/>
          <w:szCs w:val="32"/>
        </w:rPr>
        <w:t>社会保障和就业支出85.70</w:t>
      </w:r>
      <w:r>
        <w:rPr>
          <w:rFonts w:ascii="Times New Roman" w:hAnsi="Times New Roman" w:eastAsia="仿宋_GB2312"/>
          <w:sz w:val="32"/>
          <w:szCs w:val="32"/>
        </w:rPr>
        <w:t>万元，占</w:t>
      </w:r>
      <w:r>
        <w:rPr>
          <w:rFonts w:hint="eastAsia" w:ascii="Times New Roman" w:hAnsi="Times New Roman" w:eastAsia="仿宋_GB2312"/>
          <w:sz w:val="32"/>
          <w:szCs w:val="32"/>
        </w:rPr>
        <w:t>10.92</w:t>
      </w:r>
      <w:r>
        <w:rPr>
          <w:rFonts w:ascii="Times New Roman" w:hAnsi="Times New Roman" w:eastAsia="仿宋_GB2312"/>
          <w:sz w:val="32"/>
          <w:szCs w:val="32"/>
        </w:rPr>
        <w:t>%；</w:t>
      </w:r>
      <w:r>
        <w:rPr>
          <w:rFonts w:hint="eastAsia" w:ascii="Times New Roman" w:hAnsi="Times New Roman" w:eastAsia="仿宋_GB2312"/>
          <w:sz w:val="32"/>
          <w:szCs w:val="32"/>
        </w:rPr>
        <w:t>卫生健康支出25.75万元，</w:t>
      </w:r>
      <w:r>
        <w:rPr>
          <w:rFonts w:ascii="Times New Roman" w:hAnsi="Times New Roman" w:eastAsia="仿宋_GB2312"/>
          <w:sz w:val="32"/>
          <w:szCs w:val="32"/>
        </w:rPr>
        <w:t>占</w:t>
      </w:r>
      <w:r>
        <w:rPr>
          <w:rFonts w:hint="eastAsia" w:ascii="Times New Roman" w:hAnsi="Times New Roman" w:eastAsia="仿宋_GB2312"/>
          <w:sz w:val="32"/>
          <w:szCs w:val="32"/>
        </w:rPr>
        <w:t>3.28</w:t>
      </w:r>
      <w:r>
        <w:rPr>
          <w:rFonts w:ascii="Times New Roman" w:hAnsi="Times New Roman" w:eastAsia="仿宋_GB2312"/>
          <w:sz w:val="32"/>
          <w:szCs w:val="32"/>
        </w:rPr>
        <w:t>%；</w:t>
      </w:r>
      <w:r>
        <w:rPr>
          <w:rFonts w:hint="eastAsia" w:ascii="Times New Roman" w:hAnsi="Times New Roman" w:eastAsia="仿宋_GB2312"/>
          <w:sz w:val="32"/>
          <w:szCs w:val="32"/>
        </w:rPr>
        <w:t>农林水支出571.73万元，</w:t>
      </w:r>
      <w:r>
        <w:rPr>
          <w:rFonts w:ascii="Times New Roman" w:hAnsi="Times New Roman" w:eastAsia="仿宋_GB2312"/>
          <w:sz w:val="32"/>
          <w:szCs w:val="32"/>
        </w:rPr>
        <w:t>占</w:t>
      </w:r>
      <w:r>
        <w:rPr>
          <w:rFonts w:hint="eastAsia" w:ascii="Times New Roman" w:hAnsi="Times New Roman" w:eastAsia="仿宋_GB2312"/>
          <w:sz w:val="32"/>
          <w:szCs w:val="32"/>
        </w:rPr>
        <w:t>72.85</w:t>
      </w:r>
      <w:r>
        <w:rPr>
          <w:rFonts w:ascii="Times New Roman" w:hAnsi="Times New Roman" w:eastAsia="仿宋_GB2312"/>
          <w:sz w:val="32"/>
          <w:szCs w:val="32"/>
        </w:rPr>
        <w:t>%；</w:t>
      </w:r>
      <w:r>
        <w:rPr>
          <w:rFonts w:hint="eastAsia" w:ascii="Times New Roman" w:hAnsi="Times New Roman" w:eastAsia="仿宋_GB2312"/>
          <w:sz w:val="32"/>
          <w:szCs w:val="32"/>
        </w:rPr>
        <w:t>商业服务业等支出29.67</w:t>
      </w:r>
      <w:r>
        <w:rPr>
          <w:rFonts w:ascii="Times New Roman" w:hAnsi="Times New Roman" w:eastAsia="仿宋_GB2312"/>
          <w:sz w:val="32"/>
          <w:szCs w:val="32"/>
        </w:rPr>
        <w:t>万元，占</w:t>
      </w:r>
      <w:r>
        <w:rPr>
          <w:rFonts w:hint="eastAsia" w:ascii="Times New Roman" w:hAnsi="Times New Roman" w:eastAsia="仿宋_GB2312"/>
          <w:sz w:val="32"/>
          <w:szCs w:val="32"/>
        </w:rPr>
        <w:t>3.78</w:t>
      </w:r>
      <w:r>
        <w:rPr>
          <w:rFonts w:ascii="Times New Roman" w:hAnsi="Times New Roman" w:eastAsia="仿宋_GB2312"/>
          <w:sz w:val="32"/>
          <w:szCs w:val="32"/>
        </w:rPr>
        <w:t>%；</w:t>
      </w:r>
      <w:r>
        <w:rPr>
          <w:rFonts w:hint="eastAsia" w:ascii="Times New Roman" w:hAnsi="Times New Roman" w:eastAsia="仿宋_GB2312"/>
          <w:sz w:val="32"/>
          <w:szCs w:val="32"/>
        </w:rPr>
        <w:t>住房保障支出22.30</w:t>
      </w:r>
      <w:r>
        <w:rPr>
          <w:rFonts w:ascii="Times New Roman" w:hAnsi="Times New Roman" w:eastAsia="仿宋_GB2312"/>
          <w:sz w:val="32"/>
          <w:szCs w:val="32"/>
        </w:rPr>
        <w:t>万元，占</w:t>
      </w:r>
      <w:r>
        <w:rPr>
          <w:rFonts w:hint="eastAsia" w:ascii="Times New Roman" w:hAnsi="Times New Roman" w:eastAsia="仿宋_GB2312"/>
          <w:sz w:val="32"/>
          <w:szCs w:val="32"/>
        </w:rPr>
        <w:t>2.84</w:t>
      </w:r>
      <w:r>
        <w:rPr>
          <w:rFonts w:ascii="Times New Roman" w:hAnsi="Times New Roman" w:eastAsia="仿宋_GB2312"/>
          <w:sz w:val="32"/>
          <w:szCs w:val="32"/>
        </w:rPr>
        <w:t>%。具体安排情况如下：</w:t>
      </w:r>
    </w:p>
    <w:p>
      <w:pPr>
        <w:spacing w:line="600" w:lineRule="exact"/>
        <w:ind w:firstLine="636" w:firstLineChars="200"/>
        <w:jc w:val="left"/>
        <w:rPr>
          <w:rFonts w:ascii="Times New Roman" w:hAnsi="Times New Roman" w:eastAsia="黑体"/>
          <w:sz w:val="32"/>
          <w:szCs w:val="32"/>
        </w:rPr>
      </w:pPr>
      <w:r>
        <w:rPr>
          <w:rFonts w:ascii="Times New Roman" w:hAnsi="Times New Roman" w:eastAsia="楷体_GB2312"/>
          <w:b/>
          <w:sz w:val="32"/>
          <w:szCs w:val="32"/>
        </w:rPr>
        <w:t>（一）基本支出：</w:t>
      </w:r>
      <w:r>
        <w:rPr>
          <w:rFonts w:hint="eastAsia" w:ascii="Times New Roman" w:hAnsi="Times New Roman" w:eastAsia="仿宋_GB2312"/>
          <w:sz w:val="32"/>
          <w:szCs w:val="32"/>
        </w:rPr>
        <w:t>2025</w:t>
      </w:r>
      <w:r>
        <w:rPr>
          <w:rFonts w:ascii="Times New Roman" w:hAnsi="Times New Roman" w:eastAsia="仿宋_GB2312"/>
          <w:sz w:val="32"/>
          <w:szCs w:val="32"/>
        </w:rPr>
        <w:t>年本单位基本支出预算数</w:t>
      </w:r>
      <w:r>
        <w:rPr>
          <w:rFonts w:hint="eastAsia" w:ascii="Times New Roman" w:hAnsi="Times New Roman" w:eastAsia="仿宋_GB2312"/>
          <w:sz w:val="32"/>
          <w:szCs w:val="32"/>
        </w:rPr>
        <w:t>370.98</w:t>
      </w:r>
      <w:r>
        <w:rPr>
          <w:rFonts w:ascii="Times New Roman" w:hAnsi="Times New Roman" w:eastAsia="仿宋_GB2312"/>
          <w:sz w:val="32"/>
          <w:szCs w:val="32"/>
        </w:rPr>
        <w:t>万元，主要是为保障单位机构正常运转、完成日常工作任务而发生的各项支出，包括用于基本工资、津贴补贴等人员经费以及办公费、印刷费、水电费、办公设备购置等公用经费。</w:t>
      </w:r>
    </w:p>
    <w:p>
      <w:pPr>
        <w:widowControl/>
        <w:spacing w:line="600" w:lineRule="exact"/>
        <w:ind w:firstLine="660"/>
        <w:jc w:val="left"/>
        <w:rPr>
          <w:rFonts w:eastAsia="仿宋_GB2312"/>
          <w:sz w:val="32"/>
          <w:szCs w:val="32"/>
        </w:rPr>
      </w:pPr>
      <w:r>
        <w:rPr>
          <w:rFonts w:ascii="Times New Roman" w:hAnsi="Times New Roman" w:eastAsia="楷体_GB2312"/>
          <w:b/>
          <w:sz w:val="32"/>
          <w:szCs w:val="32"/>
        </w:rPr>
        <w:t>（二）项目支出：</w:t>
      </w:r>
      <w:r>
        <w:rPr>
          <w:rFonts w:hint="eastAsia" w:ascii="Times New Roman" w:hAnsi="Times New Roman" w:eastAsia="仿宋_GB2312"/>
          <w:sz w:val="32"/>
          <w:szCs w:val="32"/>
        </w:rPr>
        <w:t>2025</w:t>
      </w:r>
      <w:r>
        <w:rPr>
          <w:rFonts w:ascii="Times New Roman" w:hAnsi="Times New Roman" w:eastAsia="仿宋_GB2312"/>
          <w:sz w:val="32"/>
          <w:szCs w:val="32"/>
        </w:rPr>
        <w:t>年本单位项目支出预算</w:t>
      </w:r>
      <w:r>
        <w:rPr>
          <w:rFonts w:hint="eastAsia" w:ascii="Times New Roman" w:hAnsi="Times New Roman" w:eastAsia="仿宋_GB2312"/>
          <w:sz w:val="32"/>
          <w:szCs w:val="32"/>
        </w:rPr>
        <w:t>413.82</w:t>
      </w:r>
      <w:r>
        <w:rPr>
          <w:rFonts w:ascii="Times New Roman" w:hAnsi="Times New Roman" w:eastAsia="仿宋_GB2312"/>
          <w:sz w:val="32"/>
          <w:szCs w:val="32"/>
        </w:rPr>
        <w:t>万元，主要是部门为完成特定行政工作任务或事业发展目标而发生的支出，包括有关事业发展专项、专项业务费、基本建设支出等，其中：</w:t>
      </w:r>
      <w:r>
        <w:rPr>
          <w:rFonts w:hint="eastAsia" w:eastAsia="仿宋_GB2312"/>
          <w:sz w:val="32"/>
          <w:szCs w:val="32"/>
        </w:rPr>
        <w:t>业务工作经费</w:t>
      </w:r>
      <w:r>
        <w:rPr>
          <w:rFonts w:eastAsia="仿宋_GB2312"/>
          <w:sz w:val="32"/>
          <w:szCs w:val="32"/>
        </w:rPr>
        <w:t>支出</w:t>
      </w:r>
      <w:r>
        <w:rPr>
          <w:rFonts w:hint="eastAsia" w:ascii="Times New Roman" w:hAnsi="Times New Roman" w:eastAsia="仿宋_GB2312"/>
          <w:sz w:val="32"/>
          <w:szCs w:val="32"/>
        </w:rPr>
        <w:t>146.45万元，主要用于开展境内外农产品展销及推介等活动；其他事业发展资金237.70万元，主要用于农业外贷项目实施管理和湖南省农产品国际贸易发展研究等；</w:t>
      </w:r>
      <w:r>
        <w:rPr>
          <w:rFonts w:hint="eastAsia" w:ascii="Times New Roman" w:hAnsi="Times New Roman" w:eastAsia="仿宋_GB2312"/>
          <w:color w:val="auto"/>
          <w:sz w:val="32"/>
          <w:szCs w:val="32"/>
        </w:rPr>
        <w:t>运行维护经费2</w:t>
      </w:r>
      <w:r>
        <w:rPr>
          <w:rFonts w:hint="eastAsia" w:ascii="Times New Roman" w:hAnsi="Times New Roman" w:eastAsia="仿宋_GB2312"/>
          <w:sz w:val="32"/>
          <w:szCs w:val="32"/>
        </w:rPr>
        <w:t>9.67</w:t>
      </w:r>
      <w:r>
        <w:rPr>
          <w:rFonts w:hint="eastAsia" w:eastAsia="仿宋_GB2312"/>
          <w:sz w:val="32"/>
          <w:szCs w:val="32"/>
        </w:rPr>
        <w:t>万元，主要用</w:t>
      </w:r>
      <w:r>
        <w:rPr>
          <w:rFonts w:hint="eastAsia" w:eastAsia="仿宋_GB2312"/>
          <w:color w:val="FF0000"/>
          <w:sz w:val="32"/>
          <w:szCs w:val="32"/>
        </w:rPr>
        <w:t>于</w:t>
      </w:r>
      <w:r>
        <w:rPr>
          <w:rFonts w:hint="eastAsia" w:ascii="Times New Roman" w:hAnsi="Times New Roman" w:eastAsia="仿宋_GB2312"/>
          <w:sz w:val="32"/>
          <w:szCs w:val="32"/>
        </w:rPr>
        <w:t>援外项目业务开展</w:t>
      </w:r>
      <w:r>
        <w:rPr>
          <w:rFonts w:eastAsia="仿宋_GB2312"/>
          <w:sz w:val="32"/>
          <w:szCs w:val="32"/>
        </w:rPr>
        <w:t>。</w:t>
      </w:r>
    </w:p>
    <w:p>
      <w:pPr>
        <w:spacing w:line="600" w:lineRule="exact"/>
        <w:ind w:firstLine="636" w:firstLineChars="200"/>
        <w:jc w:val="left"/>
        <w:rPr>
          <w:rFonts w:ascii="Times New Roman" w:hAnsi="Times New Roman" w:eastAsia="黑体"/>
          <w:sz w:val="32"/>
          <w:szCs w:val="32"/>
        </w:rPr>
      </w:pPr>
      <w:r>
        <w:rPr>
          <w:rFonts w:hint="eastAsia" w:ascii="Times New Roman" w:hAnsi="Times New Roman" w:eastAsia="黑体"/>
          <w:sz w:val="32"/>
          <w:szCs w:val="32"/>
        </w:rPr>
        <w:t>五</w:t>
      </w:r>
      <w:r>
        <w:rPr>
          <w:rFonts w:ascii="Times New Roman" w:hAnsi="Times New Roman" w:eastAsia="黑体"/>
          <w:sz w:val="32"/>
          <w:szCs w:val="32"/>
        </w:rPr>
        <w:t>、政府性基金预算支出</w:t>
      </w:r>
    </w:p>
    <w:p>
      <w:pPr>
        <w:spacing w:line="600" w:lineRule="exact"/>
        <w:ind w:firstLine="636" w:firstLineChars="200"/>
        <w:jc w:val="left"/>
        <w:rPr>
          <w:rFonts w:ascii="Times New Roman" w:hAnsi="Times New Roman" w:eastAsia="仿宋_GB2312"/>
          <w:bCs/>
          <w:sz w:val="32"/>
          <w:szCs w:val="32"/>
        </w:rPr>
      </w:pPr>
      <w:r>
        <w:rPr>
          <w:rFonts w:ascii="Times New Roman" w:hAnsi="Times New Roman" w:eastAsia="仿宋_GB2312"/>
          <w:bCs/>
          <w:sz w:val="32"/>
          <w:szCs w:val="32"/>
        </w:rPr>
        <w:t>本部门无政府性基金安排的支出</w:t>
      </w:r>
      <w:r>
        <w:rPr>
          <w:rFonts w:hint="eastAsia" w:ascii="Times New Roman" w:hAnsi="Times New Roman" w:eastAsia="仿宋_GB2312"/>
          <w:bCs/>
          <w:sz w:val="32"/>
          <w:szCs w:val="32"/>
        </w:rPr>
        <w:t>。</w:t>
      </w:r>
    </w:p>
    <w:p>
      <w:pPr>
        <w:spacing w:line="600" w:lineRule="exact"/>
        <w:ind w:firstLine="636" w:firstLineChars="200"/>
        <w:jc w:val="left"/>
        <w:rPr>
          <w:rFonts w:ascii="Times New Roman" w:hAnsi="Times New Roman" w:eastAsia="黑体"/>
          <w:sz w:val="32"/>
          <w:szCs w:val="32"/>
        </w:rPr>
      </w:pPr>
      <w:r>
        <w:rPr>
          <w:rFonts w:hint="eastAsia" w:ascii="Times New Roman" w:hAnsi="Times New Roman" w:eastAsia="黑体"/>
          <w:sz w:val="32"/>
          <w:szCs w:val="32"/>
        </w:rPr>
        <w:t>六</w:t>
      </w:r>
      <w:r>
        <w:rPr>
          <w:rFonts w:ascii="Times New Roman" w:hAnsi="Times New Roman" w:eastAsia="黑体"/>
          <w:sz w:val="32"/>
          <w:szCs w:val="32"/>
        </w:rPr>
        <w:t>、其他重要事项的情况说明</w:t>
      </w:r>
    </w:p>
    <w:p>
      <w:pPr>
        <w:widowControl/>
        <w:spacing w:line="600" w:lineRule="exact"/>
        <w:ind w:firstLine="660"/>
        <w:jc w:val="left"/>
        <w:rPr>
          <w:rFonts w:eastAsia="仿宋_GB2312"/>
          <w:sz w:val="32"/>
          <w:szCs w:val="32"/>
        </w:rPr>
      </w:pPr>
      <w:r>
        <w:rPr>
          <w:rFonts w:ascii="Times New Roman" w:hAnsi="Times New Roman" w:eastAsia="楷体_GB2312"/>
          <w:b/>
          <w:sz w:val="32"/>
          <w:szCs w:val="32"/>
        </w:rPr>
        <w:t>（一）运行经费：</w:t>
      </w:r>
      <w:r>
        <w:rPr>
          <w:rFonts w:hint="eastAsia" w:ascii="Times New Roman" w:hAnsi="Times New Roman" w:eastAsia="仿宋_GB2312"/>
          <w:sz w:val="32"/>
          <w:szCs w:val="32"/>
        </w:rPr>
        <w:t>2025</w:t>
      </w:r>
      <w:r>
        <w:rPr>
          <w:rFonts w:ascii="Times New Roman" w:hAnsi="Times New Roman" w:eastAsia="仿宋_GB2312"/>
          <w:sz w:val="32"/>
          <w:szCs w:val="32"/>
        </w:rPr>
        <w:t>年本单位运行经费</w:t>
      </w:r>
      <w:r>
        <w:rPr>
          <w:rFonts w:hint="eastAsia" w:ascii="Times New Roman" w:hAnsi="Times New Roman" w:eastAsia="仿宋_GB2312"/>
          <w:sz w:val="32"/>
          <w:szCs w:val="32"/>
        </w:rPr>
        <w:t>45.83</w:t>
      </w:r>
      <w:r>
        <w:rPr>
          <w:rFonts w:ascii="Times New Roman" w:hAnsi="Times New Roman" w:eastAsia="仿宋_GB2312"/>
          <w:sz w:val="32"/>
          <w:szCs w:val="32"/>
        </w:rPr>
        <w:t>万元，比上年预算</w:t>
      </w:r>
      <w:r>
        <w:rPr>
          <w:rFonts w:hint="eastAsia" w:ascii="Times New Roman" w:hAnsi="Times New Roman" w:eastAsia="仿宋_GB2312"/>
          <w:sz w:val="32"/>
          <w:szCs w:val="32"/>
        </w:rPr>
        <w:t>减少2.82</w:t>
      </w:r>
      <w:r>
        <w:rPr>
          <w:rFonts w:ascii="Times New Roman" w:hAnsi="Times New Roman" w:eastAsia="仿宋_GB2312"/>
          <w:sz w:val="32"/>
          <w:szCs w:val="32"/>
        </w:rPr>
        <w:t>万元，下降</w:t>
      </w:r>
      <w:r>
        <w:rPr>
          <w:rFonts w:hint="eastAsia" w:ascii="Times New Roman" w:hAnsi="Times New Roman" w:eastAsia="仿宋_GB2312"/>
          <w:sz w:val="32"/>
          <w:szCs w:val="32"/>
        </w:rPr>
        <w:t>5.80</w:t>
      </w:r>
      <w:r>
        <w:rPr>
          <w:rFonts w:ascii="Times New Roman" w:hAnsi="Times New Roman" w:eastAsia="仿宋_GB2312"/>
          <w:sz w:val="32"/>
          <w:szCs w:val="32"/>
        </w:rPr>
        <w:t>%，主要是</w:t>
      </w:r>
      <w:r>
        <w:rPr>
          <w:rFonts w:hint="eastAsia" w:eastAsia="仿宋_GB2312"/>
          <w:sz w:val="32"/>
          <w:szCs w:val="32"/>
        </w:rPr>
        <w:t>我单位大力压减一般性支出。</w:t>
      </w:r>
    </w:p>
    <w:p>
      <w:pPr>
        <w:widowControl/>
        <w:spacing w:line="600" w:lineRule="exact"/>
        <w:ind w:firstLine="660"/>
        <w:rPr>
          <w:rFonts w:eastAsia="仿宋_GB2312"/>
          <w:color w:val="FF0000"/>
          <w:sz w:val="32"/>
          <w:szCs w:val="32"/>
        </w:rPr>
      </w:pPr>
      <w:r>
        <w:rPr>
          <w:rFonts w:ascii="Times New Roman" w:hAnsi="Times New Roman" w:eastAsia="楷体_GB2312"/>
          <w:b/>
          <w:sz w:val="32"/>
          <w:szCs w:val="32"/>
        </w:rPr>
        <w:t>（二）“三公”经费预算：</w:t>
      </w:r>
      <w:r>
        <w:rPr>
          <w:rFonts w:hint="eastAsia" w:ascii="Times New Roman" w:hAnsi="Times New Roman" w:eastAsia="仿宋_GB2312"/>
          <w:sz w:val="32"/>
          <w:szCs w:val="32"/>
        </w:rPr>
        <w:t>2025</w:t>
      </w:r>
      <w:r>
        <w:rPr>
          <w:rFonts w:ascii="Times New Roman" w:hAnsi="Times New Roman" w:eastAsia="仿宋_GB2312"/>
          <w:sz w:val="32"/>
          <w:szCs w:val="32"/>
        </w:rPr>
        <w:t>年本单位“三公”经费预算数为</w:t>
      </w:r>
      <w:r>
        <w:rPr>
          <w:rFonts w:hint="eastAsia" w:ascii="Times New Roman" w:hAnsi="Times New Roman" w:eastAsia="仿宋_GB2312"/>
          <w:sz w:val="32"/>
          <w:szCs w:val="32"/>
        </w:rPr>
        <w:t>19</w:t>
      </w:r>
      <w:r>
        <w:rPr>
          <w:rFonts w:ascii="Times New Roman" w:hAnsi="Times New Roman" w:eastAsia="仿宋_GB2312"/>
          <w:sz w:val="32"/>
          <w:szCs w:val="32"/>
        </w:rPr>
        <w:t>万元，其中，公务接待费</w:t>
      </w:r>
      <w:r>
        <w:rPr>
          <w:rFonts w:hint="eastAsia" w:ascii="Times New Roman" w:hAnsi="Times New Roman" w:eastAsia="仿宋_GB2312"/>
          <w:sz w:val="32"/>
          <w:szCs w:val="32"/>
        </w:rPr>
        <w:t>4</w:t>
      </w:r>
      <w:r>
        <w:rPr>
          <w:rFonts w:ascii="Times New Roman" w:hAnsi="Times New Roman" w:eastAsia="仿宋_GB2312"/>
          <w:sz w:val="32"/>
          <w:szCs w:val="32"/>
        </w:rPr>
        <w:t>万元，公务用车购置及运行费</w:t>
      </w:r>
      <w:r>
        <w:rPr>
          <w:rFonts w:hint="eastAsia" w:ascii="Times New Roman" w:hAnsi="Times New Roman" w:eastAsia="仿宋_GB2312"/>
          <w:sz w:val="32"/>
          <w:szCs w:val="32"/>
        </w:rPr>
        <w:t>0</w:t>
      </w:r>
      <w:r>
        <w:rPr>
          <w:rFonts w:ascii="Times New Roman" w:hAnsi="Times New Roman" w:eastAsia="仿宋_GB2312"/>
          <w:sz w:val="32"/>
          <w:szCs w:val="32"/>
        </w:rPr>
        <w:t>万元（其中，公务用车购置费</w:t>
      </w:r>
      <w:r>
        <w:rPr>
          <w:rFonts w:hint="eastAsia" w:ascii="Times New Roman" w:hAnsi="Times New Roman" w:eastAsia="仿宋_GB2312"/>
          <w:sz w:val="32"/>
          <w:szCs w:val="32"/>
        </w:rPr>
        <w:t>0</w:t>
      </w:r>
      <w:r>
        <w:rPr>
          <w:rFonts w:ascii="Times New Roman" w:hAnsi="Times New Roman" w:eastAsia="仿宋_GB2312"/>
          <w:sz w:val="32"/>
          <w:szCs w:val="32"/>
        </w:rPr>
        <w:t>万元，公务用车运行费</w:t>
      </w:r>
      <w:r>
        <w:rPr>
          <w:rFonts w:hint="eastAsia" w:ascii="Times New Roman" w:hAnsi="Times New Roman" w:eastAsia="仿宋_GB2312"/>
          <w:sz w:val="32"/>
          <w:szCs w:val="32"/>
        </w:rPr>
        <w:t>0</w:t>
      </w:r>
      <w:r>
        <w:rPr>
          <w:rFonts w:ascii="Times New Roman" w:hAnsi="Times New Roman" w:eastAsia="仿宋_GB2312"/>
          <w:sz w:val="32"/>
          <w:szCs w:val="32"/>
        </w:rPr>
        <w:t>万元），因公出国（境）费</w:t>
      </w:r>
      <w:r>
        <w:rPr>
          <w:rFonts w:hint="eastAsia" w:ascii="Times New Roman" w:hAnsi="Times New Roman" w:eastAsia="仿宋_GB2312"/>
          <w:sz w:val="32"/>
          <w:szCs w:val="32"/>
        </w:rPr>
        <w:t>15</w:t>
      </w:r>
      <w:r>
        <w:rPr>
          <w:rFonts w:ascii="Times New Roman" w:hAnsi="Times New Roman" w:eastAsia="仿宋_GB2312"/>
          <w:sz w:val="32"/>
          <w:szCs w:val="32"/>
        </w:rPr>
        <w:t>万元。</w:t>
      </w:r>
      <w:r>
        <w:rPr>
          <w:rFonts w:hint="eastAsia" w:ascii="Times New Roman" w:hAnsi="Times New Roman" w:eastAsia="仿宋_GB2312"/>
          <w:sz w:val="32"/>
          <w:szCs w:val="32"/>
        </w:rPr>
        <w:t>2025</w:t>
      </w:r>
      <w:r>
        <w:rPr>
          <w:rFonts w:ascii="Times New Roman" w:hAnsi="Times New Roman" w:eastAsia="仿宋_GB2312"/>
          <w:sz w:val="32"/>
          <w:szCs w:val="32"/>
        </w:rPr>
        <w:t>年“三公”经费预算</w:t>
      </w:r>
      <w:r>
        <w:rPr>
          <w:rFonts w:hint="eastAsia" w:ascii="Times New Roman" w:hAnsi="Times New Roman" w:eastAsia="仿宋_GB2312"/>
          <w:sz w:val="32"/>
          <w:szCs w:val="32"/>
        </w:rPr>
        <w:t>与</w:t>
      </w:r>
      <w:r>
        <w:rPr>
          <w:rFonts w:eastAsia="仿宋_GB2312"/>
          <w:sz w:val="32"/>
          <w:szCs w:val="32"/>
        </w:rPr>
        <w:t>上年</w:t>
      </w:r>
      <w:r>
        <w:rPr>
          <w:rFonts w:hint="eastAsia" w:eastAsia="仿宋_GB2312"/>
          <w:sz w:val="32"/>
          <w:szCs w:val="32"/>
        </w:rPr>
        <w:t>持平</w:t>
      </w:r>
      <w:r>
        <w:rPr>
          <w:rFonts w:eastAsia="仿宋_GB2312"/>
          <w:sz w:val="32"/>
          <w:szCs w:val="32"/>
        </w:rPr>
        <w:t>，主要是</w:t>
      </w:r>
      <w:r>
        <w:rPr>
          <w:rFonts w:hint="eastAsia" w:eastAsia="仿宋_GB2312"/>
          <w:sz w:val="32"/>
          <w:szCs w:val="32"/>
        </w:rPr>
        <w:t>我单位厉行节约，严格控制“三公”经费。</w:t>
      </w:r>
    </w:p>
    <w:p>
      <w:pPr>
        <w:widowControl/>
        <w:spacing w:line="600" w:lineRule="exact"/>
        <w:ind w:firstLine="660"/>
        <w:rPr>
          <w:rFonts w:eastAsia="仿宋_GB2312"/>
          <w:kern w:val="0"/>
          <w:sz w:val="32"/>
          <w:szCs w:val="32"/>
        </w:rPr>
      </w:pPr>
      <w:r>
        <w:rPr>
          <w:rFonts w:ascii="Times New Roman" w:hAnsi="Times New Roman" w:eastAsia="楷体_GB2312"/>
          <w:b/>
          <w:sz w:val="32"/>
          <w:szCs w:val="32"/>
        </w:rPr>
        <w:t>（三）一般性支出情况：</w:t>
      </w:r>
      <w:r>
        <w:rPr>
          <w:rFonts w:hint="eastAsia" w:ascii="Times New Roman" w:hAnsi="Times New Roman" w:eastAsia="仿宋_GB2312"/>
          <w:kern w:val="0"/>
          <w:sz w:val="32"/>
          <w:szCs w:val="32"/>
        </w:rPr>
        <w:t>2025</w:t>
      </w:r>
      <w:r>
        <w:rPr>
          <w:rFonts w:ascii="Times New Roman" w:hAnsi="Times New Roman" w:eastAsia="仿宋_GB2312"/>
          <w:kern w:val="0"/>
          <w:sz w:val="32"/>
          <w:szCs w:val="32"/>
        </w:rPr>
        <w:t>年</w:t>
      </w:r>
      <w:r>
        <w:rPr>
          <w:rFonts w:eastAsia="仿宋_GB2312"/>
          <w:kern w:val="0"/>
          <w:sz w:val="32"/>
          <w:szCs w:val="32"/>
        </w:rPr>
        <w:t>本单位会议费预算</w:t>
      </w:r>
      <w:r>
        <w:rPr>
          <w:rFonts w:eastAsia="仿宋_GB2312"/>
          <w:sz w:val="32"/>
          <w:szCs w:val="32"/>
        </w:rPr>
        <w:t xml:space="preserve"> </w:t>
      </w:r>
      <w:r>
        <w:rPr>
          <w:rFonts w:hint="eastAsia" w:eastAsia="仿宋_GB2312"/>
          <w:sz w:val="32"/>
          <w:szCs w:val="32"/>
        </w:rPr>
        <w:t>0</w:t>
      </w:r>
      <w:r>
        <w:rPr>
          <w:rFonts w:eastAsia="仿宋_GB2312"/>
          <w:sz w:val="32"/>
          <w:szCs w:val="32"/>
        </w:rPr>
        <w:t xml:space="preserve">  </w:t>
      </w:r>
      <w:r>
        <w:rPr>
          <w:rFonts w:eastAsia="仿宋_GB2312"/>
          <w:kern w:val="0"/>
          <w:sz w:val="32"/>
          <w:szCs w:val="32"/>
        </w:rPr>
        <w:t>万元，拟召开</w:t>
      </w:r>
      <w:r>
        <w:rPr>
          <w:rFonts w:hint="eastAsia" w:eastAsia="仿宋_GB2312"/>
          <w:sz w:val="32"/>
          <w:szCs w:val="32"/>
        </w:rPr>
        <w:t>0次</w:t>
      </w:r>
      <w:r>
        <w:rPr>
          <w:rFonts w:eastAsia="仿宋_GB2312"/>
          <w:kern w:val="0"/>
          <w:sz w:val="32"/>
          <w:szCs w:val="32"/>
        </w:rPr>
        <w:t>会议，人数</w:t>
      </w:r>
      <w:r>
        <w:rPr>
          <w:rFonts w:hint="eastAsia" w:eastAsia="仿宋_GB2312"/>
          <w:sz w:val="32"/>
          <w:szCs w:val="32"/>
        </w:rPr>
        <w:t>0</w:t>
      </w:r>
      <w:r>
        <w:rPr>
          <w:rFonts w:eastAsia="仿宋_GB2312"/>
          <w:kern w:val="0"/>
          <w:sz w:val="32"/>
          <w:szCs w:val="32"/>
        </w:rPr>
        <w:t>人；培训费预算</w:t>
      </w:r>
      <w:r>
        <w:rPr>
          <w:rFonts w:hint="eastAsia" w:eastAsia="仿宋_GB2312"/>
          <w:sz w:val="32"/>
          <w:szCs w:val="32"/>
        </w:rPr>
        <w:t>0</w:t>
      </w:r>
      <w:r>
        <w:rPr>
          <w:rFonts w:eastAsia="仿宋_GB2312"/>
          <w:kern w:val="0"/>
          <w:sz w:val="32"/>
          <w:szCs w:val="32"/>
        </w:rPr>
        <w:t>万元，拟开展</w:t>
      </w:r>
      <w:r>
        <w:rPr>
          <w:rFonts w:hint="eastAsia" w:eastAsia="仿宋_GB2312"/>
          <w:sz w:val="32"/>
          <w:szCs w:val="32"/>
        </w:rPr>
        <w:t>0次</w:t>
      </w:r>
      <w:r>
        <w:rPr>
          <w:rFonts w:eastAsia="仿宋_GB2312"/>
          <w:kern w:val="0"/>
          <w:sz w:val="32"/>
          <w:szCs w:val="32"/>
        </w:rPr>
        <w:t>培训，人数</w:t>
      </w:r>
      <w:r>
        <w:rPr>
          <w:rFonts w:hint="eastAsia" w:eastAsia="仿宋_GB2312"/>
          <w:sz w:val="32"/>
          <w:szCs w:val="32"/>
        </w:rPr>
        <w:t>0</w:t>
      </w:r>
      <w:r>
        <w:rPr>
          <w:rFonts w:eastAsia="仿宋_GB2312"/>
          <w:kern w:val="0"/>
          <w:sz w:val="32"/>
          <w:szCs w:val="32"/>
        </w:rPr>
        <w:t>人</w:t>
      </w:r>
      <w:r>
        <w:rPr>
          <w:rFonts w:ascii="Times New Roman" w:hAnsi="Times New Roman" w:eastAsia="仿宋_GB2312"/>
          <w:sz w:val="32"/>
          <w:szCs w:val="32"/>
        </w:rPr>
        <w:t>；</w:t>
      </w:r>
      <w:r>
        <w:rPr>
          <w:rFonts w:hint="eastAsia" w:ascii="Times New Roman" w:hAnsi="Times New Roman" w:eastAsia="仿宋_GB2312"/>
          <w:sz w:val="32"/>
          <w:szCs w:val="32"/>
        </w:rPr>
        <w:t>未计划</w:t>
      </w:r>
      <w:r>
        <w:rPr>
          <w:rFonts w:ascii="Times New Roman" w:hAnsi="Times New Roman" w:eastAsia="仿宋_GB2312"/>
          <w:sz w:val="32"/>
          <w:szCs w:val="32"/>
        </w:rPr>
        <w:t>举办</w:t>
      </w:r>
      <w:r>
        <w:rPr>
          <w:rFonts w:ascii="Times New Roman" w:hAnsi="Times New Roman" w:eastAsia="仿宋_GB2312"/>
          <w:kern w:val="0"/>
          <w:sz w:val="32"/>
          <w:szCs w:val="32"/>
        </w:rPr>
        <w:t>节庆、晚会、论坛、赛事活动，经费预算</w:t>
      </w:r>
      <w:r>
        <w:rPr>
          <w:rFonts w:hint="eastAsia" w:ascii="Times New Roman" w:hAnsi="Times New Roman" w:eastAsia="仿宋_GB2312"/>
          <w:sz w:val="32"/>
          <w:szCs w:val="32"/>
        </w:rPr>
        <w:t>0</w:t>
      </w:r>
      <w:r>
        <w:rPr>
          <w:rFonts w:ascii="Times New Roman" w:hAnsi="Times New Roman" w:eastAsia="仿宋_GB2312"/>
          <w:kern w:val="0"/>
          <w:sz w:val="32"/>
          <w:szCs w:val="32"/>
        </w:rPr>
        <w:t>万元</w:t>
      </w:r>
      <w:r>
        <w:rPr>
          <w:rFonts w:eastAsia="仿宋_GB2312"/>
          <w:kern w:val="0"/>
          <w:sz w:val="32"/>
          <w:szCs w:val="32"/>
        </w:rPr>
        <w:t>。</w:t>
      </w:r>
    </w:p>
    <w:p>
      <w:pPr>
        <w:widowControl/>
        <w:spacing w:line="600" w:lineRule="exact"/>
        <w:ind w:firstLine="660"/>
        <w:rPr>
          <w:rFonts w:eastAsia="仿宋_GB2312"/>
          <w:sz w:val="32"/>
          <w:szCs w:val="32"/>
        </w:rPr>
      </w:pPr>
      <w:r>
        <w:rPr>
          <w:rFonts w:ascii="Times New Roman" w:hAnsi="Times New Roman" w:eastAsia="楷体_GB2312"/>
          <w:b/>
          <w:sz w:val="32"/>
          <w:szCs w:val="32"/>
        </w:rPr>
        <w:t>（四）政府采购情况：</w:t>
      </w:r>
      <w:r>
        <w:rPr>
          <w:rFonts w:hint="eastAsia" w:ascii="Times New Roman" w:hAnsi="Times New Roman" w:eastAsia="仿宋_GB2312"/>
          <w:sz w:val="32"/>
          <w:szCs w:val="32"/>
        </w:rPr>
        <w:t>2025</w:t>
      </w:r>
      <w:r>
        <w:rPr>
          <w:rFonts w:ascii="Times New Roman" w:hAnsi="Times New Roman" w:eastAsia="仿宋_GB2312"/>
          <w:sz w:val="32"/>
          <w:szCs w:val="32"/>
        </w:rPr>
        <w:t>年</w:t>
      </w:r>
      <w:r>
        <w:rPr>
          <w:rFonts w:eastAsia="仿宋_GB2312"/>
          <w:sz w:val="32"/>
          <w:szCs w:val="32"/>
        </w:rPr>
        <w:t xml:space="preserve">本部门政府采购预算总额   </w:t>
      </w:r>
      <w:r>
        <w:rPr>
          <w:rFonts w:hint="eastAsia" w:eastAsia="仿宋_GB2312"/>
          <w:sz w:val="32"/>
          <w:szCs w:val="32"/>
        </w:rPr>
        <w:t>0</w:t>
      </w:r>
      <w:r>
        <w:rPr>
          <w:rFonts w:eastAsia="仿宋_GB2312"/>
          <w:sz w:val="32"/>
          <w:szCs w:val="32"/>
        </w:rPr>
        <w:t>万元，其中，货物类采购预算</w:t>
      </w:r>
      <w:r>
        <w:rPr>
          <w:rFonts w:hint="eastAsia" w:eastAsia="仿宋_GB2312"/>
          <w:sz w:val="32"/>
          <w:szCs w:val="32"/>
        </w:rPr>
        <w:t>0</w:t>
      </w:r>
      <w:r>
        <w:rPr>
          <w:rFonts w:eastAsia="仿宋_GB2312"/>
          <w:sz w:val="32"/>
          <w:szCs w:val="32"/>
        </w:rPr>
        <w:t>万元；工程类采购预算</w:t>
      </w:r>
      <w:r>
        <w:rPr>
          <w:rFonts w:hint="eastAsia" w:eastAsia="仿宋_GB2312"/>
          <w:sz w:val="32"/>
          <w:szCs w:val="32"/>
        </w:rPr>
        <w:t>0</w:t>
      </w:r>
      <w:r>
        <w:rPr>
          <w:rFonts w:eastAsia="仿宋_GB2312"/>
          <w:sz w:val="32"/>
          <w:szCs w:val="32"/>
        </w:rPr>
        <w:t>万元；服务类采购预算</w:t>
      </w:r>
      <w:r>
        <w:rPr>
          <w:rFonts w:hint="eastAsia" w:eastAsia="仿宋_GB2312"/>
          <w:sz w:val="32"/>
          <w:szCs w:val="32"/>
        </w:rPr>
        <w:t>0</w:t>
      </w:r>
      <w:r>
        <w:rPr>
          <w:rFonts w:eastAsia="仿宋_GB2312"/>
          <w:sz w:val="32"/>
          <w:szCs w:val="32"/>
        </w:rPr>
        <w:t>万元。</w:t>
      </w:r>
    </w:p>
    <w:p>
      <w:pPr>
        <w:spacing w:line="600" w:lineRule="exact"/>
        <w:ind w:firstLine="636" w:firstLineChars="200"/>
        <w:jc w:val="left"/>
        <w:rPr>
          <w:rFonts w:ascii="Times New Roman" w:hAnsi="Times New Roman" w:eastAsia="仿宋_GB2312"/>
          <w:bCs/>
          <w:kern w:val="0"/>
          <w:sz w:val="32"/>
          <w:szCs w:val="32"/>
        </w:rPr>
      </w:pPr>
      <w:r>
        <w:rPr>
          <w:rFonts w:ascii="Times New Roman" w:hAnsi="Times New Roman" w:eastAsia="楷体_GB2312"/>
          <w:b/>
          <w:sz w:val="32"/>
          <w:szCs w:val="32"/>
        </w:rPr>
        <w:t>（五）国有资产占用使用及新增资产配置情况：</w:t>
      </w:r>
      <w:r>
        <w:rPr>
          <w:rFonts w:ascii="Times New Roman" w:hAnsi="Times New Roman" w:eastAsia="仿宋_GB2312"/>
          <w:sz w:val="32"/>
          <w:szCs w:val="32"/>
        </w:rPr>
        <w:t>截至</w:t>
      </w:r>
      <w:r>
        <w:rPr>
          <w:rFonts w:hint="eastAsia" w:ascii="Times New Roman" w:hAnsi="Times New Roman" w:eastAsia="仿宋_GB2312"/>
          <w:sz w:val="32"/>
          <w:szCs w:val="32"/>
        </w:rPr>
        <w:t>2024</w:t>
      </w:r>
      <w:r>
        <w:rPr>
          <w:rFonts w:ascii="Times New Roman" w:hAnsi="Times New Roman" w:eastAsia="仿宋_GB2312"/>
          <w:sz w:val="32"/>
          <w:szCs w:val="32"/>
        </w:rPr>
        <w:t>年12月底，本单位</w:t>
      </w:r>
      <w:r>
        <w:rPr>
          <w:rFonts w:ascii="Times New Roman" w:hAnsi="Times New Roman" w:eastAsia="仿宋_GB2312"/>
          <w:bCs/>
          <w:kern w:val="0"/>
          <w:sz w:val="32"/>
          <w:szCs w:val="32"/>
        </w:rPr>
        <w:t>共有公务用车</w:t>
      </w:r>
      <w:r>
        <w:rPr>
          <w:rFonts w:hint="eastAsia" w:ascii="Times New Roman" w:hAnsi="Times New Roman" w:eastAsia="仿宋_GB2312"/>
          <w:bCs/>
          <w:kern w:val="0"/>
          <w:sz w:val="32"/>
          <w:szCs w:val="32"/>
        </w:rPr>
        <w:t>1</w:t>
      </w:r>
      <w:r>
        <w:rPr>
          <w:rFonts w:ascii="Times New Roman" w:hAnsi="Times New Roman" w:eastAsia="仿宋_GB2312"/>
          <w:bCs/>
          <w:kern w:val="0"/>
          <w:sz w:val="32"/>
          <w:szCs w:val="32"/>
        </w:rPr>
        <w:t xml:space="preserve">辆，其中，机要通信用车   </w:t>
      </w:r>
      <w:r>
        <w:rPr>
          <w:rFonts w:hint="eastAsia" w:ascii="Times New Roman" w:hAnsi="Times New Roman" w:eastAsia="仿宋_GB2312"/>
          <w:bCs/>
          <w:kern w:val="0"/>
          <w:sz w:val="32"/>
          <w:szCs w:val="32"/>
        </w:rPr>
        <w:t>0</w:t>
      </w:r>
      <w:r>
        <w:rPr>
          <w:rFonts w:ascii="Times New Roman" w:hAnsi="Times New Roman" w:eastAsia="仿宋_GB2312"/>
          <w:bCs/>
          <w:kern w:val="0"/>
          <w:sz w:val="32"/>
          <w:szCs w:val="32"/>
        </w:rPr>
        <w:t>辆，应急保障用车</w:t>
      </w:r>
      <w:r>
        <w:rPr>
          <w:rFonts w:hint="eastAsia" w:ascii="Times New Roman" w:hAnsi="Times New Roman" w:eastAsia="仿宋_GB2312"/>
          <w:bCs/>
          <w:kern w:val="0"/>
          <w:sz w:val="32"/>
          <w:szCs w:val="32"/>
        </w:rPr>
        <w:t>0</w:t>
      </w:r>
      <w:r>
        <w:rPr>
          <w:rFonts w:ascii="Times New Roman" w:hAnsi="Times New Roman" w:eastAsia="仿宋_GB2312"/>
          <w:bCs/>
          <w:kern w:val="0"/>
          <w:sz w:val="32"/>
          <w:szCs w:val="32"/>
        </w:rPr>
        <w:t>辆，执法执勤用车</w:t>
      </w:r>
      <w:r>
        <w:rPr>
          <w:rFonts w:hint="eastAsia" w:ascii="Times New Roman" w:hAnsi="Times New Roman" w:eastAsia="仿宋_GB2312"/>
          <w:bCs/>
          <w:kern w:val="0"/>
          <w:sz w:val="32"/>
          <w:szCs w:val="32"/>
        </w:rPr>
        <w:t>0</w:t>
      </w:r>
      <w:r>
        <w:rPr>
          <w:rFonts w:ascii="Times New Roman" w:hAnsi="Times New Roman" w:eastAsia="仿宋_GB2312"/>
          <w:bCs/>
          <w:kern w:val="0"/>
          <w:sz w:val="32"/>
          <w:szCs w:val="32"/>
        </w:rPr>
        <w:t>辆，特种专业技术用车</w:t>
      </w:r>
      <w:r>
        <w:rPr>
          <w:rFonts w:hint="eastAsia" w:ascii="Times New Roman" w:hAnsi="Times New Roman" w:eastAsia="仿宋_GB2312"/>
          <w:bCs/>
          <w:kern w:val="0"/>
          <w:sz w:val="32"/>
          <w:szCs w:val="32"/>
        </w:rPr>
        <w:t>0</w:t>
      </w:r>
      <w:r>
        <w:rPr>
          <w:rFonts w:ascii="Times New Roman" w:hAnsi="Times New Roman" w:eastAsia="仿宋_GB2312"/>
          <w:bCs/>
          <w:kern w:val="0"/>
          <w:sz w:val="32"/>
          <w:szCs w:val="32"/>
        </w:rPr>
        <w:t>辆，其他按照规定配备的公务用车</w:t>
      </w:r>
      <w:r>
        <w:rPr>
          <w:rFonts w:hint="eastAsia" w:ascii="Times New Roman" w:hAnsi="Times New Roman" w:eastAsia="仿宋_GB2312"/>
          <w:bCs/>
          <w:kern w:val="0"/>
          <w:sz w:val="32"/>
          <w:szCs w:val="32"/>
        </w:rPr>
        <w:t>1</w:t>
      </w:r>
      <w:r>
        <w:rPr>
          <w:rFonts w:ascii="Times New Roman" w:hAnsi="Times New Roman" w:eastAsia="仿宋_GB2312"/>
          <w:bCs/>
          <w:kern w:val="0"/>
          <w:sz w:val="32"/>
          <w:szCs w:val="32"/>
        </w:rPr>
        <w:t>辆；单位价值100万元以上设备</w:t>
      </w:r>
      <w:r>
        <w:rPr>
          <w:rFonts w:hint="eastAsia" w:ascii="Times New Roman" w:hAnsi="Times New Roman" w:eastAsia="仿宋_GB2312"/>
          <w:bCs/>
          <w:kern w:val="0"/>
          <w:sz w:val="32"/>
          <w:szCs w:val="32"/>
        </w:rPr>
        <w:t>0</w:t>
      </w:r>
      <w:r>
        <w:rPr>
          <w:rFonts w:ascii="Times New Roman" w:hAnsi="Times New Roman" w:eastAsia="仿宋_GB2312"/>
          <w:bCs/>
          <w:kern w:val="0"/>
          <w:sz w:val="32"/>
          <w:szCs w:val="32"/>
        </w:rPr>
        <w:t>台</w:t>
      </w:r>
      <w:r>
        <w:rPr>
          <w:rFonts w:hint="eastAsia" w:ascii="Times New Roman" w:hAnsi="Times New Roman" w:eastAsia="仿宋_GB2312"/>
          <w:bCs/>
          <w:kern w:val="0"/>
          <w:sz w:val="32"/>
          <w:szCs w:val="32"/>
        </w:rPr>
        <w:t>（不含车辆）</w:t>
      </w:r>
      <w:r>
        <w:rPr>
          <w:rFonts w:ascii="Times New Roman" w:hAnsi="Times New Roman" w:eastAsia="仿宋_GB2312"/>
          <w:bCs/>
          <w:kern w:val="0"/>
          <w:sz w:val="32"/>
          <w:szCs w:val="32"/>
        </w:rPr>
        <w:t>。</w:t>
      </w:r>
      <w:r>
        <w:rPr>
          <w:rFonts w:hint="eastAsia" w:ascii="Times New Roman" w:hAnsi="Times New Roman" w:eastAsia="仿宋_GB2312"/>
          <w:bCs/>
          <w:kern w:val="0"/>
          <w:sz w:val="32"/>
          <w:szCs w:val="32"/>
        </w:rPr>
        <w:t>2025</w:t>
      </w:r>
      <w:r>
        <w:rPr>
          <w:rFonts w:ascii="Times New Roman" w:hAnsi="Times New Roman" w:eastAsia="仿宋_GB2312"/>
          <w:bCs/>
          <w:kern w:val="0"/>
          <w:sz w:val="32"/>
          <w:szCs w:val="32"/>
        </w:rPr>
        <w:t>年拟新增配置公务用车</w:t>
      </w:r>
      <w:r>
        <w:rPr>
          <w:rFonts w:hint="eastAsia" w:ascii="Times New Roman" w:hAnsi="Times New Roman" w:eastAsia="仿宋_GB2312"/>
          <w:bCs/>
          <w:kern w:val="0"/>
          <w:sz w:val="32"/>
          <w:szCs w:val="32"/>
        </w:rPr>
        <w:t>0</w:t>
      </w:r>
      <w:r>
        <w:rPr>
          <w:rFonts w:ascii="Times New Roman" w:hAnsi="Times New Roman" w:eastAsia="仿宋_GB2312"/>
          <w:bCs/>
          <w:kern w:val="0"/>
          <w:sz w:val="32"/>
          <w:szCs w:val="32"/>
        </w:rPr>
        <w:t>辆，其中，机要通信用车</w:t>
      </w:r>
      <w:r>
        <w:rPr>
          <w:rFonts w:hint="eastAsia" w:ascii="Times New Roman" w:hAnsi="Times New Roman" w:eastAsia="仿宋_GB2312"/>
          <w:bCs/>
          <w:kern w:val="0"/>
          <w:sz w:val="32"/>
          <w:szCs w:val="32"/>
        </w:rPr>
        <w:t>0</w:t>
      </w:r>
      <w:r>
        <w:rPr>
          <w:rFonts w:ascii="Times New Roman" w:hAnsi="Times New Roman" w:eastAsia="仿宋_GB2312"/>
          <w:bCs/>
          <w:kern w:val="0"/>
          <w:sz w:val="32"/>
          <w:szCs w:val="32"/>
        </w:rPr>
        <w:t>辆，应急保障用车</w:t>
      </w:r>
      <w:r>
        <w:rPr>
          <w:rFonts w:hint="eastAsia" w:ascii="Times New Roman" w:hAnsi="Times New Roman" w:eastAsia="仿宋_GB2312"/>
          <w:bCs/>
          <w:kern w:val="0"/>
          <w:sz w:val="32"/>
          <w:szCs w:val="32"/>
        </w:rPr>
        <w:t>0</w:t>
      </w:r>
      <w:r>
        <w:rPr>
          <w:rFonts w:ascii="Times New Roman" w:hAnsi="Times New Roman" w:eastAsia="仿宋_GB2312"/>
          <w:bCs/>
          <w:kern w:val="0"/>
          <w:sz w:val="32"/>
          <w:szCs w:val="32"/>
        </w:rPr>
        <w:t>辆，执法执勤用车</w:t>
      </w:r>
      <w:r>
        <w:rPr>
          <w:rFonts w:hint="eastAsia" w:ascii="Times New Roman" w:hAnsi="Times New Roman" w:eastAsia="仿宋_GB2312"/>
          <w:bCs/>
          <w:kern w:val="0"/>
          <w:sz w:val="32"/>
          <w:szCs w:val="32"/>
        </w:rPr>
        <w:t>0</w:t>
      </w:r>
      <w:r>
        <w:rPr>
          <w:rFonts w:ascii="Times New Roman" w:hAnsi="Times New Roman" w:eastAsia="仿宋_GB2312"/>
          <w:bCs/>
          <w:kern w:val="0"/>
          <w:sz w:val="32"/>
          <w:szCs w:val="32"/>
        </w:rPr>
        <w:t>辆，特种专业技术用车</w:t>
      </w:r>
      <w:r>
        <w:rPr>
          <w:rFonts w:hint="eastAsia" w:ascii="Times New Roman" w:hAnsi="Times New Roman" w:eastAsia="仿宋_GB2312"/>
          <w:bCs/>
          <w:kern w:val="0"/>
          <w:sz w:val="32"/>
          <w:szCs w:val="32"/>
        </w:rPr>
        <w:t>0</w:t>
      </w:r>
      <w:r>
        <w:rPr>
          <w:rFonts w:ascii="Times New Roman" w:hAnsi="Times New Roman" w:eastAsia="仿宋_GB2312"/>
          <w:bCs/>
          <w:kern w:val="0"/>
          <w:sz w:val="32"/>
          <w:szCs w:val="32"/>
        </w:rPr>
        <w:t>辆，其他按照规定配备的公务用车</w:t>
      </w:r>
      <w:r>
        <w:rPr>
          <w:rFonts w:hint="eastAsia" w:ascii="Times New Roman" w:hAnsi="Times New Roman" w:eastAsia="仿宋_GB2312"/>
          <w:bCs/>
          <w:kern w:val="0"/>
          <w:sz w:val="32"/>
          <w:szCs w:val="32"/>
        </w:rPr>
        <w:t>0</w:t>
      </w:r>
      <w:r>
        <w:rPr>
          <w:rFonts w:ascii="Times New Roman" w:hAnsi="Times New Roman" w:eastAsia="仿宋_GB2312"/>
          <w:bCs/>
          <w:kern w:val="0"/>
          <w:sz w:val="32"/>
          <w:szCs w:val="32"/>
        </w:rPr>
        <w:t xml:space="preserve">辆；新增配备单位价值100万元以上设备   </w:t>
      </w:r>
      <w:r>
        <w:rPr>
          <w:rFonts w:hint="eastAsia" w:ascii="Times New Roman" w:hAnsi="Times New Roman" w:eastAsia="仿宋_GB2312"/>
          <w:bCs/>
          <w:kern w:val="0"/>
          <w:sz w:val="32"/>
          <w:szCs w:val="32"/>
        </w:rPr>
        <w:t>0</w:t>
      </w:r>
      <w:r>
        <w:rPr>
          <w:rFonts w:ascii="Times New Roman" w:hAnsi="Times New Roman" w:eastAsia="仿宋_GB2312"/>
          <w:bCs/>
          <w:kern w:val="0"/>
          <w:sz w:val="32"/>
          <w:szCs w:val="32"/>
        </w:rPr>
        <w:t>台</w:t>
      </w:r>
      <w:r>
        <w:rPr>
          <w:rFonts w:hint="eastAsia" w:ascii="Times New Roman" w:hAnsi="Times New Roman" w:eastAsia="仿宋_GB2312"/>
          <w:bCs/>
          <w:kern w:val="0"/>
          <w:sz w:val="32"/>
          <w:szCs w:val="32"/>
        </w:rPr>
        <w:t>（不含车辆）</w:t>
      </w:r>
      <w:r>
        <w:rPr>
          <w:rFonts w:ascii="Times New Roman" w:hAnsi="Times New Roman" w:eastAsia="仿宋_GB2312"/>
          <w:bCs/>
          <w:kern w:val="0"/>
          <w:sz w:val="32"/>
          <w:szCs w:val="32"/>
        </w:rPr>
        <w:t>。</w:t>
      </w:r>
    </w:p>
    <w:p>
      <w:pPr>
        <w:spacing w:line="600" w:lineRule="exact"/>
        <w:ind w:firstLine="636" w:firstLineChars="200"/>
        <w:jc w:val="left"/>
        <w:rPr>
          <w:rFonts w:ascii="Times New Roman" w:hAnsi="Times New Roman" w:eastAsia="仿宋_GB2312"/>
          <w:bCs/>
          <w:kern w:val="0"/>
          <w:sz w:val="32"/>
          <w:szCs w:val="32"/>
        </w:rPr>
      </w:pPr>
      <w:r>
        <w:rPr>
          <w:rFonts w:ascii="Times New Roman" w:hAnsi="Times New Roman" w:eastAsia="楷体_GB2312"/>
          <w:b/>
          <w:bCs/>
          <w:kern w:val="0"/>
          <w:sz w:val="32"/>
          <w:szCs w:val="32"/>
        </w:rPr>
        <w:t>（六）预算绩效目标说明：</w:t>
      </w:r>
      <w:r>
        <w:rPr>
          <w:rFonts w:ascii="Times New Roman" w:hAnsi="Times New Roman" w:eastAsia="仿宋_GB2312"/>
          <w:bCs/>
          <w:kern w:val="0"/>
          <w:sz w:val="32"/>
          <w:szCs w:val="32"/>
        </w:rPr>
        <w:t>本单位所有支出实行绩效目标管理。纳入</w:t>
      </w:r>
      <w:r>
        <w:rPr>
          <w:rFonts w:hint="eastAsia" w:ascii="Times New Roman" w:hAnsi="Times New Roman" w:eastAsia="仿宋_GB2312"/>
          <w:bCs/>
          <w:kern w:val="0"/>
          <w:sz w:val="32"/>
          <w:szCs w:val="32"/>
        </w:rPr>
        <w:t>2025</w:t>
      </w:r>
      <w:r>
        <w:rPr>
          <w:rFonts w:ascii="Times New Roman" w:hAnsi="Times New Roman" w:eastAsia="仿宋_GB2312"/>
          <w:bCs/>
          <w:kern w:val="0"/>
          <w:sz w:val="32"/>
          <w:szCs w:val="32"/>
        </w:rPr>
        <w:t>年单位整体支出绩效目标的金额为</w:t>
      </w:r>
      <w:r>
        <w:rPr>
          <w:rFonts w:hint="eastAsia" w:ascii="Times New Roman" w:hAnsi="Times New Roman" w:eastAsia="仿宋_GB2312"/>
          <w:sz w:val="32"/>
          <w:szCs w:val="32"/>
        </w:rPr>
        <w:t>588.73</w:t>
      </w:r>
      <w:r>
        <w:rPr>
          <w:rFonts w:ascii="Times New Roman" w:hAnsi="Times New Roman" w:eastAsia="仿宋_GB2312"/>
          <w:bCs/>
          <w:kern w:val="0"/>
          <w:sz w:val="32"/>
          <w:szCs w:val="32"/>
        </w:rPr>
        <w:t>万元，其中，基本支出</w:t>
      </w:r>
      <w:r>
        <w:rPr>
          <w:rFonts w:hint="eastAsia" w:ascii="Times New Roman" w:hAnsi="Times New Roman" w:eastAsia="仿宋_GB2312"/>
          <w:sz w:val="32"/>
          <w:szCs w:val="32"/>
        </w:rPr>
        <w:t>374.98</w:t>
      </w:r>
      <w:r>
        <w:rPr>
          <w:rFonts w:ascii="Times New Roman" w:hAnsi="Times New Roman" w:eastAsia="仿宋_GB2312"/>
          <w:bCs/>
          <w:kern w:val="0"/>
          <w:sz w:val="32"/>
          <w:szCs w:val="32"/>
        </w:rPr>
        <w:t>万元，项目支出</w:t>
      </w:r>
      <w:r>
        <w:rPr>
          <w:rFonts w:hint="eastAsia" w:ascii="Times New Roman" w:hAnsi="Times New Roman" w:eastAsia="仿宋_GB2312"/>
          <w:bCs/>
          <w:kern w:val="0"/>
          <w:sz w:val="32"/>
          <w:szCs w:val="32"/>
        </w:rPr>
        <w:t>213.75</w:t>
      </w:r>
      <w:r>
        <w:rPr>
          <w:rFonts w:ascii="Times New Roman" w:hAnsi="Times New Roman" w:eastAsia="仿宋_GB2312"/>
          <w:bCs/>
          <w:kern w:val="0"/>
          <w:sz w:val="32"/>
          <w:szCs w:val="32"/>
        </w:rPr>
        <w:t>万元，具体绩效目标详见报表。</w:t>
      </w:r>
    </w:p>
    <w:p>
      <w:pPr>
        <w:spacing w:line="600" w:lineRule="exact"/>
        <w:ind w:firstLine="636" w:firstLineChars="200"/>
        <w:rPr>
          <w:rFonts w:ascii="Times New Roman" w:hAnsi="Times New Roman" w:eastAsia="黑体"/>
          <w:sz w:val="32"/>
          <w:szCs w:val="32"/>
        </w:rPr>
      </w:pPr>
      <w:r>
        <w:rPr>
          <w:rFonts w:hint="eastAsia" w:ascii="Times New Roman" w:hAnsi="Times New Roman" w:eastAsia="黑体"/>
          <w:sz w:val="32"/>
          <w:szCs w:val="32"/>
        </w:rPr>
        <w:t>七</w:t>
      </w:r>
      <w:r>
        <w:rPr>
          <w:rFonts w:ascii="Times New Roman" w:hAnsi="Times New Roman" w:eastAsia="黑体"/>
          <w:sz w:val="32"/>
          <w:szCs w:val="32"/>
        </w:rPr>
        <w:t>、名词解释</w:t>
      </w:r>
    </w:p>
    <w:p>
      <w:pPr>
        <w:spacing w:line="600" w:lineRule="exact"/>
        <w:ind w:firstLine="636" w:firstLineChars="200"/>
        <w:rPr>
          <w:rFonts w:ascii="Times New Roman" w:hAnsi="Times New Roman" w:eastAsia="仿宋_GB2312"/>
          <w:sz w:val="32"/>
          <w:szCs w:val="32"/>
        </w:rPr>
      </w:pPr>
      <w:r>
        <w:rPr>
          <w:rFonts w:ascii="Times New Roman" w:hAnsi="Times New Roman" w:eastAsia="仿宋_GB2312"/>
          <w:sz w:val="32"/>
          <w:szCs w:val="32"/>
        </w:rPr>
        <w:t>1、运行经费：是指各单位的公用经费，包括办公及印刷费、邮电费、差旅费、会议费、福利费、日常维修费、专用资料及一般设备购置费、办公用房水电费、办公用房取暖费、办公用房物业管理费、公务用车运行维护费以及其他费用。</w:t>
      </w:r>
    </w:p>
    <w:p>
      <w:pPr>
        <w:spacing w:line="600" w:lineRule="exact"/>
        <w:ind w:firstLine="636" w:firstLineChars="200"/>
        <w:rPr>
          <w:rFonts w:ascii="Times New Roman" w:hAnsi="Times New Roman" w:eastAsia="仿宋_GB2312"/>
          <w:sz w:val="32"/>
          <w:szCs w:val="32"/>
        </w:rPr>
      </w:pPr>
      <w:r>
        <w:rPr>
          <w:rFonts w:ascii="Times New Roman" w:hAnsi="Times New Roman"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widowControl/>
        <w:spacing w:line="600" w:lineRule="exact"/>
        <w:ind w:firstLine="716" w:firstLineChars="200"/>
        <w:jc w:val="center"/>
        <w:rPr>
          <w:rFonts w:ascii="Times New Roman" w:hAnsi="Times New Roman" w:eastAsia="方正小标宋_GBK"/>
          <w:bCs/>
          <w:kern w:val="0"/>
          <w:sz w:val="36"/>
          <w:szCs w:val="36"/>
        </w:rPr>
      </w:pPr>
    </w:p>
    <w:p>
      <w:pPr>
        <w:widowControl/>
        <w:spacing w:line="600" w:lineRule="exact"/>
        <w:ind w:firstLine="716" w:firstLineChars="200"/>
        <w:jc w:val="center"/>
        <w:rPr>
          <w:rFonts w:ascii="Times New Roman" w:hAnsi="Times New Roman" w:eastAsia="方正小标宋_GBK"/>
          <w:bCs/>
          <w:kern w:val="0"/>
          <w:sz w:val="36"/>
          <w:szCs w:val="36"/>
        </w:rPr>
      </w:pPr>
    </w:p>
    <w:p>
      <w:pPr>
        <w:widowControl/>
        <w:spacing w:line="600" w:lineRule="exact"/>
        <w:ind w:firstLine="716" w:firstLineChars="200"/>
        <w:jc w:val="center"/>
        <w:rPr>
          <w:rFonts w:ascii="Times New Roman" w:hAnsi="Times New Roman" w:eastAsia="方正小标宋_GBK"/>
          <w:bCs/>
          <w:kern w:val="0"/>
          <w:sz w:val="36"/>
          <w:szCs w:val="36"/>
        </w:rPr>
      </w:pPr>
    </w:p>
    <w:p>
      <w:pPr>
        <w:widowControl/>
        <w:spacing w:line="600" w:lineRule="exact"/>
        <w:ind w:firstLine="716" w:firstLineChars="200"/>
        <w:jc w:val="center"/>
        <w:rPr>
          <w:rFonts w:ascii="Times New Roman" w:hAnsi="Times New Roman" w:eastAsia="方正小标宋_GBK"/>
          <w:bCs/>
          <w:kern w:val="0"/>
          <w:sz w:val="36"/>
          <w:szCs w:val="36"/>
        </w:rPr>
      </w:pPr>
    </w:p>
    <w:p>
      <w:pPr>
        <w:widowControl/>
        <w:spacing w:line="600" w:lineRule="exact"/>
        <w:ind w:firstLine="716" w:firstLineChars="200"/>
        <w:jc w:val="center"/>
        <w:rPr>
          <w:rFonts w:ascii="Times New Roman" w:hAnsi="Times New Roman" w:eastAsia="方正小标宋_GBK"/>
          <w:bCs/>
          <w:kern w:val="0"/>
          <w:sz w:val="36"/>
          <w:szCs w:val="36"/>
        </w:rPr>
      </w:pPr>
    </w:p>
    <w:p>
      <w:pPr>
        <w:widowControl/>
        <w:spacing w:line="600" w:lineRule="exact"/>
        <w:ind w:firstLine="716" w:firstLineChars="200"/>
        <w:jc w:val="center"/>
        <w:rPr>
          <w:rFonts w:ascii="Times New Roman" w:hAnsi="Times New Roman" w:eastAsia="方正小标宋_GBK"/>
          <w:bCs/>
          <w:kern w:val="0"/>
          <w:sz w:val="36"/>
          <w:szCs w:val="36"/>
        </w:rPr>
      </w:pPr>
    </w:p>
    <w:p>
      <w:pPr>
        <w:widowControl/>
        <w:spacing w:line="600" w:lineRule="exact"/>
        <w:ind w:firstLine="716" w:firstLineChars="200"/>
        <w:jc w:val="center"/>
        <w:rPr>
          <w:rFonts w:ascii="Times New Roman" w:hAnsi="Times New Roman" w:eastAsia="方正小标宋_GBK"/>
          <w:bCs/>
          <w:kern w:val="0"/>
          <w:sz w:val="36"/>
          <w:szCs w:val="36"/>
        </w:rPr>
      </w:pPr>
    </w:p>
    <w:p>
      <w:pPr>
        <w:widowControl/>
        <w:spacing w:line="600" w:lineRule="exact"/>
        <w:ind w:firstLine="716" w:firstLineChars="200"/>
        <w:jc w:val="center"/>
        <w:rPr>
          <w:rFonts w:ascii="Times New Roman" w:hAnsi="Times New Roman" w:eastAsia="方正小标宋_GBK"/>
          <w:bCs/>
          <w:kern w:val="0"/>
          <w:sz w:val="36"/>
          <w:szCs w:val="36"/>
        </w:rPr>
      </w:pPr>
    </w:p>
    <w:p>
      <w:pPr>
        <w:widowControl/>
        <w:spacing w:line="600" w:lineRule="exact"/>
        <w:ind w:firstLine="716" w:firstLineChars="200"/>
        <w:jc w:val="center"/>
        <w:rPr>
          <w:rFonts w:ascii="Times New Roman" w:hAnsi="Times New Roman" w:eastAsia="方正小标宋_GBK"/>
          <w:bCs/>
          <w:kern w:val="0"/>
          <w:sz w:val="36"/>
          <w:szCs w:val="36"/>
        </w:rPr>
      </w:pPr>
    </w:p>
    <w:p>
      <w:pPr>
        <w:widowControl/>
        <w:spacing w:line="600" w:lineRule="exact"/>
        <w:ind w:firstLine="716" w:firstLineChars="200"/>
        <w:jc w:val="center"/>
        <w:rPr>
          <w:rFonts w:ascii="Times New Roman" w:hAnsi="Times New Roman" w:eastAsia="方正小标宋_GBK"/>
          <w:bCs/>
          <w:kern w:val="0"/>
          <w:sz w:val="36"/>
          <w:szCs w:val="36"/>
        </w:rPr>
      </w:pPr>
    </w:p>
    <w:p>
      <w:pPr>
        <w:widowControl/>
        <w:spacing w:line="600" w:lineRule="exact"/>
        <w:ind w:firstLine="716" w:firstLineChars="200"/>
        <w:jc w:val="center"/>
        <w:rPr>
          <w:rFonts w:ascii="Times New Roman" w:hAnsi="Times New Roman" w:eastAsia="方正小标宋_GBK"/>
          <w:bCs/>
          <w:kern w:val="0"/>
          <w:sz w:val="36"/>
          <w:szCs w:val="36"/>
        </w:rPr>
      </w:pPr>
    </w:p>
    <w:p>
      <w:pPr>
        <w:widowControl/>
        <w:spacing w:line="600" w:lineRule="exact"/>
        <w:ind w:firstLine="716" w:firstLineChars="200"/>
        <w:jc w:val="center"/>
        <w:rPr>
          <w:rFonts w:ascii="Times New Roman" w:hAnsi="Times New Roman" w:eastAsia="方正小标宋_GBK"/>
          <w:bCs/>
          <w:kern w:val="0"/>
          <w:sz w:val="36"/>
          <w:szCs w:val="36"/>
        </w:rPr>
      </w:pPr>
    </w:p>
    <w:p>
      <w:pPr>
        <w:widowControl/>
        <w:spacing w:line="600" w:lineRule="exact"/>
        <w:ind w:firstLine="716" w:firstLineChars="200"/>
        <w:jc w:val="center"/>
        <w:rPr>
          <w:rFonts w:ascii="Times New Roman" w:hAnsi="Times New Roman" w:eastAsia="方正小标宋_GBK"/>
          <w:bCs/>
          <w:kern w:val="0"/>
          <w:sz w:val="36"/>
          <w:szCs w:val="36"/>
        </w:rPr>
      </w:pPr>
    </w:p>
    <w:p>
      <w:pPr>
        <w:widowControl/>
        <w:spacing w:line="600" w:lineRule="exact"/>
        <w:ind w:firstLine="716" w:firstLineChars="200"/>
        <w:jc w:val="center"/>
        <w:rPr>
          <w:rFonts w:ascii="Times New Roman" w:hAnsi="Times New Roman" w:eastAsia="方正小标宋_GBK"/>
          <w:bCs/>
          <w:kern w:val="0"/>
          <w:sz w:val="36"/>
          <w:szCs w:val="36"/>
        </w:rPr>
      </w:pPr>
    </w:p>
    <w:p>
      <w:pPr>
        <w:widowControl/>
        <w:spacing w:line="600" w:lineRule="exact"/>
        <w:ind w:firstLine="716" w:firstLineChars="200"/>
        <w:jc w:val="center"/>
        <w:rPr>
          <w:rFonts w:ascii="Times New Roman" w:hAnsi="Times New Roman" w:eastAsia="方正小标宋_GBK"/>
          <w:bCs/>
          <w:kern w:val="0"/>
          <w:sz w:val="36"/>
          <w:szCs w:val="36"/>
        </w:rPr>
      </w:pPr>
      <w:r>
        <w:rPr>
          <w:rFonts w:ascii="Times New Roman" w:hAnsi="Times New Roman" w:eastAsia="方正小标宋_GBK"/>
          <w:bCs/>
          <w:kern w:val="0"/>
          <w:sz w:val="36"/>
          <w:szCs w:val="36"/>
        </w:rPr>
        <w:t xml:space="preserve">第二部分 </w:t>
      </w:r>
      <w:r>
        <w:rPr>
          <w:rFonts w:hint="eastAsia" w:ascii="Times New Roman" w:hAnsi="Times New Roman" w:eastAsia="方正小标宋_GBK"/>
          <w:bCs/>
          <w:kern w:val="0"/>
          <w:sz w:val="36"/>
          <w:szCs w:val="36"/>
        </w:rPr>
        <w:t>2025</w:t>
      </w:r>
      <w:r>
        <w:rPr>
          <w:rFonts w:ascii="Times New Roman" w:hAnsi="Times New Roman" w:eastAsia="方正小标宋_GBK"/>
          <w:bCs/>
          <w:kern w:val="0"/>
          <w:sz w:val="36"/>
          <w:szCs w:val="36"/>
        </w:rPr>
        <w:t>年单位预算表</w:t>
      </w:r>
    </w:p>
    <w:p>
      <w:pPr>
        <w:widowControl/>
        <w:spacing w:line="600" w:lineRule="exact"/>
        <w:jc w:val="left"/>
        <w:rPr>
          <w:rFonts w:ascii="Times New Roman" w:hAnsi="Times New Roman" w:eastAsia="黑体"/>
          <w:sz w:val="32"/>
          <w:szCs w:val="32"/>
        </w:rPr>
      </w:pPr>
    </w:p>
    <w:p>
      <w:pPr>
        <w:widowControl/>
        <w:spacing w:line="600" w:lineRule="exact"/>
        <w:jc w:val="left"/>
        <w:rPr>
          <w:rFonts w:ascii="Times New Roman" w:hAnsi="Times New Roman" w:eastAsia="黑体"/>
          <w:sz w:val="32"/>
          <w:szCs w:val="32"/>
        </w:rPr>
      </w:pPr>
    </w:p>
    <w:p>
      <w:pPr>
        <w:widowControl/>
        <w:spacing w:line="600" w:lineRule="exact"/>
        <w:jc w:val="left"/>
        <w:rPr>
          <w:rFonts w:ascii="Times New Roman" w:hAnsi="Times New Roman" w:eastAsia="黑体"/>
          <w:sz w:val="32"/>
          <w:szCs w:val="32"/>
        </w:rPr>
      </w:pPr>
    </w:p>
    <w:p>
      <w:pPr>
        <w:widowControl/>
        <w:spacing w:line="600" w:lineRule="exact"/>
        <w:jc w:val="left"/>
        <w:rPr>
          <w:rFonts w:ascii="Times New Roman" w:hAnsi="Times New Roman" w:eastAsia="黑体"/>
          <w:sz w:val="32"/>
          <w:szCs w:val="32"/>
        </w:rPr>
      </w:pPr>
    </w:p>
    <w:p>
      <w:pPr>
        <w:widowControl/>
        <w:spacing w:line="600" w:lineRule="exact"/>
        <w:jc w:val="left"/>
        <w:rPr>
          <w:rFonts w:ascii="Times New Roman" w:hAnsi="Times New Roman" w:eastAsia="黑体"/>
          <w:sz w:val="32"/>
          <w:szCs w:val="32"/>
        </w:rPr>
      </w:pPr>
    </w:p>
    <w:p>
      <w:pPr>
        <w:widowControl/>
        <w:spacing w:line="600" w:lineRule="exact"/>
        <w:jc w:val="left"/>
        <w:rPr>
          <w:rFonts w:ascii="Times New Roman" w:hAnsi="Times New Roman" w:eastAsia="黑体"/>
          <w:sz w:val="32"/>
          <w:szCs w:val="32"/>
        </w:rPr>
      </w:pPr>
    </w:p>
    <w:p>
      <w:pPr>
        <w:widowControl/>
        <w:spacing w:line="600" w:lineRule="exact"/>
        <w:jc w:val="left"/>
        <w:rPr>
          <w:rFonts w:ascii="Times New Roman" w:hAnsi="Times New Roman" w:eastAsia="黑体"/>
          <w:sz w:val="32"/>
          <w:szCs w:val="32"/>
        </w:rPr>
      </w:pPr>
    </w:p>
    <w:p>
      <w:pPr>
        <w:widowControl/>
        <w:spacing w:line="600" w:lineRule="exact"/>
        <w:jc w:val="left"/>
        <w:rPr>
          <w:rFonts w:ascii="Times New Roman" w:hAnsi="Times New Roman" w:eastAsia="黑体"/>
          <w:sz w:val="32"/>
          <w:szCs w:val="32"/>
        </w:rPr>
      </w:pPr>
    </w:p>
    <w:p>
      <w:pPr>
        <w:widowControl/>
        <w:spacing w:line="600" w:lineRule="exact"/>
        <w:jc w:val="left"/>
        <w:rPr>
          <w:rFonts w:ascii="Times New Roman" w:hAnsi="Times New Roman" w:eastAsia="黑体"/>
          <w:sz w:val="32"/>
          <w:szCs w:val="32"/>
        </w:rPr>
      </w:pPr>
    </w:p>
    <w:p>
      <w:pPr>
        <w:widowControl/>
        <w:spacing w:line="600" w:lineRule="exact"/>
        <w:jc w:val="left"/>
        <w:rPr>
          <w:rFonts w:ascii="Times New Roman" w:hAnsi="Times New Roman" w:eastAsia="黑体"/>
          <w:sz w:val="32"/>
          <w:szCs w:val="32"/>
        </w:rPr>
      </w:pPr>
    </w:p>
    <w:p>
      <w:pPr>
        <w:widowControl/>
        <w:spacing w:line="600" w:lineRule="exact"/>
        <w:jc w:val="left"/>
        <w:rPr>
          <w:rFonts w:ascii="Times New Roman" w:hAnsi="Times New Roman" w:eastAsia="黑体"/>
          <w:sz w:val="32"/>
          <w:szCs w:val="32"/>
        </w:rPr>
      </w:pPr>
    </w:p>
    <w:p>
      <w:pPr>
        <w:widowControl/>
        <w:spacing w:line="600" w:lineRule="exact"/>
        <w:jc w:val="left"/>
        <w:rPr>
          <w:rFonts w:ascii="Times New Roman" w:hAnsi="Times New Roman" w:eastAsia="黑体"/>
          <w:sz w:val="32"/>
          <w:szCs w:val="32"/>
        </w:rPr>
      </w:pPr>
    </w:p>
    <w:p>
      <w:pPr>
        <w:widowControl/>
        <w:spacing w:line="600" w:lineRule="exact"/>
        <w:jc w:val="left"/>
        <w:rPr>
          <w:rFonts w:ascii="Times New Roman" w:hAnsi="Times New Roman" w:eastAsia="黑体"/>
          <w:sz w:val="32"/>
          <w:szCs w:val="32"/>
        </w:rPr>
      </w:pPr>
    </w:p>
    <w:p>
      <w:pPr>
        <w:widowControl/>
        <w:spacing w:line="600" w:lineRule="exact"/>
        <w:jc w:val="left"/>
        <w:rPr>
          <w:rFonts w:ascii="Times New Roman" w:hAnsi="Times New Roman" w:eastAsia="黑体"/>
          <w:sz w:val="32"/>
          <w:szCs w:val="32"/>
        </w:rPr>
      </w:pPr>
    </w:p>
    <w:p>
      <w:pPr>
        <w:widowControl/>
        <w:spacing w:line="600" w:lineRule="exact"/>
        <w:jc w:val="left"/>
        <w:rPr>
          <w:rFonts w:ascii="Times New Roman" w:hAnsi="Times New Roman" w:eastAsia="黑体"/>
          <w:sz w:val="32"/>
          <w:szCs w:val="32"/>
        </w:rPr>
      </w:pPr>
    </w:p>
    <w:p>
      <w:pPr>
        <w:widowControl/>
        <w:spacing w:line="600" w:lineRule="exact"/>
        <w:jc w:val="left"/>
        <w:rPr>
          <w:rFonts w:ascii="Times New Roman" w:hAnsi="Times New Roman" w:eastAsia="黑体"/>
          <w:sz w:val="32"/>
          <w:szCs w:val="32"/>
        </w:rPr>
      </w:pPr>
    </w:p>
    <w:p>
      <w:pPr>
        <w:widowControl/>
        <w:spacing w:line="600" w:lineRule="exact"/>
        <w:jc w:val="left"/>
        <w:rPr>
          <w:rFonts w:ascii="Times New Roman" w:hAnsi="Times New Roman" w:eastAsia="黑体"/>
          <w:sz w:val="32"/>
          <w:szCs w:val="32"/>
        </w:rPr>
      </w:pPr>
    </w:p>
    <w:p>
      <w:pPr>
        <w:widowControl/>
        <w:spacing w:line="600" w:lineRule="exact"/>
        <w:jc w:val="left"/>
        <w:rPr>
          <w:rFonts w:ascii="Times New Roman" w:hAnsi="Times New Roman" w:eastAsia="黑体"/>
          <w:sz w:val="32"/>
          <w:szCs w:val="32"/>
        </w:rPr>
      </w:pPr>
    </w:p>
    <w:p>
      <w:pPr>
        <w:widowControl/>
        <w:spacing w:line="600" w:lineRule="exact"/>
        <w:jc w:val="left"/>
        <w:rPr>
          <w:rFonts w:ascii="Times New Roman" w:hAnsi="Times New Roman" w:eastAsia="黑体"/>
          <w:sz w:val="32"/>
          <w:szCs w:val="32"/>
        </w:rPr>
      </w:pPr>
    </w:p>
    <w:p>
      <w:pPr>
        <w:widowControl/>
        <w:spacing w:line="600" w:lineRule="exact"/>
        <w:jc w:val="left"/>
        <w:rPr>
          <w:rFonts w:ascii="Times New Roman" w:hAnsi="Times New Roman" w:eastAsia="黑体"/>
          <w:sz w:val="32"/>
          <w:szCs w:val="32"/>
        </w:rPr>
      </w:pPr>
    </w:p>
    <w:p>
      <w:pPr>
        <w:widowControl/>
        <w:spacing w:line="600" w:lineRule="exact"/>
        <w:jc w:val="left"/>
        <w:rPr>
          <w:rFonts w:ascii="Times New Roman" w:hAnsi="Times New Roman" w:eastAsia="黑体"/>
          <w:sz w:val="32"/>
          <w:szCs w:val="32"/>
        </w:rPr>
      </w:pPr>
    </w:p>
    <w:p>
      <w:pPr>
        <w:widowControl/>
        <w:spacing w:line="600" w:lineRule="exact"/>
        <w:jc w:val="left"/>
        <w:rPr>
          <w:rFonts w:ascii="Times New Roman" w:hAnsi="Times New Roman" w:eastAsia="黑体"/>
          <w:sz w:val="32"/>
          <w:szCs w:val="32"/>
        </w:rPr>
      </w:pPr>
    </w:p>
    <w:p>
      <w:pPr>
        <w:widowControl/>
        <w:spacing w:line="600" w:lineRule="exact"/>
        <w:jc w:val="left"/>
        <w:rPr>
          <w:rFonts w:ascii="Times New Roman" w:hAnsi="Times New Roman" w:eastAsia="黑体"/>
          <w:sz w:val="32"/>
          <w:szCs w:val="32"/>
        </w:rPr>
      </w:pPr>
    </w:p>
    <w:p/>
    <w:sectPr>
      <w:pgSz w:w="11907" w:h="16840"/>
      <w:pgMar w:top="1134" w:right="1797" w:bottom="1304" w:left="1797" w:header="851" w:footer="992" w:gutter="0"/>
      <w:cols w:space="720" w:num="1"/>
      <w:docGrid w:type="linesAndChars" w:linePitch="495" w:charSpace="-59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00000" w:csb1="00000000"/>
  </w:font>
  <w:font w:name="方正小标宋_GBK">
    <w:altName w:val="微软雅黑"/>
    <w:panose1 w:val="00000000000000000000"/>
    <w:charset w:val="86"/>
    <w:family w:val="script"/>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1374C9"/>
    <w:rsid w:val="00053C8A"/>
    <w:rsid w:val="0008705F"/>
    <w:rsid w:val="000F46AA"/>
    <w:rsid w:val="003117C9"/>
    <w:rsid w:val="0091293C"/>
    <w:rsid w:val="00B6519D"/>
    <w:rsid w:val="00D07E7C"/>
    <w:rsid w:val="00D22F84"/>
    <w:rsid w:val="00D60949"/>
    <w:rsid w:val="00DC4DD0"/>
    <w:rsid w:val="042F320E"/>
    <w:rsid w:val="0F1374C9"/>
    <w:rsid w:val="1B7D32CC"/>
    <w:rsid w:val="32700642"/>
    <w:rsid w:val="329D7251"/>
    <w:rsid w:val="400D42F9"/>
    <w:rsid w:val="402B1DEA"/>
    <w:rsid w:val="459A1DE9"/>
    <w:rsid w:val="588F61B2"/>
    <w:rsid w:val="5E1356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8"/>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Body Text Indent"/>
    <w:basedOn w:val="1"/>
    <w:qFormat/>
    <w:uiPriority w:val="0"/>
    <w:pPr>
      <w:ind w:firstLine="634"/>
    </w:pPr>
    <w:rPr>
      <w:rFonts w:eastAsia="仿宋_GB2312"/>
    </w:rPr>
  </w:style>
  <w:style w:type="paragraph" w:styleId="4">
    <w:name w:val="header"/>
    <w:basedOn w:val="1"/>
    <w:link w:val="8"/>
    <w:uiPriority w:val="0"/>
    <w:pPr>
      <w:pBdr>
        <w:bottom w:val="single" w:color="auto" w:sz="6" w:space="1"/>
      </w:pBdr>
      <w:tabs>
        <w:tab w:val="center" w:pos="4153"/>
        <w:tab w:val="right" w:pos="8306"/>
      </w:tabs>
      <w:snapToGrid w:val="0"/>
      <w:jc w:val="center"/>
    </w:pPr>
    <w:rPr>
      <w:sz w:val="18"/>
      <w:szCs w:val="18"/>
    </w:rPr>
  </w:style>
  <w:style w:type="paragraph" w:styleId="5">
    <w:name w:val="Body Text First Indent 2"/>
    <w:basedOn w:val="3"/>
    <w:qFormat/>
    <w:uiPriority w:val="0"/>
    <w:pPr>
      <w:ind w:firstLine="420" w:firstLineChars="200"/>
    </w:pPr>
  </w:style>
  <w:style w:type="character" w:customStyle="1" w:styleId="8">
    <w:name w:val="页眉 Char"/>
    <w:basedOn w:val="7"/>
    <w:link w:val="4"/>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471</Words>
  <Characters>2685</Characters>
  <Lines>22</Lines>
  <Paragraphs>6</Paragraphs>
  <TotalTime>14</TotalTime>
  <ScaleCrop>false</ScaleCrop>
  <LinksUpToDate>false</LinksUpToDate>
  <CharactersWithSpaces>3150</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2025-03-05T08:33:00Z</dcterms:created>
  <dc:creator>lenovo</dc:creator>
  <cp:lastModifiedBy>lenovo</cp:lastModifiedBy>
  <dcterms:modified xsi:type="dcterms:W3CDTF">2025-03-10T01:13:04Z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