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eastAsia="zh-CN"/>
        </w:rPr>
        <w:t>湖南省植保植检站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一、单位基本概况</w:t>
      </w:r>
    </w:p>
    <w:p>
      <w:pPr>
        <w:spacing w:line="600" w:lineRule="exact"/>
        <w:ind w:firstLine="600"/>
        <w:rPr>
          <w:rFonts w:eastAsia="仿宋_GB2312"/>
          <w:sz w:val="32"/>
          <w:szCs w:val="32"/>
          <w:highlight w:val="none"/>
          <w:u w:val="none"/>
        </w:rPr>
      </w:pPr>
      <w:r>
        <w:rPr>
          <w:rFonts w:eastAsia="楷体_GB2312"/>
          <w:b/>
          <w:sz w:val="32"/>
          <w:szCs w:val="32"/>
          <w:highlight w:val="none"/>
          <w:u w:val="none"/>
        </w:rPr>
        <w:t>（一）职能职责。</w:t>
      </w:r>
      <w:r>
        <w:rPr>
          <w:rFonts w:eastAsia="仿宋_GB2312"/>
          <w:sz w:val="32"/>
          <w:szCs w:val="32"/>
          <w:highlight w:val="none"/>
          <w:u w:val="none"/>
        </w:rPr>
        <w:t>湖南省植保植检站主要职能职责包括</w:t>
      </w:r>
      <w:r>
        <w:rPr>
          <w:rFonts w:hint="eastAsia" w:eastAsia="仿宋_GB2312"/>
          <w:sz w:val="32"/>
          <w:szCs w:val="32"/>
          <w:highlight w:val="none"/>
          <w:u w:val="none"/>
        </w:rPr>
        <w:t>：研究拟定全省植保植检工作中长期规划，指导植保植检体系和队伍建设，组织并指导全省开展大面积农作物病虫草鼠防治工作；承担全省专业性病虫测报体系规划、建设及相关业务管理，制定病虫草鼠调查测报办法，及时做出农业有害生物发生趋势预测，发布农业有害生物预报或灾情警报；组织农作物病虫害防控与重大农业生物灾害控制；组织贯彻植物检疫法律和法规，承办检疫审批、检疫检验、签发证书、组织疫情普查，制定封锁和消灭措施；负责植保新技术、新农药、新药械的试验示范、开发及推广应用，开展农药使用等专业技术培训及监督管理。</w:t>
      </w:r>
    </w:p>
    <w:p>
      <w:pPr>
        <w:spacing w:line="600" w:lineRule="exact"/>
        <w:ind w:firstLine="600"/>
        <w:rPr>
          <w:rFonts w:eastAsia="仿宋_GB2312"/>
          <w:sz w:val="32"/>
          <w:szCs w:val="32"/>
          <w:highlight w:val="none"/>
          <w:u w:val="none"/>
        </w:rPr>
      </w:pPr>
      <w:r>
        <w:rPr>
          <w:rFonts w:eastAsia="楷体_GB2312"/>
          <w:b/>
          <w:sz w:val="32"/>
          <w:szCs w:val="32"/>
          <w:highlight w:val="none"/>
          <w:u w:val="none"/>
        </w:rPr>
        <w:t>（二）机构设置。</w:t>
      </w:r>
      <w:r>
        <w:rPr>
          <w:rFonts w:hint="eastAsia" w:eastAsia="仿宋_GB2312"/>
          <w:sz w:val="32"/>
          <w:szCs w:val="32"/>
          <w:highlight w:val="none"/>
          <w:u w:val="none"/>
        </w:rPr>
        <w:t>湖南省植保植检站内设有综合科、测报科、检疫科、防治科、计财科、药械科、经保科、信息科等8个科室。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eastAsia="仿宋_GB2312"/>
          <w:sz w:val="32"/>
          <w:szCs w:val="32"/>
          <w:highlight w:val="none"/>
          <w:u w:val="none"/>
        </w:rPr>
        <w:t>湖南省植保植检站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预算单位。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、单位收支总体情况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年本单位收入预算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3104.96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1156.04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万元，纳入专户管理的非税收入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上年结转结余1948.92万元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收入较去年增加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133.56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上年结转结余增加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3104.96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教育支出44.63万元，社会保障和就业支出157.65万元，卫生健康支出88.45万元，农林水支出2749.23万元，住房保障支出65.00万元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eastAsia="仿宋_GB2312"/>
          <w:b w:val="0"/>
          <w:bCs w:val="0"/>
          <w:sz w:val="32"/>
          <w:szCs w:val="32"/>
          <w:highlight w:val="none"/>
          <w:u w:val="none"/>
        </w:rPr>
        <w:t>支出较去年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</w:rPr>
        <w:t>增加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133.56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上年结转结余增加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3104.96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教育支出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44.63万元，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1.44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</w:rPr>
        <w:t>社会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保障和就业支出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157.65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5.08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%；卫生健康支出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88.45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2.85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%；农林水支出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2749.23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88.54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%；住房保障支出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65.00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2.09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994.04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2110.92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事业发展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210.72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万元，主要用于植保专项培训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、植保重点工作推进、植保信息化建设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等方面；其他事业发展支出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1900.20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万元，主要用于种子工程和动植物保护能力提升方面。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本部门无政府性基金安排的支出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b w:val="0"/>
          <w:bCs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年本单位运行经费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99.94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万元，比上年预算减少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11.10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万元，下降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%，主要是</w:t>
      </w:r>
      <w:r>
        <w:rPr>
          <w:rFonts w:hint="eastAsia" w:eastAsia="仿宋_GB2312"/>
          <w:b w:val="0"/>
          <w:bCs/>
          <w:sz w:val="32"/>
          <w:szCs w:val="32"/>
          <w:highlight w:val="none"/>
          <w:u w:val="none"/>
          <w:lang w:eastAsia="zh-CN"/>
        </w:rPr>
        <w:t>单位</w:t>
      </w:r>
      <w:r>
        <w:rPr>
          <w:rFonts w:hint="eastAsia" w:eastAsia="仿宋_GB2312"/>
          <w:b w:val="0"/>
          <w:bCs/>
          <w:sz w:val="32"/>
          <w:szCs w:val="32"/>
          <w:highlight w:val="none"/>
          <w:u w:val="none"/>
          <w:lang w:val="en-US" w:eastAsia="zh-CN"/>
        </w:rPr>
        <w:t>厉行节约，</w:t>
      </w:r>
      <w:r>
        <w:rPr>
          <w:rFonts w:hint="eastAsia" w:eastAsia="仿宋_GB2312"/>
          <w:b w:val="0"/>
          <w:bCs/>
          <w:sz w:val="32"/>
          <w:szCs w:val="32"/>
          <w:highlight w:val="none"/>
          <w:u w:val="none"/>
          <w:lang w:eastAsia="zh-CN"/>
        </w:rPr>
        <w:t>压减了一般性支出</w:t>
      </w:r>
      <w:r>
        <w:rPr>
          <w:rFonts w:eastAsia="仿宋_GB2312"/>
          <w:b w:val="0"/>
          <w:bCs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年本单位“三公”经费预算数为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5.50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万元，其中，公务接待费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万元，公务用车购置及运行费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4.50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万元（其中，公务用车购置费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4.50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万元），因公出国（境）费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年“三公”经费预算较上年持平，主要是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本年工作任务无较大变化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年本单位会议费预算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val="en-US" w:eastAsia="zh-CN"/>
        </w:rPr>
        <w:t>拟召开全省种植业（植保）工作会议，人数46人，内容为贯彻落实中央、湖南省相关会议精神，总结交流上年植保工作，部署今年重点工作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；培训费预算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44.63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万元，拟开展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7次培训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，人数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645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人，内容为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培训蔬菜病虫害及杂草发生规律与防控技术；实蝇类、蔬菜粉虱、蔬菜蓟马发生规律及绿色防控技术培训；农药减量增效技术培训、农田杂草防除技术培训等；观摩统防统治与绿色防控融合推进示范点，年终病虫基数、栽培制度、气候等因素综合分析，培训防治技术；现场观摩评价病虫防控工作成效暨植保贡献率，围绕水稻主要病害绿色防控、稻田杂草防控、晚稻重大虫害防控及植保新技术应用等内容培训；年初病虫基数、栽培制度、气候等因素综合分析，培训防治技术；培训新型测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工具。未计划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举办节庆、晚会、论坛、赛事活动，经费预算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年本部门政府采购预算总额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万元，其中，货物类采购预算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5.00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万元；工程类采购预算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万元；服务类采购预算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 xml:space="preserve">辆，其中，机要通信用车   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highlight w:val="none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年单位整体支出绩效目标的金额为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1156.04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994.04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万元，项目支出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162.00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年单位预算表</w:t>
      </w:r>
      <w:bookmarkStart w:id="0" w:name="_GoBack"/>
      <w:bookmarkEnd w:id="0"/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rPr>
          <w:highlight w:val="none"/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74C9"/>
    <w:rsid w:val="042F320E"/>
    <w:rsid w:val="044A7772"/>
    <w:rsid w:val="0C3D2260"/>
    <w:rsid w:val="0F1374C9"/>
    <w:rsid w:val="227945C4"/>
    <w:rsid w:val="314B756C"/>
    <w:rsid w:val="3EC66D76"/>
    <w:rsid w:val="4C097F1C"/>
    <w:rsid w:val="4E547E8C"/>
    <w:rsid w:val="57477A97"/>
    <w:rsid w:val="5ACD1D83"/>
    <w:rsid w:val="5E1356C5"/>
    <w:rsid w:val="62D81BC0"/>
    <w:rsid w:val="687162BC"/>
    <w:rsid w:val="69D55FCD"/>
    <w:rsid w:val="7C77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2774</Words>
  <Characters>3027</Characters>
  <Lines>0</Lines>
  <Paragraphs>0</Paragraphs>
  <TotalTime>5</TotalTime>
  <ScaleCrop>false</ScaleCrop>
  <LinksUpToDate>false</LinksUpToDate>
  <CharactersWithSpaces>3041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2025-02-17T13:40:00Z</dcterms:created>
  <dc:creator>lenovo</dc:creator>
  <cp:lastModifiedBy>lenovo</cp:lastModifiedBy>
  <dcterms:modified xsi:type="dcterms:W3CDTF">2025-03-10T02:31:58Z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KSOTemplateDocerSaveRecord">
    <vt:lpwstr>eyJoZGlkIjoiM2IzMDBiNzkzODViMDY3ZGY3YTdhYjc4M2ZiNDljZGUiLCJ1c2VySWQiOiI0NjEzNDA0NzAifQ==</vt:lpwstr>
  </property>
  <property fmtid="{D5CDD505-2E9C-101B-9397-08002B2CF9AE}" pid="4" name="ICV">
    <vt:lpwstr>9F467813B149442786A8A904357306B0_12</vt:lpwstr>
  </property>
</Properties>
</file>