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</w:rPr>
      </w:pP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</w:rPr>
        <w:t>年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  <w:lang w:eastAsia="zh-CN"/>
        </w:rPr>
        <w:t>湖南省农村能源技术推广站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highlight w:val="none"/>
          <w:u w:val="none"/>
        </w:rPr>
        <w:t>预算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  <w:t>目 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方正小标宋_GBK" w:cs="Times New Roman"/>
          <w:b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 xml:space="preserve">第一部分 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>年单位预算说明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 xml:space="preserve">第二部分 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  <w:t>年单位预算表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1、收支总表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2、收入总表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3、支出总表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4、支出预算分类汇总表（按政府预算经济分类）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5、支出预算分类汇总表（按部门预算经济分类）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6、财政拨款收支总表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7、一般公共预算支出表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8、一般公共预算基本支出表-人员经费（工资福利支出）（按政府预算经济分类）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9、一般公共预算基本支出表-人员经费（工资福利支出）（按部门预算经济分类）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10、一般公共预算基本支出表-人员经费（对个人和家庭的补助）（按政府预算经济分类）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11、一般公共预算基本支出表-人员经费（对个人和家庭的补助）（按部门预算经济分类）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12、一般公共预算基本支出表-公用经费（商品和服务支出）（按政府预算经济分类）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13、一般公共预算基本支出表-公用经费（商品和服务支出）（按部门预算经济分类）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14、一般公共预算“三公”经费支出表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15、政府性基金预算支出表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16、政府性基金预算支出分类汇总表（按政府预算经济分类）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17、政府性基金预算支出分类汇总表（按部门预算经济分类）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18、国有资本经营预算支出表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19、财政专户管理资金预算支出表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20、省级专项资金预算汇总表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21、省级专项资金绩效目标表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22、其他项目支出绩效目标表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23、部门整体支出绩效目标表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 xml:space="preserve">第一部分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>年单位预算说明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  <w:t>一、单位基本概况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（一）职能职责。</w:t>
      </w:r>
    </w:p>
    <w:p>
      <w:pPr>
        <w:widowControl/>
        <w:spacing w:line="600" w:lineRule="exact"/>
        <w:ind w:firstLine="624" w:firstLineChars="196"/>
        <w:jc w:val="left"/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eastAsia="楷体_GB2312"/>
          <w:b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>承担我省农村能源科研、新技术引进；试点示范推广等任务。</w:t>
      </w:r>
    </w:p>
    <w:p>
      <w:pPr>
        <w:widowControl/>
        <w:numPr>
          <w:ilvl w:val="0"/>
          <w:numId w:val="1"/>
        </w:numPr>
        <w:spacing w:line="600" w:lineRule="exact"/>
        <w:ind w:firstLine="660"/>
        <w:jc w:val="left"/>
        <w:rPr>
          <w:rFonts w:eastAsia="楷体_GB2312"/>
          <w:b/>
          <w:sz w:val="32"/>
          <w:szCs w:val="32"/>
          <w:highlight w:val="none"/>
          <w:u w:val="none"/>
        </w:rPr>
      </w:pPr>
      <w:r>
        <w:rPr>
          <w:rFonts w:eastAsia="楷体_GB2312"/>
          <w:b/>
          <w:sz w:val="32"/>
          <w:szCs w:val="32"/>
          <w:highlight w:val="none"/>
          <w:u w:val="none"/>
        </w:rPr>
        <w:t>机构设置。</w:t>
      </w:r>
    </w:p>
    <w:p>
      <w:pPr>
        <w:widowControl/>
        <w:numPr>
          <w:ilvl w:val="0"/>
          <w:numId w:val="0"/>
        </w:numPr>
        <w:spacing w:line="600" w:lineRule="exact"/>
        <w:jc w:val="left"/>
        <w:rPr>
          <w:rFonts w:hint="default" w:eastAsia="仿宋_GB2312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eastAsia="楷体_GB2312"/>
          <w:b/>
          <w:sz w:val="32"/>
          <w:szCs w:val="32"/>
          <w:highlight w:val="none"/>
          <w:u w:val="none"/>
          <w:lang w:val="en-US" w:eastAsia="zh-CN"/>
        </w:rPr>
        <w:t xml:space="preserve">    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 xml:space="preserve"> 我站为正科级二类事业单位，单位未设置内设机构，人员编制6人，现有在职员工4人，退休人员2名。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  <w:t>二、预算单位构成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湖南省农村能源技术推广站无下属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预算单位。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  <w:lang w:eastAsia="zh-CN"/>
        </w:rPr>
        <w:t>三</w:t>
      </w: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highlight w:val="none"/>
          <w:u w:val="none"/>
        </w:rPr>
        <w:t>、单位收支总体情况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（一）收入预算：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包括一般公共预算、政府性基金、国有资本经营预算等财政拨款收入，以及经营收入、事业收入等单位资金。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年本单位收入预算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57.71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万元，其中，一般公共预算拨款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57.71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万元，政府性基金预算拨款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万元，国有资本经营预算拨款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万元，纳入专户管理的非税收入  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万元。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收入较去年减少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  <w:lang w:val="en-US" w:eastAsia="zh-CN"/>
        </w:rPr>
        <w:t>7.90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万元，主要是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  <w:lang w:val="en-US" w:eastAsia="zh-CN"/>
        </w:rPr>
        <w:t>2024年退休一人，2025年人员经费减少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（二）支出预算：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年本单位支出预算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57.71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万元，其中，社会保障和就业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10.65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，卫生健康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3.40万元，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农林水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38.91万元，住房保障4.75万元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支出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较去年减少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  <w:lang w:val="en-US" w:eastAsia="zh-CN"/>
        </w:rPr>
        <w:t>7.90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万元，主要是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  <w:lang w:val="en-US" w:eastAsia="zh-CN"/>
        </w:rPr>
        <w:t>2024年退休一人，2025年人员经费减少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、一般公共预算拨款支出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年本单位一般公共预算拨款支出预算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57.71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万元，其中，社会保障和就业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支出10.65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18.45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 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卫生健康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支出3.40万元，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5.89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农林水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支出38.91万元，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67.42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 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住房保障支出4.75万元，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8.23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%。具体安排情况如下：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（一）基本支出：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年本单位基本支出预算数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57.71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万元，主要是为保障单位机构正常运转、完成日常工作任务而发生的各项支出，包括用于基本工资、津贴补贴等人员经费。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（二）项目支出：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年本单位项目支出预算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万元，主要是部门为完成特定行政工作任务或事业发展目标而发生的支出，包括有关事业发展专项、专项业务费、基本建设支出等。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、政府性基金预算支出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highlight w:val="none"/>
          <w:u w:val="none"/>
        </w:rPr>
        <w:t>本部门无政府性基金安排的支出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（一）运行经费：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年本单位运行经费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上年预算持平</w:t>
      </w:r>
      <w:r>
        <w:rPr>
          <w:rFonts w:eastAsia="仿宋_GB2312"/>
          <w:sz w:val="32"/>
          <w:szCs w:val="32"/>
          <w:highlight w:val="none"/>
          <w:u w:val="none"/>
        </w:rPr>
        <w:t>，主要是</w:t>
      </w:r>
      <w:r>
        <w:rPr>
          <w:rFonts w:hint="eastAsia" w:eastAsia="仿宋_GB2312"/>
          <w:sz w:val="32"/>
          <w:szCs w:val="32"/>
          <w:highlight w:val="none"/>
          <w:u w:val="none"/>
          <w:lang w:eastAsia="zh-CN"/>
        </w:rPr>
        <w:t>无经费安排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。</w:t>
      </w:r>
    </w:p>
    <w:p>
      <w:pPr>
        <w:widowControl/>
        <w:spacing w:line="60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（二）“三公”经费预算：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年本单位“三公”经费预算数为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万元，其中，公务接待费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万元，公务用车购置及运行费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万元（其中，公务用车购置费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万元，公务用车运行费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万元），因公出国（境）费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2024年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“三公”经费预算较上年持平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 万元，主要是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无三公经费安排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（三）一般性支出情况：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本单位会议费预算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  万元，拟召开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会议，人数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人；培训费预算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万元，拟开展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培训，人数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未计划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举办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节庆、晚会、论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坛、赛事活动，经费预算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万元</w:t>
      </w:r>
      <w:r>
        <w:rPr>
          <w:rFonts w:eastAsia="仿宋_GB2312"/>
          <w:kern w:val="0"/>
          <w:sz w:val="32"/>
          <w:szCs w:val="32"/>
          <w:highlight w:val="none"/>
          <w:u w:val="none"/>
        </w:rPr>
        <w:t>。</w:t>
      </w:r>
    </w:p>
    <w:p>
      <w:pPr>
        <w:widowControl/>
        <w:spacing w:line="60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（四）政府采购情况：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</w:t>
      </w:r>
      <w:r>
        <w:rPr>
          <w:rFonts w:eastAsia="仿宋_GB2312"/>
          <w:sz w:val="32"/>
          <w:szCs w:val="32"/>
          <w:highlight w:val="none"/>
          <w:u w:val="none"/>
        </w:rPr>
        <w:t>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部门政府采购预算总额  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万元，其中，货物类采购预算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万元；工程类采购预算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万元；服务类采购预算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（五）国有资产占用使用及新增资产配置情况：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截至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年12月底，本单位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共有公务用车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辆，其中，机要通信用车   辆，应急保障用车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辆，执法执勤用车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辆，特种专业技术用车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辆，其他按照规定配备的公务用车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辆；单位价值100万元以上设备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台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。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年拟新增配置公务用车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辆，其中，机要通信用车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辆，应急保障用车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辆，执法执勤用车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辆，特种专业技术用车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辆，其他按照规定配备的公务用车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辆；新增配备单位价值100万元以上设备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台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highlight w:val="none"/>
          <w:u w:val="none"/>
        </w:rPr>
        <w:t>（六）预算绩效目标说明：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本单位所有支出实行绩效目标管理。纳入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年单位整体支出绩效目标的金额为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57.71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万元，其中，基本支出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57.71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万元，项目支出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万元，具体绩效目标详见报表。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u w:val="none"/>
          <w:lang w:eastAsia="zh-CN"/>
        </w:rPr>
        <w:t>七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  <w:t>、名词解释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1、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pStyle w:val="2"/>
        <w:rPr>
          <w:rFonts w:hint="default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 xml:space="preserve">第二部分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highlight w:val="none"/>
          <w:u w:val="none"/>
        </w:rPr>
        <w:t>年单位预算表</w:t>
      </w:r>
      <w:bookmarkStart w:id="0" w:name="_GoBack"/>
      <w:bookmarkEnd w:id="0"/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</w:rPr>
      </w:pPr>
    </w:p>
    <w:p>
      <w:pPr>
        <w:rPr>
          <w:highlight w:val="none"/>
          <w:u w:val="none"/>
        </w:rPr>
      </w:pPr>
    </w:p>
    <w:sectPr>
      <w:pgSz w:w="11907" w:h="16840"/>
      <w:pgMar w:top="1134" w:right="1797" w:bottom="1304" w:left="1797" w:header="851" w:footer="992" w:gutter="0"/>
      <w:cols w:space="720" w:num="1"/>
      <w:docGrid w:type="linesAndChars" w:linePitch="495" w:charSpace="-59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63B217"/>
    <w:multiLevelType w:val="singleLevel"/>
    <w:tmpl w:val="C663B21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374C9"/>
    <w:rsid w:val="042D2116"/>
    <w:rsid w:val="0DBD22F5"/>
    <w:rsid w:val="0F1374C9"/>
    <w:rsid w:val="0F6E618C"/>
    <w:rsid w:val="14B74F10"/>
    <w:rsid w:val="299E11F2"/>
    <w:rsid w:val="3C4502EB"/>
    <w:rsid w:val="49340695"/>
    <w:rsid w:val="58F8328E"/>
    <w:rsid w:val="79940105"/>
    <w:rsid w:val="7E58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634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2025-02-17T13:40:00Z</dcterms:created>
  <dc:creator>lenovo</dc:creator>
  <cp:lastModifiedBy>lenovo</cp:lastModifiedBy>
  <dcterms:modified xsi:type="dcterms:W3CDTF">2025-03-10T03:41:35Z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