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  <w:u w:val="none"/>
          <w:lang w:eastAsia="zh-CN"/>
        </w:rPr>
      </w:pPr>
      <w:r>
        <w:rPr>
          <w:rFonts w:hint="eastAsia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  <w:u w:val="none"/>
        </w:rPr>
        <w:t>年</w:t>
      </w: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  <w:u w:val="none"/>
          <w:lang w:eastAsia="zh-CN"/>
        </w:rPr>
        <w:t>湖南省农作物种质资源保护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  <w:u w:val="none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  <w:u w:val="none"/>
          <w:lang w:eastAsia="zh-CN"/>
        </w:rPr>
        <w:t>与良种繁育中心预算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color w:val="auto"/>
          <w:kern w:val="0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u w:val="none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color w:val="auto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u w:val="none"/>
        </w:rPr>
        <w:t>一、单位基本概况</w:t>
      </w:r>
    </w:p>
    <w:p>
      <w:pPr>
        <w:ind w:firstLine="636" w:firstLineChars="200"/>
        <w:rPr>
          <w:rFonts w:hint="eastAsia" w:ascii="仿宋_GB2312" w:hAnsi="仿宋_GB2312" w:eastAsia="仿宋_GB2312"/>
          <w:color w:val="auto"/>
          <w:sz w:val="32"/>
          <w:szCs w:val="32"/>
          <w:highlight w:val="none"/>
          <w:u w:val="none"/>
        </w:rPr>
      </w:pPr>
      <w:r>
        <w:rPr>
          <w:rFonts w:ascii="楷体_GB2312" w:hAnsi="楷体_GB2312" w:eastAsia="楷体_GB2312"/>
          <w:b/>
          <w:color w:val="auto"/>
          <w:sz w:val="32"/>
          <w:szCs w:val="32"/>
          <w:highlight w:val="none"/>
          <w:u w:val="none"/>
        </w:rPr>
        <w:t>（一）职能职责。</w:t>
      </w:r>
      <w:r>
        <w:rPr>
          <w:rFonts w:ascii="仿宋_GB2312" w:hAnsi="仿宋_GB2312" w:eastAsia="仿宋_GB2312"/>
          <w:color w:val="auto"/>
          <w:sz w:val="32"/>
          <w:szCs w:val="32"/>
          <w:highlight w:val="none"/>
          <w:u w:val="none"/>
        </w:rPr>
        <w:t>农作物种质资源收集、保存、保护、开发和利用，良种引进与繁育，良种试验示范与推广，现代农业设施与高新技术示范推广，农业科技培训与学术交流，科技成果转化应用，农业科普教育，现代农业高效发展模式探索与展示推广，现代农业信息服务等。</w:t>
      </w:r>
    </w:p>
    <w:p>
      <w:pPr>
        <w:widowControl/>
        <w:shd w:val="clear" w:color="auto" w:fill="FFFFFF"/>
        <w:spacing w:line="520" w:lineRule="exact"/>
        <w:ind w:firstLine="640"/>
        <w:jc w:val="left"/>
        <w:rPr>
          <w:rFonts w:hint="eastAsia" w:ascii="仿宋_GB2312" w:hAnsi="仿宋_GB2312" w:eastAsia="仿宋_GB2312"/>
          <w:color w:val="auto"/>
          <w:sz w:val="32"/>
          <w:szCs w:val="32"/>
          <w:highlight w:val="none"/>
          <w:u w:val="none"/>
        </w:rPr>
      </w:pPr>
      <w:r>
        <w:rPr>
          <w:rFonts w:ascii="楷体_GB2312" w:hAnsi="楷体_GB2312" w:eastAsia="楷体_GB2312"/>
          <w:b/>
          <w:color w:val="auto"/>
          <w:sz w:val="32"/>
          <w:szCs w:val="32"/>
          <w:highlight w:val="none"/>
          <w:u w:val="none"/>
        </w:rPr>
        <w:t>（二）机构设置。</w:t>
      </w:r>
      <w:r>
        <w:rPr>
          <w:rFonts w:ascii="仿宋_GB2312" w:hAnsi="仿宋_GB2312" w:eastAsia="仿宋_GB2312"/>
          <w:color w:val="auto"/>
          <w:sz w:val="32"/>
          <w:szCs w:val="32"/>
          <w:highlight w:val="none"/>
          <w:u w:val="none"/>
        </w:rPr>
        <w:t>我单位是农业农村厅下属二级预算单位，下面再无子单位。我单位设置七个科室，分别为：综合科、财务科、产业开发科、后勤服务科、良种繁育科、种质资源科、技术推广科</w:t>
      </w:r>
    </w:p>
    <w:p>
      <w:pPr>
        <w:autoSpaceDE w:val="0"/>
        <w:spacing w:line="600" w:lineRule="exact"/>
        <w:ind w:firstLine="636" w:firstLineChars="200"/>
        <w:jc w:val="left"/>
        <w:rPr>
          <w:rFonts w:eastAsia="黑体"/>
          <w:bCs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/>
          <w:bCs/>
          <w:color w:val="auto"/>
          <w:kern w:val="0"/>
          <w:sz w:val="32"/>
          <w:szCs w:val="32"/>
          <w:highlight w:val="none"/>
          <w:u w:val="none"/>
        </w:rPr>
        <w:t>二、预算单位构成</w:t>
      </w:r>
    </w:p>
    <w:p>
      <w:pPr>
        <w:widowControl/>
        <w:shd w:val="clear" w:color="auto" w:fill="FFFFFF"/>
        <w:spacing w:line="520" w:lineRule="exact"/>
        <w:ind w:firstLine="640"/>
        <w:jc w:val="left"/>
        <w:rPr>
          <w:rFonts w:ascii="仿宋_GB2312" w:hAnsi="仿宋_GB2312" w:eastAsia="仿宋_GB2312"/>
          <w:color w:val="auto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u w:val="none"/>
        </w:rPr>
        <w:t>湖南省农作物种质资源保护与良种繁育中心</w:t>
      </w:r>
      <w:r>
        <w:rPr>
          <w:rFonts w:ascii="仿宋_GB2312" w:hAnsi="仿宋_GB2312" w:eastAsia="仿宋_GB2312"/>
          <w:color w:val="auto"/>
          <w:sz w:val="32"/>
          <w:szCs w:val="32"/>
          <w:highlight w:val="none"/>
          <w:u w:val="none"/>
        </w:rPr>
        <w:t>无下属预算单位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u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  <w:u w:val="none"/>
        </w:rPr>
        <w:t>、单位收支总体情况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年本单位收入预算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1175.66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600.56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 xml:space="preserve">万元，纳入专户管理的非税收入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事业单位经营收入351.84万元，上年结转结余223.26万元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  <w:t>收入较去年增加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42.56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增加了工程协调款的项目经费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年本单位支出预算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1175.66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万元，其中，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社会保障和就业105.00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卫生健康28.00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农林水1013.66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住房保障29.00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万元。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  <w:t>支出较去年增加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42.56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增加了工程协调款的项目经费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823.82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万元，其中，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社会保障和就业支出91.72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11.13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卫生健康支出28.00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3.40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农林水支出675.10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81.95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住房保障支出29.00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3.52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 xml:space="preserve"> 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320.56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年本单位项目支出预算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503.26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事业发展资金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280.00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 xml:space="preserve"> 万元，主要用于良种繁育及推广等方面；其他事业发展资金支出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223.26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万元，主要用于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28度水果产业带建设的水果品种资源引进与筛选、品种资源检疫圃、保存圃等配套设施工程建设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</w:rPr>
        <w:t>本部门无政府性基金安排的支出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年本单位运行经费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12.60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万元，比上年预算减少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1.40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万元，下降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 xml:space="preserve"> %，主要是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我单位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大力压减一般性支出。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年本单位“三公”经费预算数为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万元，其中，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公务接待费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万元，公务用车购置及运行费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万元（其中，公务用车购置费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万元，公务用车运行费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万元），因公出国（境）费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万元。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eastAsia="zh-CN"/>
        </w:rPr>
        <w:t>2024年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 xml:space="preserve">“三公”经费预算较上年持平 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 xml:space="preserve"> 万元，主要是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eastAsia="zh-CN"/>
        </w:rPr>
        <w:t>无三公经费安排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年</w:t>
      </w:r>
      <w:r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  <w:t>本单位会议费预算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 xml:space="preserve"> 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 xml:space="preserve">  </w:t>
      </w:r>
      <w:r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  <w:t>万元，拟召开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  <w:t>会议，人数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  <w:t>人；培训费预算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  <w:t>万元，拟开展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  <w:t>培训，人数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  <w:t>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未计划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举办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节庆、晚会、论坛、赛事活动，经费预算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</w:rPr>
        <w:t>万元</w:t>
      </w:r>
      <w:r>
        <w:rPr>
          <w:rFonts w:eastAsia="仿宋_GB2312"/>
          <w:color w:val="auto"/>
          <w:kern w:val="0"/>
          <w:sz w:val="32"/>
          <w:szCs w:val="32"/>
          <w:highlight w:val="none"/>
          <w:u w:val="none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 xml:space="preserve">本部门政府采购预算总额   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万元，其中，货物类采购预算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万元；工程类采购预算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万元；服务类采购预算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color w:val="auto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截至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辆，其中，机要通信用车   辆，应急保障用车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0"/>
          <w:sz w:val="32"/>
          <w:szCs w:val="32"/>
          <w:highlight w:val="none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年单位整体支出绩效目标的金额为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1175.66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672.40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万元，项目支出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503.26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highlight w:val="none"/>
          <w:u w:val="none"/>
        </w:rPr>
        <w:t>年单位预算表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</w:p>
    <w:p>
      <w:pPr>
        <w:rPr>
          <w:color w:val="auto"/>
          <w:highlight w:val="none"/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74C9"/>
    <w:rsid w:val="032E1837"/>
    <w:rsid w:val="0BC7472A"/>
    <w:rsid w:val="0BCA5CE5"/>
    <w:rsid w:val="0F1374C9"/>
    <w:rsid w:val="102137EE"/>
    <w:rsid w:val="189D0047"/>
    <w:rsid w:val="22DF7342"/>
    <w:rsid w:val="24D451E3"/>
    <w:rsid w:val="25BE5430"/>
    <w:rsid w:val="2C1C4A42"/>
    <w:rsid w:val="672D1CA4"/>
    <w:rsid w:val="69D3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2412</Words>
  <Characters>2620</Characters>
  <Lines>0</Lines>
  <Paragraphs>0</Paragraphs>
  <TotalTime>8</TotalTime>
  <ScaleCrop>false</ScaleCrop>
  <LinksUpToDate>false</LinksUpToDate>
  <CharactersWithSpaces>2645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2025-02-17T13:40:00Z</dcterms:created>
  <dc:creator>lenovo</dc:creator>
  <cp:lastModifiedBy>lenovo</cp:lastModifiedBy>
  <dcterms:modified xsi:type="dcterms:W3CDTF">2025-03-10T03:14:22Z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KSOTemplateDocerSaveRecord">
    <vt:lpwstr>eyJoZGlkIjoiMTZjNmI1NWU3YzdmYmEzMWFiMTU0ZTMxOGYwOGEzODcifQ==</vt:lpwstr>
  </property>
  <property fmtid="{D5CDD505-2E9C-101B-9397-08002B2CF9AE}" pid="4" name="ICV">
    <vt:lpwstr>50C6C0F910F1441388A43A26C103B6CB_12</vt:lpwstr>
  </property>
</Properties>
</file>