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eastAsia="方正小标宋_GBK"/>
          <w:bCs/>
          <w:kern w:val="0"/>
          <w:sz w:val="44"/>
          <w:szCs w:val="44"/>
          <w:highlight w:val="none"/>
        </w:rPr>
      </w:pPr>
      <w:r>
        <w:rPr>
          <w:bCs/>
          <w:kern w:val="0"/>
          <w:sz w:val="44"/>
          <w:szCs w:val="44"/>
          <w:highlight w:val="none"/>
        </w:rPr>
        <w:t>2025</w:t>
      </w:r>
      <w:r>
        <w:rPr>
          <w:rFonts w:hint="eastAsia" w:ascii="宋体" w:hAnsi="宋体" w:cs="宋体"/>
          <w:bCs/>
          <w:kern w:val="0"/>
          <w:sz w:val="44"/>
          <w:szCs w:val="44"/>
          <w:highlight w:val="none"/>
        </w:rPr>
        <w:t>年</w:t>
      </w:r>
      <w:r>
        <w:rPr>
          <w:rFonts w:hint="eastAsia" w:ascii="宋体" w:hAnsi="宋体" w:cs="宋体"/>
          <w:bCs/>
          <w:kern w:val="0"/>
          <w:sz w:val="44"/>
          <w:szCs w:val="44"/>
          <w:highlight w:val="none"/>
          <w:lang w:eastAsia="zh-CN"/>
        </w:rPr>
        <w:t>湖南省农药检定所</w:t>
      </w:r>
      <w:r>
        <w:rPr>
          <w:rFonts w:hint="eastAsia" w:ascii="宋体" w:hAnsi="宋体" w:cs="宋体"/>
          <w:bCs/>
          <w:kern w:val="0"/>
          <w:sz w:val="44"/>
          <w:szCs w:val="44"/>
          <w:highlight w:val="none"/>
        </w:rPr>
        <w:t>单位预算</w:t>
      </w:r>
    </w:p>
    <w:p>
      <w:pPr>
        <w:widowControl/>
        <w:spacing w:line="600" w:lineRule="exact"/>
        <w:jc w:val="center"/>
        <w:rPr>
          <w:rFonts w:eastAsia="楷体_GB2312"/>
          <w:bCs/>
          <w:kern w:val="0"/>
          <w:sz w:val="32"/>
          <w:szCs w:val="32"/>
          <w:highlight w:val="none"/>
        </w:rPr>
      </w:pPr>
    </w:p>
    <w:p>
      <w:pPr>
        <w:widowControl/>
        <w:spacing w:line="600" w:lineRule="exact"/>
        <w:jc w:val="center"/>
        <w:rPr>
          <w:rFonts w:eastAsia="黑体"/>
          <w:bCs/>
          <w:kern w:val="0"/>
          <w:sz w:val="32"/>
          <w:szCs w:val="32"/>
          <w:highlight w:val="none"/>
        </w:rPr>
      </w:pPr>
      <w:r>
        <w:rPr>
          <w:rFonts w:eastAsia="楷体_GB2312"/>
          <w:bCs/>
          <w:kern w:val="0"/>
          <w:sz w:val="32"/>
          <w:szCs w:val="32"/>
          <w:highlight w:val="none"/>
        </w:rPr>
        <w:t xml:space="preserve"> </w:t>
      </w:r>
      <w:r>
        <w:rPr>
          <w:rFonts w:ascii="黑体" w:hAnsi="黑体" w:eastAsia="黑体"/>
          <w:bCs/>
          <w:kern w:val="0"/>
          <w:sz w:val="32"/>
          <w:szCs w:val="32"/>
          <w:highlight w:val="none"/>
        </w:rPr>
        <w:t>目</w:t>
      </w:r>
      <w:r>
        <w:rPr>
          <w:rFonts w:eastAsia="黑体"/>
          <w:bCs/>
          <w:kern w:val="0"/>
          <w:sz w:val="32"/>
          <w:szCs w:val="32"/>
          <w:highlight w:val="none"/>
        </w:rPr>
        <w:t xml:space="preserve"> </w:t>
      </w:r>
      <w:r>
        <w:rPr>
          <w:rFonts w:ascii="黑体" w:hAnsi="黑体" w:eastAsia="黑体"/>
          <w:bCs/>
          <w:kern w:val="0"/>
          <w:sz w:val="32"/>
          <w:szCs w:val="32"/>
          <w:highlight w:val="none"/>
        </w:rPr>
        <w:t>录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  <w:highlight w:val="none"/>
        </w:rPr>
      </w:pPr>
      <w:r>
        <w:rPr>
          <w:rFonts w:eastAsia="黑体"/>
          <w:bCs/>
          <w:kern w:val="0"/>
          <w:sz w:val="32"/>
          <w:szCs w:val="32"/>
          <w:highlight w:val="none"/>
        </w:rPr>
        <w:t xml:space="preserve"> </w:t>
      </w:r>
    </w:p>
    <w:p>
      <w:pPr>
        <w:widowControl/>
        <w:autoSpaceDE w:val="0"/>
        <w:spacing w:line="600" w:lineRule="exact"/>
        <w:ind w:firstLine="643" w:firstLineChars="200"/>
        <w:rPr>
          <w:rFonts w:eastAsia="方正小标宋_GBK"/>
          <w:b/>
          <w:bCs/>
          <w:kern w:val="0"/>
          <w:sz w:val="32"/>
          <w:szCs w:val="32"/>
          <w:highlight w:val="none"/>
        </w:rPr>
      </w:pPr>
      <w:r>
        <w:rPr>
          <w:rFonts w:ascii="仿宋_GB2312" w:hAnsi="仿宋_GB2312" w:eastAsia="仿宋_GB2312"/>
          <w:b/>
          <w:bCs/>
          <w:kern w:val="0"/>
          <w:sz w:val="32"/>
          <w:szCs w:val="32"/>
          <w:highlight w:val="none"/>
        </w:rPr>
        <w:t>第一部分</w:t>
      </w:r>
      <w:r>
        <w:rPr>
          <w:rFonts w:eastAsia="仿宋_GB2312"/>
          <w:b/>
          <w:bCs/>
          <w:kern w:val="0"/>
          <w:sz w:val="32"/>
          <w:szCs w:val="32"/>
          <w:highlight w:val="none"/>
        </w:rPr>
        <w:t xml:space="preserve"> </w:t>
      </w:r>
      <w:r>
        <w:rPr>
          <w:b/>
          <w:bCs/>
          <w:kern w:val="0"/>
          <w:sz w:val="32"/>
          <w:szCs w:val="32"/>
          <w:highlight w:val="none"/>
        </w:rPr>
        <w:t>2025</w:t>
      </w:r>
      <w:r>
        <w:rPr>
          <w:rFonts w:ascii="仿宋_GB2312" w:hAnsi="仿宋_GB2312" w:eastAsia="仿宋_GB2312"/>
          <w:b/>
          <w:bCs/>
          <w:kern w:val="0"/>
          <w:sz w:val="32"/>
          <w:szCs w:val="32"/>
          <w:highlight w:val="none"/>
        </w:rPr>
        <w:t>年单位预算说</w:t>
      </w:r>
      <w:r>
        <w:rPr>
          <w:rFonts w:hint="eastAsia" w:ascii="宋体" w:hAnsi="宋体" w:cs="宋体"/>
          <w:b/>
          <w:bCs/>
          <w:kern w:val="0"/>
          <w:sz w:val="32"/>
          <w:szCs w:val="32"/>
          <w:highlight w:val="none"/>
        </w:rPr>
        <w:t>明</w:t>
      </w:r>
    </w:p>
    <w:p>
      <w:pPr>
        <w:widowControl/>
        <w:autoSpaceDE w:val="0"/>
        <w:spacing w:line="600" w:lineRule="exact"/>
        <w:ind w:firstLine="643" w:firstLineChars="200"/>
        <w:jc w:val="left"/>
        <w:rPr>
          <w:rFonts w:eastAsia="仿宋_GB2312"/>
          <w:b/>
          <w:bCs/>
          <w:kern w:val="0"/>
          <w:sz w:val="32"/>
          <w:szCs w:val="32"/>
          <w:highlight w:val="none"/>
        </w:rPr>
      </w:pPr>
      <w:r>
        <w:rPr>
          <w:rFonts w:ascii="仿宋_GB2312" w:hAnsi="仿宋_GB2312" w:eastAsia="仿宋_GB2312"/>
          <w:b/>
          <w:bCs/>
          <w:kern w:val="0"/>
          <w:sz w:val="32"/>
          <w:szCs w:val="32"/>
          <w:highlight w:val="none"/>
        </w:rPr>
        <w:t>第二部分</w:t>
      </w:r>
      <w:r>
        <w:rPr>
          <w:rFonts w:eastAsia="仿宋_GB2312"/>
          <w:b/>
          <w:bCs/>
          <w:kern w:val="0"/>
          <w:sz w:val="32"/>
          <w:szCs w:val="32"/>
          <w:highlight w:val="none"/>
        </w:rPr>
        <w:t xml:space="preserve"> </w:t>
      </w:r>
      <w:r>
        <w:rPr>
          <w:b/>
          <w:bCs/>
          <w:kern w:val="0"/>
          <w:sz w:val="32"/>
          <w:szCs w:val="32"/>
          <w:highlight w:val="none"/>
        </w:rPr>
        <w:t>2025</w:t>
      </w:r>
      <w:r>
        <w:rPr>
          <w:rFonts w:ascii="仿宋_GB2312" w:hAnsi="仿宋_GB2312" w:eastAsia="仿宋_GB2312"/>
          <w:b/>
          <w:bCs/>
          <w:kern w:val="0"/>
          <w:sz w:val="32"/>
          <w:szCs w:val="32"/>
          <w:highlight w:val="none"/>
        </w:rPr>
        <w:t>年单位预算</w:t>
      </w:r>
      <w:r>
        <w:rPr>
          <w:rFonts w:hint="eastAsia" w:ascii="宋体" w:hAnsi="宋体" w:cs="宋体"/>
          <w:b/>
          <w:bCs/>
          <w:kern w:val="0"/>
          <w:sz w:val="32"/>
          <w:szCs w:val="32"/>
          <w:highlight w:val="none"/>
        </w:rPr>
        <w:t>表</w:t>
      </w:r>
    </w:p>
    <w:p>
      <w:pPr>
        <w:autoSpaceDE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1、收支总表</w:t>
      </w:r>
    </w:p>
    <w:p>
      <w:pPr>
        <w:autoSpaceDE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2、收入总表</w:t>
      </w:r>
    </w:p>
    <w:p>
      <w:pPr>
        <w:autoSpaceDE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3、支出总表</w:t>
      </w:r>
    </w:p>
    <w:p>
      <w:pPr>
        <w:autoSpaceDE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4、支出预算分类汇总表（按政府预算经济分类）</w:t>
      </w:r>
    </w:p>
    <w:p>
      <w:pPr>
        <w:autoSpaceDE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5、支出预算分类汇总表（按部门预算经济分类）</w:t>
      </w:r>
    </w:p>
    <w:p>
      <w:pPr>
        <w:autoSpaceDE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6、财政拨款收支总表</w:t>
      </w:r>
    </w:p>
    <w:p>
      <w:pPr>
        <w:autoSpaceDE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7、一般公共预算支出表</w:t>
      </w:r>
    </w:p>
    <w:p>
      <w:pPr>
        <w:autoSpaceDE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8、一般公共预算基本支出表-人员经费（工资福利支出）（按政府预算经济分类）</w:t>
      </w:r>
    </w:p>
    <w:p>
      <w:pPr>
        <w:autoSpaceDE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9、一般公共预算基本支出表-人员经费（工资福利支出）（按部门预算经济分类）</w:t>
      </w:r>
    </w:p>
    <w:p>
      <w:pPr>
        <w:autoSpaceDE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10、一般公共预算基本支出表-人员经费（对个人和家庭的补助）（按政府预算经济分类）</w:t>
      </w:r>
    </w:p>
    <w:p>
      <w:pPr>
        <w:autoSpaceDE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11、一般公共预算基本支出表-人员经费（对个人和家庭的补助）（按部门预算经济分类）</w:t>
      </w:r>
    </w:p>
    <w:p>
      <w:pPr>
        <w:autoSpaceDE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12、一般公共预算基本支出表-公用经费（商品和服务支出）（按政府预算经济分类）</w:t>
      </w:r>
    </w:p>
    <w:p>
      <w:pPr>
        <w:autoSpaceDE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13、一般公共预算基本支出表-公用经费（商品和服务支出）（按部门预算经济分类）</w:t>
      </w:r>
    </w:p>
    <w:p>
      <w:pPr>
        <w:autoSpaceDE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14、一般公共预算“三公”经费支出表</w:t>
      </w:r>
    </w:p>
    <w:p>
      <w:pPr>
        <w:autoSpaceDE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15、政府性基金预算支出表</w:t>
      </w:r>
    </w:p>
    <w:p>
      <w:pPr>
        <w:autoSpaceDE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16、政府性基金预算支出分类汇总表（按政府预算经济分类）</w:t>
      </w:r>
    </w:p>
    <w:p>
      <w:pPr>
        <w:autoSpaceDE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17、政府性基金预算支出分类汇总表（按部门预算经济分类）</w:t>
      </w:r>
    </w:p>
    <w:p>
      <w:pPr>
        <w:autoSpaceDE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18、国有资本经营预算支出表</w:t>
      </w:r>
    </w:p>
    <w:p>
      <w:pPr>
        <w:autoSpaceDE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19、财政专户管理资金预算支出表</w:t>
      </w:r>
    </w:p>
    <w:p>
      <w:pPr>
        <w:autoSpaceDE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20、省级专项资金预算汇总表</w:t>
      </w:r>
    </w:p>
    <w:p>
      <w:pPr>
        <w:autoSpaceDE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21、省级专项资金绩效目标表</w:t>
      </w:r>
    </w:p>
    <w:p>
      <w:pPr>
        <w:autoSpaceDE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22、其他项目支出绩效目标表</w:t>
      </w:r>
    </w:p>
    <w:p>
      <w:pPr>
        <w:autoSpaceDE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23、部门整体支出绩效目标表</w:t>
      </w:r>
    </w:p>
    <w:p>
      <w:pPr>
        <w:widowControl/>
        <w:spacing w:line="600" w:lineRule="exact"/>
        <w:jc w:val="center"/>
        <w:rPr>
          <w:rFonts w:hint="eastAsia" w:ascii="宋体" w:hAnsi="宋体" w:cs="宋体"/>
          <w:bCs/>
          <w:kern w:val="0"/>
          <w:sz w:val="36"/>
          <w:szCs w:val="36"/>
          <w:highlight w:val="none"/>
        </w:rPr>
      </w:pPr>
    </w:p>
    <w:p>
      <w:pPr>
        <w:widowControl/>
        <w:spacing w:line="600" w:lineRule="exact"/>
        <w:jc w:val="center"/>
        <w:rPr>
          <w:rFonts w:hint="eastAsia" w:ascii="宋体" w:hAnsi="宋体" w:cs="宋体"/>
          <w:bCs/>
          <w:kern w:val="0"/>
          <w:sz w:val="36"/>
          <w:szCs w:val="36"/>
          <w:highlight w:val="none"/>
        </w:rPr>
      </w:pPr>
    </w:p>
    <w:p>
      <w:pPr>
        <w:widowControl/>
        <w:spacing w:line="600" w:lineRule="exact"/>
        <w:jc w:val="center"/>
        <w:rPr>
          <w:rFonts w:hint="eastAsia" w:ascii="宋体" w:hAnsi="宋体" w:cs="宋体"/>
          <w:bCs/>
          <w:kern w:val="0"/>
          <w:sz w:val="36"/>
          <w:szCs w:val="36"/>
          <w:highlight w:val="none"/>
        </w:rPr>
      </w:pPr>
    </w:p>
    <w:p>
      <w:pPr>
        <w:widowControl/>
        <w:spacing w:line="600" w:lineRule="exact"/>
        <w:jc w:val="center"/>
        <w:rPr>
          <w:rFonts w:hint="eastAsia" w:ascii="宋体" w:hAnsi="宋体" w:cs="宋体"/>
          <w:bCs/>
          <w:kern w:val="0"/>
          <w:sz w:val="36"/>
          <w:szCs w:val="36"/>
          <w:highlight w:val="none"/>
        </w:rPr>
      </w:pPr>
    </w:p>
    <w:p>
      <w:pPr>
        <w:widowControl/>
        <w:spacing w:line="600" w:lineRule="exact"/>
        <w:jc w:val="center"/>
        <w:rPr>
          <w:rFonts w:hint="eastAsia" w:ascii="宋体" w:hAnsi="宋体" w:cs="宋体"/>
          <w:bCs/>
          <w:kern w:val="0"/>
          <w:sz w:val="36"/>
          <w:szCs w:val="36"/>
          <w:highlight w:val="none"/>
        </w:rPr>
      </w:pPr>
    </w:p>
    <w:p>
      <w:pPr>
        <w:widowControl/>
        <w:spacing w:line="600" w:lineRule="exact"/>
        <w:jc w:val="center"/>
        <w:rPr>
          <w:rFonts w:hint="eastAsia" w:ascii="宋体" w:hAnsi="宋体" w:cs="宋体"/>
          <w:bCs/>
          <w:kern w:val="0"/>
          <w:sz w:val="36"/>
          <w:szCs w:val="36"/>
          <w:highlight w:val="none"/>
        </w:rPr>
      </w:pPr>
    </w:p>
    <w:p>
      <w:pPr>
        <w:pStyle w:val="2"/>
        <w:rPr>
          <w:rFonts w:hint="eastAsia" w:ascii="宋体" w:hAnsi="宋体" w:cs="宋体"/>
          <w:bCs/>
          <w:kern w:val="0"/>
          <w:sz w:val="36"/>
          <w:szCs w:val="36"/>
          <w:highlight w:val="none"/>
        </w:rPr>
      </w:pPr>
    </w:p>
    <w:p>
      <w:pPr>
        <w:pStyle w:val="2"/>
        <w:rPr>
          <w:rFonts w:hint="eastAsia" w:ascii="宋体" w:hAnsi="宋体" w:cs="宋体"/>
          <w:bCs/>
          <w:kern w:val="0"/>
          <w:sz w:val="36"/>
          <w:szCs w:val="36"/>
          <w:highlight w:val="none"/>
        </w:rPr>
      </w:pPr>
    </w:p>
    <w:p>
      <w:pPr>
        <w:widowControl/>
        <w:spacing w:line="600" w:lineRule="exact"/>
        <w:jc w:val="center"/>
        <w:rPr>
          <w:rFonts w:hint="eastAsia" w:ascii="宋体" w:hAnsi="宋体" w:cs="宋体"/>
          <w:bCs/>
          <w:kern w:val="0"/>
          <w:sz w:val="36"/>
          <w:szCs w:val="36"/>
          <w:highlight w:val="none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  <w:highlight w:val="none"/>
        </w:rPr>
      </w:pPr>
      <w:r>
        <w:rPr>
          <w:rFonts w:hint="eastAsia" w:ascii="宋体" w:hAnsi="宋体" w:cs="宋体"/>
          <w:bCs/>
          <w:kern w:val="0"/>
          <w:sz w:val="36"/>
          <w:szCs w:val="36"/>
          <w:highlight w:val="none"/>
        </w:rPr>
        <w:t>第一部分</w:t>
      </w:r>
      <w:r>
        <w:rPr>
          <w:rFonts w:eastAsia="方正小标宋_GBK"/>
          <w:bCs/>
          <w:kern w:val="0"/>
          <w:sz w:val="36"/>
          <w:szCs w:val="36"/>
          <w:highlight w:val="none"/>
        </w:rPr>
        <w:t xml:space="preserve"> </w:t>
      </w:r>
      <w:r>
        <w:rPr>
          <w:bCs/>
          <w:kern w:val="0"/>
          <w:sz w:val="36"/>
          <w:szCs w:val="36"/>
          <w:highlight w:val="none"/>
        </w:rPr>
        <w:t>2025</w:t>
      </w:r>
      <w:r>
        <w:rPr>
          <w:rFonts w:hint="eastAsia" w:ascii="宋体" w:hAnsi="宋体" w:cs="宋体"/>
          <w:bCs/>
          <w:kern w:val="0"/>
          <w:sz w:val="36"/>
          <w:szCs w:val="36"/>
          <w:highlight w:val="none"/>
        </w:rPr>
        <w:t>年单位预算说明</w:t>
      </w:r>
    </w:p>
    <w:p>
      <w:pPr>
        <w:widowControl/>
        <w:spacing w:line="600" w:lineRule="exact"/>
        <w:jc w:val="left"/>
        <w:rPr>
          <w:rFonts w:eastAsia="仿宋_GB2312"/>
          <w:b/>
          <w:bCs/>
          <w:kern w:val="0"/>
          <w:sz w:val="32"/>
          <w:szCs w:val="32"/>
          <w:highlight w:val="none"/>
        </w:rPr>
      </w:pPr>
      <w:r>
        <w:rPr>
          <w:rFonts w:eastAsia="仿宋_GB2312"/>
          <w:b/>
          <w:bCs/>
          <w:kern w:val="0"/>
          <w:sz w:val="32"/>
          <w:szCs w:val="32"/>
          <w:highlight w:val="none"/>
        </w:rPr>
        <w:t xml:space="preserve"> </w:t>
      </w:r>
    </w:p>
    <w:p>
      <w:pPr>
        <w:autoSpaceDE w:val="0"/>
        <w:spacing w:line="600" w:lineRule="exact"/>
        <w:ind w:firstLine="640" w:firstLineChars="200"/>
        <w:jc w:val="left"/>
        <w:rPr>
          <w:rFonts w:eastAsia="黑体"/>
          <w:bCs/>
          <w:kern w:val="0"/>
          <w:sz w:val="32"/>
          <w:szCs w:val="32"/>
          <w:highlight w:val="none"/>
        </w:rPr>
      </w:pPr>
      <w:r>
        <w:rPr>
          <w:rFonts w:ascii="黑体" w:hAnsi="黑体" w:eastAsia="黑体"/>
          <w:bCs/>
          <w:kern w:val="0"/>
          <w:sz w:val="32"/>
          <w:szCs w:val="32"/>
          <w:highlight w:val="none"/>
        </w:rPr>
        <w:t>一、单位基本概况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7"/>
        <w:jc w:val="left"/>
        <w:textAlignment w:val="auto"/>
        <w:rPr>
          <w:rFonts w:ascii="Times New Roman" w:hAnsi="Times New Roman" w:eastAsia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ascii="楷体_GB2312" w:hAnsi="楷体_GB2312" w:eastAsia="楷体_GB2312"/>
          <w:b/>
          <w:sz w:val="32"/>
          <w:szCs w:val="32"/>
          <w:highlight w:val="none"/>
        </w:rPr>
        <w:t>（一）</w:t>
      </w:r>
      <w:r>
        <w:rPr>
          <w:rFonts w:eastAsia="楷体_GB2312"/>
          <w:b/>
          <w:sz w:val="32"/>
          <w:szCs w:val="32"/>
          <w:highlight w:val="none"/>
        </w:rPr>
        <w:t>职能职责。</w:t>
      </w:r>
      <w:r>
        <w:rPr>
          <w:rFonts w:hint="eastAsia" w:ascii="Times New Roman" w:hAnsi="Times New Roman" w:eastAsia="仿宋_GB2312"/>
          <w:kern w:val="2"/>
          <w:sz w:val="32"/>
          <w:szCs w:val="32"/>
          <w:highlight w:val="none"/>
          <w:lang w:val="en-US" w:eastAsia="zh-CN" w:bidi="ar-SA"/>
        </w:rPr>
        <w:t>湖南省农药检定所负责全省农药登记及登记试验具体工作、已登记农药的安全性和有效性监测、农药产品质量监测与风险评估工作，农药科学研究、普及，信息交流，相关技术培训、服务、咨询等工作；协助厅种植业（农药管理）处开展农药生产、农药经营、农药试验单位备案等农药监督管理工作，以及农药行业监管、发展指导与服务工作；承担全省农产品、农业投入品、农产品产地环境质量监督和监测、风险评价等检验检测职能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7"/>
        <w:jc w:val="left"/>
        <w:textAlignment w:val="auto"/>
        <w:rPr>
          <w:rFonts w:hint="eastAsia" w:ascii="Times New Roman" w:hAnsi="Times New Roman" w:eastAsia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eastAsia="楷体_GB2312"/>
          <w:b/>
          <w:sz w:val="32"/>
          <w:szCs w:val="32"/>
          <w:highlight w:val="none"/>
        </w:rPr>
        <w:t>（二）机构设置。</w:t>
      </w:r>
      <w:r>
        <w:rPr>
          <w:rFonts w:hint="eastAsia" w:ascii="Times New Roman" w:hAnsi="Times New Roman" w:eastAsia="仿宋_GB2312"/>
          <w:kern w:val="2"/>
          <w:sz w:val="32"/>
          <w:szCs w:val="32"/>
          <w:highlight w:val="none"/>
          <w:lang w:val="en-US" w:eastAsia="zh-CN" w:bidi="ar-SA"/>
        </w:rPr>
        <w:t>湖南省农药检定所内设办公室、业务科、综合科、药监科、药政科、审评科、检测科7个科室。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eastAsia="黑体"/>
          <w:bCs/>
          <w:kern w:val="0"/>
          <w:sz w:val="32"/>
          <w:szCs w:val="32"/>
          <w:highlight w:val="none"/>
        </w:rPr>
      </w:pPr>
      <w:r>
        <w:rPr>
          <w:rFonts w:hint="eastAsia" w:eastAsia="黑体"/>
          <w:bCs/>
          <w:kern w:val="0"/>
          <w:sz w:val="32"/>
          <w:szCs w:val="32"/>
          <w:highlight w:val="none"/>
        </w:rPr>
        <w:t>二、预算单位构成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eastAsia="仿宋_GB2312"/>
          <w:sz w:val="32"/>
          <w:szCs w:val="32"/>
          <w:highlight w:val="none"/>
        </w:rPr>
      </w:pPr>
      <w:r>
        <w:rPr>
          <w:rFonts w:hint="eastAsia" w:eastAsia="仿宋_GB2312"/>
          <w:sz w:val="32"/>
          <w:szCs w:val="32"/>
          <w:highlight w:val="none"/>
        </w:rPr>
        <w:t>湖南省农药检定所无下属预算单位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eastAsia="黑体"/>
          <w:bCs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bCs/>
          <w:kern w:val="0"/>
          <w:sz w:val="32"/>
          <w:szCs w:val="32"/>
          <w:highlight w:val="none"/>
        </w:rPr>
        <w:t>三</w:t>
      </w:r>
      <w:r>
        <w:rPr>
          <w:rFonts w:ascii="黑体" w:hAnsi="黑体" w:eastAsia="黑体"/>
          <w:bCs/>
          <w:kern w:val="0"/>
          <w:sz w:val="32"/>
          <w:szCs w:val="32"/>
          <w:highlight w:val="none"/>
        </w:rPr>
        <w:t>、单位收支总体情况</w:t>
      </w:r>
    </w:p>
    <w:p>
      <w:pPr>
        <w:autoSpaceDE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ascii="楷体_GB2312" w:hAnsi="楷体_GB2312" w:eastAsia="楷体_GB2312"/>
          <w:b/>
          <w:sz w:val="32"/>
          <w:szCs w:val="32"/>
          <w:highlight w:val="none"/>
        </w:rPr>
        <w:t>（一）收入预算：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包括一般公共预算、政府性基金、国有资本经营预算等财政拨款收入，以及经营收入、事业收入等单位资金。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2025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年本单位收入预算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1698.86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万元，其中，一般公共预算拨款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1685.92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万元，政府性基金预算拨款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万元，国有资本经营预算拨款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万元，纳入专户管理的非税收入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上年结转结余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12.94万元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收入较去年减少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181.63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万元，主要是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上年结转结余减少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。</w:t>
      </w:r>
    </w:p>
    <w:p>
      <w:pPr>
        <w:autoSpaceDE w:val="0"/>
        <w:spacing w:line="600" w:lineRule="exact"/>
        <w:ind w:firstLine="643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ascii="楷体_GB2312" w:hAnsi="楷体_GB2312" w:eastAsia="楷体_GB2312"/>
          <w:b/>
          <w:sz w:val="32"/>
          <w:szCs w:val="32"/>
          <w:highlight w:val="none"/>
        </w:rPr>
        <w:t>（二）支出预算：</w:t>
      </w:r>
      <w:r>
        <w:rPr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025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年本单位支出预算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1698.86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万元，其中，教育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43.01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社会保障和就业支出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86.61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卫生健康支出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80.19万元，农林水支出1424.10万元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住房保障支出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64.95万元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支出较去年减少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181.63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万元，主要是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上年结转结余减少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。</w:t>
      </w:r>
    </w:p>
    <w:p>
      <w:pPr>
        <w:autoSpaceDE w:val="0"/>
        <w:spacing w:line="600" w:lineRule="exact"/>
        <w:ind w:firstLine="640" w:firstLineChars="200"/>
        <w:jc w:val="left"/>
        <w:rPr>
          <w:rFonts w:eastAsia="黑体"/>
          <w:sz w:val="32"/>
          <w:szCs w:val="32"/>
          <w:highlight w:val="none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>四</w:t>
      </w:r>
      <w:r>
        <w:rPr>
          <w:rFonts w:ascii="黑体" w:hAnsi="黑体" w:eastAsia="黑体"/>
          <w:sz w:val="32"/>
          <w:szCs w:val="32"/>
          <w:highlight w:val="none"/>
        </w:rPr>
        <w:t>、一般公共预算拨款支出</w:t>
      </w:r>
    </w:p>
    <w:p>
      <w:pPr>
        <w:autoSpaceDE w:val="0"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2025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年本单位一般公共预算拨款支出预算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1698.86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万元，其中，教育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43.01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占2.53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社会保障和就业支出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86.61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万元，占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5.10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卫生健康支出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80.19万元，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4.72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；农林水支出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1424.10万元，占83.83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住房保障支出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64.95万元，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3.82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。具体安排情况如下：</w:t>
      </w:r>
    </w:p>
    <w:p>
      <w:pPr>
        <w:autoSpaceDE w:val="0"/>
        <w:spacing w:line="600" w:lineRule="exact"/>
        <w:ind w:firstLine="643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ascii="楷体_GB2312" w:hAnsi="楷体_GB2312" w:eastAsia="楷体_GB2312"/>
          <w:b/>
          <w:sz w:val="32"/>
          <w:szCs w:val="32"/>
          <w:highlight w:val="none"/>
        </w:rPr>
        <w:t>（一）基本支出：</w:t>
      </w:r>
      <w:r>
        <w:rPr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025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年本单位基本支出预算数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851.47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万元，主要是为保障单位机构正常运转、完成日常工作任务而发生的各项支出，包括用于基本工资、津贴补贴等人员经费以及办公费、印刷费、水电费、办公设备购置等公用经费。</w:t>
      </w:r>
    </w:p>
    <w:p>
      <w:pPr>
        <w:autoSpaceDE w:val="0"/>
        <w:spacing w:line="600" w:lineRule="exact"/>
        <w:ind w:firstLine="643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ascii="楷体_GB2312" w:hAnsi="楷体_GB2312" w:eastAsia="楷体_GB2312"/>
          <w:b/>
          <w:sz w:val="32"/>
          <w:szCs w:val="32"/>
          <w:highlight w:val="none"/>
        </w:rPr>
        <w:t>（二）项目支出：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2025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年本单位项目支出预算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847.39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万元，主要是部门为完成特定行政工作任务或事业发展目标而发生的支出，包括有关事业发展专项、专项业务费、基本建设支出等，其中：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其他事业发展资金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68.15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万元，主要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用于农产品安全监督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等方面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；省级专项资金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778.82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万元，主要用于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现代农业生产发展、农业安全监管、种植业集中育秧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等方面；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运行维护经费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0.42万元，主要用于办公设备购置等方面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。</w:t>
      </w:r>
    </w:p>
    <w:p>
      <w:pPr>
        <w:autoSpaceDE w:val="0"/>
        <w:spacing w:line="600" w:lineRule="exact"/>
        <w:ind w:firstLine="640" w:firstLineChars="200"/>
        <w:jc w:val="left"/>
        <w:rPr>
          <w:rFonts w:eastAsia="黑体"/>
          <w:sz w:val="32"/>
          <w:szCs w:val="32"/>
          <w:highlight w:val="none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>五</w:t>
      </w:r>
      <w:r>
        <w:rPr>
          <w:rFonts w:ascii="黑体" w:hAnsi="黑体" w:eastAsia="黑体"/>
          <w:sz w:val="32"/>
          <w:szCs w:val="32"/>
          <w:highlight w:val="none"/>
        </w:rPr>
        <w:t>、政府性基金预算支出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本单位无政府性基金安排的支出。</w:t>
      </w:r>
    </w:p>
    <w:p>
      <w:pPr>
        <w:numPr>
          <w:ilvl w:val="0"/>
          <w:numId w:val="1"/>
        </w:numPr>
        <w:autoSpaceDE w:val="0"/>
        <w:spacing w:line="600" w:lineRule="exact"/>
        <w:ind w:firstLine="640" w:firstLineChars="200"/>
        <w:jc w:val="left"/>
        <w:rPr>
          <w:rFonts w:ascii="黑体" w:hAnsi="黑体" w:eastAsia="黑体"/>
          <w:sz w:val="32"/>
          <w:szCs w:val="32"/>
          <w:highlight w:val="none"/>
        </w:rPr>
      </w:pPr>
      <w:r>
        <w:rPr>
          <w:rFonts w:ascii="黑体" w:hAnsi="黑体" w:eastAsia="黑体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  <w:t>（一）运行经费：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年本单位运行经费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69.29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万元，比上年预算减少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7.7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万元，下降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%，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主要是厉行节约，严控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公用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经费支出。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  <w:t>（二）“三公”经费预算：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年本单位“三公”经费预算数为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23.4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万元，其中，公务接待费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2.4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万元，公务用车购置及运行费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万元（其中，公务用车购置费 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万元，公务用车运行费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万元），因公出国（境）费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万元。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年“三公”经费预算较上年减少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2.6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万元，主要是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主要是厉行节约，严控三公经费支出。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  <w:t>（三）一般性支出情况：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年本单位会议费预算</w:t>
      </w:r>
      <w:r>
        <w:rPr>
          <w:rFonts w:hint="eastAsia" w:eastAsia="仿宋_GB2312" w:cs="Times New Roman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万元</w:t>
      </w:r>
      <w:r>
        <w:rPr>
          <w:rFonts w:hint="eastAsia" w:eastAsia="仿宋_GB2312" w:cs="Times New Roman"/>
          <w:kern w:val="0"/>
          <w:sz w:val="32"/>
          <w:szCs w:val="32"/>
          <w:highlight w:val="none"/>
          <w:lang w:eastAsia="zh-CN"/>
        </w:rPr>
        <w:t>，拟召开</w:t>
      </w:r>
      <w:r>
        <w:rPr>
          <w:rFonts w:hint="eastAsia" w:eastAsia="仿宋_GB2312" w:cs="Times New Roman"/>
          <w:kern w:val="0"/>
          <w:sz w:val="32"/>
          <w:szCs w:val="32"/>
          <w:highlight w:val="none"/>
          <w:lang w:val="en-US" w:eastAsia="zh-CN"/>
        </w:rPr>
        <w:t>0次会议，人数0人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；培训费预算</w:t>
      </w:r>
      <w:r>
        <w:rPr>
          <w:rFonts w:hint="eastAsia" w:eastAsia="仿宋_GB2312" w:cs="Times New Roman"/>
          <w:kern w:val="0"/>
          <w:sz w:val="32"/>
          <w:szCs w:val="32"/>
          <w:highlight w:val="none"/>
          <w:lang w:val="en-US" w:eastAsia="zh-CN"/>
        </w:rPr>
        <w:t>43.01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万元，拟开展</w:t>
      </w:r>
      <w:r>
        <w:rPr>
          <w:rFonts w:hint="eastAsia" w:eastAsia="仿宋_GB2312" w:cs="Times New Roman"/>
          <w:kern w:val="0"/>
          <w:sz w:val="32"/>
          <w:szCs w:val="32"/>
          <w:highlight w:val="none"/>
          <w:lang w:val="en-US" w:eastAsia="zh-CN"/>
        </w:rPr>
        <w:t>6次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培训，人数</w:t>
      </w:r>
      <w:r>
        <w:rPr>
          <w:rFonts w:hint="eastAsia" w:eastAsia="仿宋_GB2312" w:cs="Times New Roman"/>
          <w:kern w:val="0"/>
          <w:sz w:val="32"/>
          <w:szCs w:val="32"/>
          <w:highlight w:val="none"/>
          <w:lang w:val="en-US" w:eastAsia="zh-CN"/>
        </w:rPr>
        <w:t>565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人，内容为</w:t>
      </w:r>
      <w:r>
        <w:rPr>
          <w:rFonts w:hint="eastAsia" w:eastAsia="仿宋_GB2312" w:cs="Times New Roman"/>
          <w:kern w:val="0"/>
          <w:sz w:val="32"/>
          <w:szCs w:val="32"/>
          <w:highlight w:val="none"/>
          <w:lang w:eastAsia="zh-CN"/>
        </w:rPr>
        <w:t>全省农药登记培训、全省农药登记实验单位培训、全省农药监管培训、全省农药行业法治培训和安全生产消防演练、全省种植业农产品检测培训、全省农产品检测技术培训；</w:t>
      </w:r>
      <w:r>
        <w:rPr>
          <w:rFonts w:hint="eastAsia" w:eastAsia="仿宋_GB2312" w:cs="Times New Roman"/>
          <w:kern w:val="0"/>
          <w:sz w:val="32"/>
          <w:szCs w:val="32"/>
          <w:highlight w:val="none"/>
          <w:lang w:val="en-US" w:eastAsia="zh-CN"/>
        </w:rPr>
        <w:t>未计划举办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节庆、晚会、论坛、赛事活动</w:t>
      </w:r>
      <w:r>
        <w:rPr>
          <w:rFonts w:hint="eastAsia" w:eastAsia="仿宋_GB2312" w:cs="Times New Roman"/>
          <w:kern w:val="0"/>
          <w:sz w:val="32"/>
          <w:szCs w:val="32"/>
          <w:highlight w:val="none"/>
          <w:lang w:eastAsia="zh-CN"/>
        </w:rPr>
        <w:t>，经费预算</w:t>
      </w:r>
      <w:r>
        <w:rPr>
          <w:rFonts w:hint="eastAsia" w:eastAsia="仿宋_GB2312" w:cs="Times New Roman"/>
          <w:kern w:val="0"/>
          <w:sz w:val="32"/>
          <w:szCs w:val="32"/>
          <w:highlight w:val="none"/>
          <w:lang w:val="en-US" w:eastAsia="zh-CN"/>
        </w:rPr>
        <w:t>0万元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  <w:t>（四）政府采购情况：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年本部门政府采购预算总额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万元，其中，货物类采购预算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万元；工程类采购预算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万元；服务类采购预算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  <w:t>（五）国有资产占用使用及新增资产配置情况：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截至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2024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年12月底，本单位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</w:rPr>
        <w:t>共有公务用车</w:t>
      </w:r>
      <w:r>
        <w:rPr>
          <w:rFonts w:hint="eastAsia" w:eastAsia="仿宋_GB2312" w:cs="Times New Roman"/>
          <w:bCs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</w:rPr>
        <w:t>辆，其中，机要通信用车</w:t>
      </w:r>
      <w:r>
        <w:rPr>
          <w:rFonts w:hint="eastAsia" w:eastAsia="仿宋_GB2312" w:cs="Times New Roman"/>
          <w:bCs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</w:rPr>
        <w:t>辆，应急保障用车</w:t>
      </w:r>
      <w:r>
        <w:rPr>
          <w:rFonts w:hint="eastAsia" w:eastAsia="仿宋_GB2312" w:cs="Times New Roman"/>
          <w:bCs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</w:rPr>
        <w:t>辆，执法执勤用车</w:t>
      </w:r>
      <w:r>
        <w:rPr>
          <w:rFonts w:hint="eastAsia" w:eastAsia="仿宋_GB2312" w:cs="Times New Roman"/>
          <w:bCs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</w:rPr>
        <w:t>辆，特种专业技术用车</w:t>
      </w:r>
      <w:r>
        <w:rPr>
          <w:rFonts w:hint="eastAsia" w:eastAsia="仿宋_GB2312" w:cs="Times New Roman"/>
          <w:bCs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</w:rPr>
        <w:t>辆，其他按照规定配备的公务用车</w:t>
      </w:r>
      <w:r>
        <w:rPr>
          <w:rFonts w:hint="eastAsia" w:eastAsia="仿宋_GB2312" w:cs="Times New Roman"/>
          <w:bCs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</w:rPr>
        <w:t>辆；单位价值100万元以上设备</w:t>
      </w:r>
      <w:r>
        <w:rPr>
          <w:rFonts w:hint="eastAsia" w:eastAsia="仿宋_GB2312" w:cs="Times New Roman"/>
          <w:bCs/>
          <w:kern w:val="0"/>
          <w:sz w:val="32"/>
          <w:szCs w:val="32"/>
          <w:highlight w:val="none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</w:rPr>
        <w:t>台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lang w:eastAsia="zh-CN"/>
        </w:rPr>
        <w:t>（不含车辆）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</w:rPr>
        <w:t>。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</w:rPr>
        <w:t>年拟新增配置公务用车</w:t>
      </w:r>
      <w:r>
        <w:rPr>
          <w:rFonts w:hint="eastAsia" w:eastAsia="仿宋_GB2312" w:cs="Times New Roman"/>
          <w:bCs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</w:rPr>
        <w:t>辆，其中，机要通信用车</w:t>
      </w:r>
      <w:r>
        <w:rPr>
          <w:rFonts w:hint="eastAsia" w:eastAsia="仿宋_GB2312" w:cs="Times New Roman"/>
          <w:bCs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</w:rPr>
        <w:t>辆，应急保障用车</w:t>
      </w:r>
      <w:r>
        <w:rPr>
          <w:rFonts w:hint="eastAsia" w:eastAsia="仿宋_GB2312" w:cs="Times New Roman"/>
          <w:bCs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</w:rPr>
        <w:t>辆，执法执勤用车</w:t>
      </w:r>
      <w:r>
        <w:rPr>
          <w:rFonts w:hint="eastAsia" w:eastAsia="仿宋_GB2312" w:cs="Times New Roman"/>
          <w:bCs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</w:rPr>
        <w:t>辆，特种专业技术用车</w:t>
      </w:r>
      <w:r>
        <w:rPr>
          <w:rFonts w:hint="eastAsia" w:eastAsia="仿宋_GB2312" w:cs="Times New Roman"/>
          <w:bCs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</w:rPr>
        <w:t>辆，其他按照规定配备的公务用车</w:t>
      </w:r>
      <w:r>
        <w:rPr>
          <w:rFonts w:hint="eastAsia" w:eastAsia="仿宋_GB2312" w:cs="Times New Roman"/>
          <w:bCs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</w:rPr>
        <w:t>辆；新增配备单位价值100万元以上设备</w:t>
      </w:r>
      <w:r>
        <w:rPr>
          <w:rFonts w:hint="eastAsia" w:eastAsia="仿宋_GB2312" w:cs="Times New Roman"/>
          <w:bCs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</w:rPr>
        <w:t>台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lang w:eastAsia="zh-CN"/>
        </w:rPr>
        <w:t>（不含车辆）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  <w:highlight w:val="none"/>
        </w:rPr>
        <w:t>（六）预算绩效目标说明：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</w:rPr>
        <w:t>本单位所有支出实行绩效目标管理。纳入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</w:rPr>
        <w:t>年单位整体支出绩效目标的金额为</w:t>
      </w:r>
      <w:r>
        <w:rPr>
          <w:rFonts w:hint="eastAsia" w:eastAsia="仿宋_GB2312" w:cs="Times New Roman"/>
          <w:bCs/>
          <w:kern w:val="0"/>
          <w:sz w:val="32"/>
          <w:szCs w:val="32"/>
          <w:highlight w:val="none"/>
          <w:lang w:val="en-US" w:eastAsia="zh-CN"/>
        </w:rPr>
        <w:t>1685.92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</w:rPr>
        <w:t>万元，其中，基本支出</w:t>
      </w:r>
      <w:r>
        <w:rPr>
          <w:rFonts w:hint="eastAsia" w:eastAsia="仿宋_GB2312" w:cs="Times New Roman"/>
          <w:bCs/>
          <w:kern w:val="0"/>
          <w:sz w:val="32"/>
          <w:szCs w:val="32"/>
          <w:highlight w:val="none"/>
          <w:lang w:val="en-US" w:eastAsia="zh-CN"/>
        </w:rPr>
        <w:t>851.47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</w:rPr>
        <w:t>万元，项目支出</w:t>
      </w:r>
      <w:r>
        <w:rPr>
          <w:rFonts w:hint="eastAsia" w:eastAsia="仿宋_GB2312" w:cs="Times New Roman"/>
          <w:bCs/>
          <w:kern w:val="0"/>
          <w:sz w:val="32"/>
          <w:szCs w:val="32"/>
          <w:highlight w:val="none"/>
          <w:lang w:val="en-US" w:eastAsia="zh-CN"/>
        </w:rPr>
        <w:t>834.45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</w:rPr>
        <w:t>万元，具体绩效目标详见报表。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eastAsia="zh-CN"/>
        </w:rPr>
        <w:t>七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、名词解释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1、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>
      <w:pPr>
        <w:numPr>
          <w:ilvl w:val="0"/>
          <w:numId w:val="0"/>
        </w:numPr>
        <w:autoSpaceDE w:val="0"/>
        <w:spacing w:line="600" w:lineRule="exact"/>
        <w:jc w:val="left"/>
        <w:rPr>
          <w:rFonts w:ascii="黑体" w:hAnsi="黑体" w:eastAsia="黑体"/>
          <w:sz w:val="32"/>
          <w:szCs w:val="32"/>
          <w:highlight w:val="none"/>
        </w:rPr>
      </w:pPr>
    </w:p>
    <w:p>
      <w:pPr>
        <w:widowControl/>
        <w:spacing w:line="600" w:lineRule="exact"/>
        <w:ind w:firstLine="720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20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20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</w:pPr>
      <w:bookmarkStart w:id="0" w:name="_GoBack"/>
      <w:bookmarkEnd w:id="0"/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  <w:t xml:space="preserve">第二部分 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lang w:eastAsia="zh-CN"/>
        </w:rPr>
        <w:t>2025</w:t>
      </w: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  <w:t>年单位预算表</w:t>
      </w:r>
    </w:p>
    <w:p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3000502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82EA86"/>
    <w:multiLevelType w:val="singleLevel"/>
    <w:tmpl w:val="E482EA86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69F"/>
    <w:rsid w:val="0007769F"/>
    <w:rsid w:val="00A641FB"/>
    <w:rsid w:val="00C763F4"/>
    <w:rsid w:val="00D227ED"/>
    <w:rsid w:val="00EB60B2"/>
    <w:rsid w:val="03A32C74"/>
    <w:rsid w:val="03D96696"/>
    <w:rsid w:val="0422280B"/>
    <w:rsid w:val="051C14B4"/>
    <w:rsid w:val="07523963"/>
    <w:rsid w:val="075A7AEE"/>
    <w:rsid w:val="08A927C5"/>
    <w:rsid w:val="098B0432"/>
    <w:rsid w:val="0AA07F0D"/>
    <w:rsid w:val="0B136931"/>
    <w:rsid w:val="0B186C18"/>
    <w:rsid w:val="0B664CB3"/>
    <w:rsid w:val="0B971310"/>
    <w:rsid w:val="0F2729AB"/>
    <w:rsid w:val="157D65AB"/>
    <w:rsid w:val="177644D0"/>
    <w:rsid w:val="17FA6EAF"/>
    <w:rsid w:val="186407CC"/>
    <w:rsid w:val="190D2C12"/>
    <w:rsid w:val="1C1B73F4"/>
    <w:rsid w:val="1D392227"/>
    <w:rsid w:val="20C03CAE"/>
    <w:rsid w:val="21662DA4"/>
    <w:rsid w:val="2177331E"/>
    <w:rsid w:val="23F03414"/>
    <w:rsid w:val="255F65A3"/>
    <w:rsid w:val="27873B8F"/>
    <w:rsid w:val="280B2A12"/>
    <w:rsid w:val="282D0BDB"/>
    <w:rsid w:val="2A790107"/>
    <w:rsid w:val="2BEB7677"/>
    <w:rsid w:val="2CA64AB8"/>
    <w:rsid w:val="2FFF0938"/>
    <w:rsid w:val="30201025"/>
    <w:rsid w:val="305F1B4D"/>
    <w:rsid w:val="31D72A08"/>
    <w:rsid w:val="31E81A38"/>
    <w:rsid w:val="3283056E"/>
    <w:rsid w:val="368C11C2"/>
    <w:rsid w:val="3922692F"/>
    <w:rsid w:val="39437E09"/>
    <w:rsid w:val="3B2E0A9A"/>
    <w:rsid w:val="3C12216A"/>
    <w:rsid w:val="3D954E00"/>
    <w:rsid w:val="3DBF1E7D"/>
    <w:rsid w:val="3EDA6843"/>
    <w:rsid w:val="409A0980"/>
    <w:rsid w:val="40DA6FCE"/>
    <w:rsid w:val="41F145CF"/>
    <w:rsid w:val="428D254A"/>
    <w:rsid w:val="43E50164"/>
    <w:rsid w:val="44692B43"/>
    <w:rsid w:val="48F826E7"/>
    <w:rsid w:val="49EF3AEA"/>
    <w:rsid w:val="4B893ACB"/>
    <w:rsid w:val="4D4E4EB1"/>
    <w:rsid w:val="502D711A"/>
    <w:rsid w:val="50CD4459"/>
    <w:rsid w:val="51A21DF0"/>
    <w:rsid w:val="51ED4DB3"/>
    <w:rsid w:val="53672943"/>
    <w:rsid w:val="53B042EA"/>
    <w:rsid w:val="566F7A2D"/>
    <w:rsid w:val="58D42829"/>
    <w:rsid w:val="59EC3BA2"/>
    <w:rsid w:val="5E960581"/>
    <w:rsid w:val="5E9B384B"/>
    <w:rsid w:val="5F125E59"/>
    <w:rsid w:val="61A42FB4"/>
    <w:rsid w:val="61F54AEC"/>
    <w:rsid w:val="64273B1B"/>
    <w:rsid w:val="6824742D"/>
    <w:rsid w:val="68863414"/>
    <w:rsid w:val="6D08089B"/>
    <w:rsid w:val="6DA700B4"/>
    <w:rsid w:val="6DC9627D"/>
    <w:rsid w:val="6E663ACB"/>
    <w:rsid w:val="6EE964AB"/>
    <w:rsid w:val="6F6C2EE8"/>
    <w:rsid w:val="701D465E"/>
    <w:rsid w:val="701F03D6"/>
    <w:rsid w:val="71241A1C"/>
    <w:rsid w:val="72B15531"/>
    <w:rsid w:val="72CB65F3"/>
    <w:rsid w:val="731C6E4F"/>
    <w:rsid w:val="74E4399C"/>
    <w:rsid w:val="765B7ACF"/>
    <w:rsid w:val="78144598"/>
    <w:rsid w:val="78986F77"/>
    <w:rsid w:val="7A7B08FF"/>
    <w:rsid w:val="7AEA31EF"/>
    <w:rsid w:val="7B295C38"/>
    <w:rsid w:val="7C613B24"/>
    <w:rsid w:val="7DD30A52"/>
    <w:rsid w:val="7E8B30DA"/>
    <w:rsid w:val="7FBB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8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ind w:firstLine="420" w:firstLineChars="200"/>
    </w:pPr>
  </w:style>
  <w:style w:type="paragraph" w:styleId="3">
    <w:name w:val="Body Text Indent"/>
    <w:basedOn w:val="1"/>
    <w:qFormat/>
    <w:uiPriority w:val="0"/>
    <w:pPr>
      <w:ind w:firstLine="634"/>
    </w:pPr>
    <w:rPr>
      <w:rFonts w:eastAsia="仿宋_GB2312"/>
    </w:rPr>
  </w:style>
  <w:style w:type="paragraph" w:styleId="6">
    <w:name w:val="List Paragraph"/>
    <w:basedOn w:val="1"/>
    <w:qFormat/>
    <w:uiPriority w:val="34"/>
    <w:pPr>
      <w:ind w:firstLine="420" w:firstLineChars="200"/>
    </w:pPr>
    <w:rPr>
      <w:rFonts w:ascii="Calibri" w:hAnsi="Calibri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2494</Words>
  <Characters>2736</Characters>
  <Lines>12</Lines>
  <Paragraphs>3</Paragraphs>
  <TotalTime>0</TotalTime>
  <ScaleCrop>false</ScaleCrop>
  <LinksUpToDate>false</LinksUpToDate>
  <CharactersWithSpaces>2744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2025-02-06T01:50:00Z</dcterms:created>
  <dc:creator>user</dc:creator>
  <cp:lastModifiedBy>lenovo</cp:lastModifiedBy>
  <dcterms:modified xsi:type="dcterms:W3CDTF">2025-03-10T03:01:02Z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eyJoZGlkIjoiMjliYWQwY2NkMjNkZmFlMDhmZjZhNjI5MDc5MTBmOTAifQ==</vt:lpwstr>
  </property>
  <property fmtid="{D5CDD505-2E9C-101B-9397-08002B2CF9AE}" pid="3" name="KSOProductBuildVer">
    <vt:lpwstr>2052-11.8.6.8556</vt:lpwstr>
  </property>
  <property fmtid="{D5CDD505-2E9C-101B-9397-08002B2CF9AE}" pid="4" name="ICV">
    <vt:lpwstr>E2809C54B6004260B6E6CEFF25C59824_12</vt:lpwstr>
  </property>
</Properties>
</file>