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u w:val="none"/>
          <w:lang w:eastAsia="zh-CN"/>
        </w:rPr>
      </w:pPr>
      <w:r>
        <w:rPr>
          <w:rFonts w:hint="eastAsia" w:ascii="Times New Roman" w:hAnsi="Times New Roman" w:eastAsia="方正小标宋_GBK" w:cs="Times New Roman"/>
          <w:bCs/>
          <w:kern w:val="0"/>
          <w:sz w:val="44"/>
          <w:szCs w:val="44"/>
          <w:u w:val="none"/>
          <w:lang w:eastAsia="zh-CN"/>
        </w:rPr>
        <w:t>2025</w:t>
      </w: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u w:val="none"/>
        </w:rPr>
        <w:t>年</w:t>
      </w: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u w:val="none"/>
          <w:lang w:eastAsia="zh-CN"/>
        </w:rPr>
        <w:t>湖南省农业农村厅机关后勤服务</w:t>
      </w: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u w:val="none"/>
        </w:rPr>
      </w:pP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u w:val="none"/>
          <w:lang w:eastAsia="zh-CN"/>
        </w:rPr>
        <w:t>中心</w:t>
      </w:r>
      <w:bookmarkStart w:id="0" w:name="_GoBack"/>
      <w:bookmarkEnd w:id="0"/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u w:val="none"/>
        </w:rPr>
        <w:t>预算</w:t>
      </w:r>
    </w:p>
    <w:p>
      <w:pPr>
        <w:widowControl/>
        <w:spacing w:line="600" w:lineRule="exact"/>
        <w:jc w:val="center"/>
        <w:rPr>
          <w:rFonts w:hint="default" w:ascii="Times New Roman" w:hAnsi="Times New Roman" w:eastAsia="楷体_GB2312" w:cs="Times New Roman"/>
          <w:bCs/>
          <w:kern w:val="0"/>
          <w:sz w:val="32"/>
          <w:szCs w:val="32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黑体" w:cs="Times New Roman"/>
          <w:bCs/>
          <w:kern w:val="0"/>
          <w:sz w:val="32"/>
          <w:szCs w:val="32"/>
          <w:u w:val="none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  <w:u w:val="none"/>
        </w:rPr>
        <w:t>目 录</w:t>
      </w: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bCs/>
          <w:kern w:val="0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方正小标宋_GBK" w:cs="Times New Roman"/>
          <w:b/>
          <w:bCs/>
          <w:kern w:val="0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u w:val="none"/>
        </w:rPr>
        <w:t xml:space="preserve">第一部分 </w:t>
      </w:r>
      <w:r>
        <w:rPr>
          <w:rFonts w:hint="eastAsia" w:ascii="Times New Roman" w:hAnsi="Times New Roman" w:eastAsia="方正小标宋_GBK" w:cs="Times New Roman"/>
          <w:b/>
          <w:bCs/>
          <w:kern w:val="0"/>
          <w:sz w:val="32"/>
          <w:szCs w:val="32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u w:val="none"/>
        </w:rPr>
        <w:t>年单位预算说明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u w:val="none"/>
        </w:rPr>
        <w:t xml:space="preserve">第二部分 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u w:val="none"/>
        </w:rPr>
        <w:t>年单位预算表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1、收支总表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2、收入总表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3、支出总表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4、支出预算分类汇总表（按政府预算经济分类）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5、支出预算分类汇总表（按部门预算经济分类）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6、财政拨款收支总表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7、一般公共预算支出表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8、一般公共预算基本支出表-人员经费（工资福利支出）（按政府预算经济分类）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9、一般公共预算基本支出表-人员经费（工资福利支出）（按部门预算经济分类）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10、一般公共预算基本支出表-人员经费（对个人和家庭的补助）（按政府预算经济分类）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11、一般公共预算基本支出表-人员经费（对个人和家庭的补助）（按部门预算经济分类）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12、一般公共预算基本支出表-公用经费（商品和服务支出）（按政府预算经济分类）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13、一般公共预算基本支出表-公用经费（商品和服务支出）（按部门预算经济分类）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14、一般公共预算“三公”经费支出表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15、政府性基金预算支出表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16、政府性基金预算支出分类汇总表（按政府预算经济分类）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17、政府性基金预算支出分类汇总表（按部门预算经济分类）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18、国有资本经营预算支出表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19、财政专户管理资金预算支出表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20、省级专项资金预算汇总表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21、省级专项资金绩效目标表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22、其他项目支出绩效目标表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23、部门整体支出绩效目标表</w:t>
      </w: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  <w:t xml:space="preserve">第一部分 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u w:val="none"/>
          <w:lang w:eastAsia="zh-CN"/>
        </w:rPr>
        <w:t>2025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  <w:t>年单位预算说明</w:t>
      </w:r>
    </w:p>
    <w:p>
      <w:pPr>
        <w:widowControl/>
        <w:spacing w:line="600" w:lineRule="exact"/>
        <w:jc w:val="left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bCs/>
          <w:kern w:val="0"/>
          <w:sz w:val="32"/>
          <w:szCs w:val="32"/>
          <w:u w:val="none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  <w:u w:val="none"/>
        </w:rPr>
        <w:t>一、单位基本概况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（一）职能职责。</w:t>
      </w:r>
    </w:p>
    <w:p>
      <w:pPr>
        <w:pStyle w:val="4"/>
        <w:spacing w:before="72" w:line="290" w:lineRule="auto"/>
        <w:ind w:right="113" w:firstLine="633"/>
        <w:rPr>
          <w:u w:val="none"/>
        </w:rPr>
      </w:pPr>
      <w:r>
        <w:rPr>
          <w:spacing w:val="-3"/>
          <w:u w:val="none"/>
        </w:rPr>
        <w:t>农业农村厅的一个窗口与外界各部门、机构进行工作衔接，主要负责对厅机关交给后勤中心保管、使用的房屋、公用设施、专用设备等进行管</w:t>
      </w:r>
      <w:r>
        <w:rPr>
          <w:spacing w:val="-12"/>
          <w:w w:val="95"/>
          <w:u w:val="none"/>
        </w:rPr>
        <w:t xml:space="preserve">理、维护、维修，使其为厅机关提供后勤保障服务， </w:t>
      </w:r>
      <w:r>
        <w:rPr>
          <w:spacing w:val="-3"/>
          <w:u w:val="none"/>
        </w:rPr>
        <w:t>保证机关大院的正常工作和生活次序；按照厅党组的委托及授权，负责与当地各级政府部门进行工作衔接；后勤的工作职能决定其代表农业农村厅与省、市、区、社区等地方政府</w:t>
      </w:r>
      <w:r>
        <w:rPr>
          <w:spacing w:val="-17"/>
          <w:w w:val="99"/>
          <w:u w:val="none"/>
        </w:rPr>
        <w:t>各职能部门进行工作联系，</w:t>
      </w:r>
      <w:r>
        <w:rPr>
          <w:spacing w:val="-3"/>
          <w:w w:val="99"/>
          <w:u w:val="none"/>
        </w:rPr>
        <w:t>（计生办、治安联防、卫生防疫、</w:t>
      </w:r>
      <w:r>
        <w:rPr>
          <w:spacing w:val="-3"/>
          <w:u w:val="none"/>
        </w:rPr>
        <w:t>园林绿化、节能节水、电力、税务、审计、国土局、消防、环保、文物局、防雷办、白蚁防治办、血防办、残联、街道办、爱卫会、文明办、居委会等等）并接受当地各级政府职能部门的管理、监督、检查。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（二）机构设置。</w:t>
      </w:r>
    </w:p>
    <w:p>
      <w:pPr>
        <w:pStyle w:val="4"/>
        <w:spacing w:before="72" w:line="290" w:lineRule="auto"/>
        <w:ind w:right="341" w:firstLine="633"/>
        <w:rPr>
          <w:u w:val="none"/>
        </w:rPr>
      </w:pPr>
      <w:r>
        <w:rPr>
          <w:spacing w:val="-3"/>
          <w:w w:val="95"/>
          <w:u w:val="none"/>
        </w:rPr>
        <w:t>中心下设综合科、人事老干科、计划财务科、总务科</w:t>
      </w:r>
      <w:r>
        <w:rPr>
          <w:rFonts w:hint="eastAsia"/>
          <w:spacing w:val="-3"/>
          <w:w w:val="95"/>
          <w:u w:val="none"/>
          <w:lang w:eastAsia="zh-CN"/>
        </w:rPr>
        <w:t>、</w:t>
      </w:r>
      <w:r>
        <w:rPr>
          <w:spacing w:val="-3"/>
          <w:w w:val="95"/>
          <w:u w:val="none"/>
        </w:rPr>
        <w:t xml:space="preserve"> </w:t>
      </w:r>
      <w:r>
        <w:rPr>
          <w:spacing w:val="-3"/>
          <w:u w:val="none"/>
        </w:rPr>
        <w:t>生活科、机关车队等部门。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eastAsia" w:ascii="Times New Roman" w:hAnsi="Times New Roman" w:eastAsia="黑体" w:cs="Times New Roman"/>
          <w:bCs/>
          <w:kern w:val="0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u w:val="none"/>
          <w:lang w:eastAsia="zh-CN"/>
        </w:rPr>
        <w:t>二、预算单位构成</w:t>
      </w:r>
    </w:p>
    <w:p>
      <w:pPr>
        <w:pStyle w:val="2"/>
        <w:rPr>
          <w:rFonts w:hint="eastAsia"/>
          <w:u w:val="none"/>
        </w:rPr>
      </w:pPr>
      <w:r>
        <w:rPr>
          <w:rFonts w:hint="eastAsia" w:eastAsia="仿宋_GB2312"/>
          <w:sz w:val="32"/>
          <w:szCs w:val="32"/>
          <w:u w:val="none"/>
        </w:rPr>
        <w:t>湖南省农业农村厅机关后勤服务中心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无下属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预算单位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bCs/>
          <w:kern w:val="0"/>
          <w:sz w:val="32"/>
          <w:szCs w:val="32"/>
          <w:u w:val="none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u w:val="none"/>
          <w:lang w:eastAsia="zh-CN"/>
        </w:rPr>
        <w:t>三</w:t>
      </w: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  <w:u w:val="none"/>
        </w:rPr>
        <w:t>、单位收支总体情况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（一）收入预算：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包括一般公共预算、政府性基金、国有资本经营预算等财政拨款收入，以及经营收入、事业收入等单位资金。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年本单位收入预算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886.05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万元，其中，一般公共预算拨款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858.28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万元，政府性基金预算拨款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万元，国有资本经营预算拨款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 xml:space="preserve">万元，纳入专户管理的非税收入   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上年结转结余27.77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。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</w:rPr>
        <w:t>收入较去年减少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u w:val="none"/>
          <w:lang w:val="en-US" w:eastAsia="zh-CN"/>
        </w:rPr>
        <w:t>87.39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</w:rPr>
        <w:t>万元，主要是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u w:val="none"/>
          <w:lang w:val="en-US" w:eastAsia="zh-CN"/>
        </w:rPr>
        <w:t>机关食堂项目经费减少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（二）支出预算：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年本单位支出预算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886.05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万元，其中，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社会保障和就业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246.30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，卫生健康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54.90万元，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农林水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544.85万元，住房保障40.00万元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。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</w:rPr>
        <w:t>支出较去年减少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u w:val="none"/>
          <w:lang w:val="en-US" w:eastAsia="zh-CN"/>
        </w:rPr>
        <w:t>87.39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</w:rPr>
        <w:t>万元，主要是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u w:val="none"/>
          <w:lang w:val="en-US" w:eastAsia="zh-CN"/>
        </w:rPr>
        <w:t>机关食堂项目经费减少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u w:val="none"/>
          <w:lang w:eastAsia="zh-CN"/>
        </w:rPr>
        <w:t>四</w:t>
      </w:r>
      <w:r>
        <w:rPr>
          <w:rFonts w:hint="default" w:ascii="Times New Roman" w:hAnsi="Times New Roman" w:eastAsia="黑体" w:cs="Times New Roman"/>
          <w:sz w:val="32"/>
          <w:szCs w:val="32"/>
          <w:u w:val="none"/>
        </w:rPr>
        <w:t>、一般公共预算拨款支出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年本单位一般公共预算拨款支出预算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886.05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万元，其中，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社会保障和就业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246.30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27.80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 xml:space="preserve"> %；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卫生健康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54.90万元，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6.20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 xml:space="preserve"> %；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农林水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544.85万元，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61.49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 xml:space="preserve"> %；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住房保障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40.00万元，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4.51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%。具体安排情况如下：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（一）基本支出：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年本单位基本支出预算数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767.17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万元，主要是为保障单位机构正常运转、完成日常工作任务而发生的各项支出，包括用于基本工资、津贴补贴等人员经费以及办公费、印刷费、水电费、办公设备购置等公用经费。</w:t>
      </w:r>
    </w:p>
    <w:p>
      <w:pPr>
        <w:pStyle w:val="4"/>
        <w:spacing w:before="5" w:line="350" w:lineRule="auto"/>
        <w:ind w:right="274" w:firstLine="660"/>
        <w:jc w:val="both"/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（二）项目支出：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2025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年本单位项目支出预算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118.88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万元，主要是部门为完成特定行政工作任务或事业发展目标而发生的支出，包括有关事业发展专项、专项业务费、基本建设支出等，其中：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其他事业发展资金118.88万元，主要用于办公用房、机关大院维修、厅机关食堂维护、社区+联防经费等方面。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u w:val="none"/>
          <w:lang w:eastAsia="zh-CN"/>
        </w:rPr>
        <w:t>五</w:t>
      </w:r>
      <w:r>
        <w:rPr>
          <w:rFonts w:hint="default" w:ascii="Times New Roman" w:hAnsi="Times New Roman" w:eastAsia="黑体" w:cs="Times New Roman"/>
          <w:sz w:val="32"/>
          <w:szCs w:val="32"/>
          <w:u w:val="none"/>
        </w:rPr>
        <w:t>、政府性基金预算支出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  <w:u w:val="none"/>
        </w:rPr>
        <w:t>本部门无政府性基金安排的支出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u w:val="none"/>
          <w:lang w:eastAsia="zh-CN"/>
        </w:rPr>
        <w:t>六</w:t>
      </w:r>
      <w:r>
        <w:rPr>
          <w:rFonts w:hint="default" w:ascii="Times New Roman" w:hAnsi="Times New Roman" w:eastAsia="黑体" w:cs="Times New Roman"/>
          <w:sz w:val="32"/>
          <w:szCs w:val="32"/>
          <w:u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（一）运行经费：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年本单位运行经费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64.80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万元，比上年预算减少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7.20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万元，下降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%，主要是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单位厉行节约，严格控制运行经费支出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（二）“三公”经费预算：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年本单位“三公”经费预算数为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0.20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万元，其中，公务接待费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0.20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万元，公务用车购置及运行费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万元（其中，公务用车购置费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万元，公务用车运行费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万元），因公出国（境）费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万元。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年“三公”经费预算较上年减少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0.30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万元，主要是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单位厉行节约，严格控制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“三公”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经费支出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。</w:t>
      </w:r>
    </w:p>
    <w:p>
      <w:pPr>
        <w:widowControl/>
        <w:spacing w:line="600" w:lineRule="exact"/>
        <w:ind w:firstLine="660"/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eastAsia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（三）一般性支出情况：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年</w:t>
      </w:r>
      <w:r>
        <w:rPr>
          <w:rFonts w:eastAsia="仿宋_GB2312"/>
          <w:kern w:val="0"/>
          <w:sz w:val="32"/>
          <w:szCs w:val="32"/>
          <w:highlight w:val="none"/>
          <w:u w:val="none"/>
        </w:rPr>
        <w:t>本单位会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eastAsia="zh-CN"/>
        </w:rPr>
        <w:t xml:space="preserve">议费预算 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eastAsia="zh-CN"/>
        </w:rPr>
        <w:t xml:space="preserve">  万元，拟召开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val="en-US" w:eastAsia="zh-CN"/>
        </w:rPr>
        <w:t>0次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eastAsia="zh-CN"/>
        </w:rPr>
        <w:t>会议，人数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eastAsia="zh-CN"/>
        </w:rPr>
        <w:t>人；培训费预算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eastAsia="zh-CN"/>
        </w:rPr>
        <w:t>万元，拟开展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val="en-US" w:eastAsia="zh-CN"/>
        </w:rPr>
        <w:t>0次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eastAsia="zh-CN"/>
        </w:rPr>
        <w:t>培训，人数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eastAsia="zh-CN"/>
        </w:rPr>
        <w:t>人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val="en-US" w:eastAsia="zh-CN"/>
        </w:rPr>
        <w:t>；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val="en-US" w:eastAsia="zh-CN"/>
        </w:rPr>
        <w:t>未计划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val="en-US" w:eastAsia="zh-CN"/>
        </w:rPr>
        <w:t>举办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eastAsia="zh-CN"/>
        </w:rPr>
        <w:t>节庆、晚会、论坛、赛事活动，经费预算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eastAsia="zh-CN"/>
        </w:rPr>
        <w:t>万元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eastAsia="zh-CN"/>
        </w:rPr>
        <w:t>。</w:t>
      </w:r>
    </w:p>
    <w:p>
      <w:pPr>
        <w:widowControl/>
        <w:spacing w:line="600" w:lineRule="exact"/>
        <w:ind w:firstLine="660"/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eastAsia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（四）政府采购情况：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eastAsia="zh-CN"/>
        </w:rPr>
        <w:t xml:space="preserve">本部门政府采购预算总额   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eastAsia="zh-CN"/>
        </w:rPr>
        <w:t>万元，其中，货物类采购预算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eastAsia="zh-CN"/>
        </w:rPr>
        <w:t>万元；工程类采购预算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eastAsia="zh-CN"/>
        </w:rPr>
        <w:t>万元；服务类采购预算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（五）国有资产占用使用及新增资产配置情况：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截至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年12月底，本单位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共有公务用车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辆，其中，机要通信用车   辆，应急保障用车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辆，执法执勤用车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辆，特种专业技术用车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辆，其他按照规定配备的公务用车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辆；单位价值100万元以上设备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台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eastAsia="zh-CN"/>
        </w:rPr>
        <w:t>（不含车辆）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。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年拟新增配置公务用车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辆，其中，机要通信用车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辆，应急保障用车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辆，执法执勤用车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辆，特种专业技术用车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辆，其他按照规定配备的公务用车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辆；新增配备单位价值100万元以上设备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台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eastAsia="zh-CN"/>
        </w:rPr>
        <w:t>（不含车辆）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  <w:u w:val="none"/>
        </w:rPr>
        <w:t>（六）预算绩效目标说明：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none"/>
        </w:rPr>
        <w:t>本单位所有支出实行绩效目标管理。纳入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none"/>
        </w:rPr>
        <w:t>年单位整体支出绩效目标的金额为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858.28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none"/>
        </w:rPr>
        <w:t>万元，其中，基本支出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767.17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none"/>
        </w:rPr>
        <w:t>万元，项目支出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91.11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none"/>
        </w:rPr>
        <w:t>万元，具体绩效目标详见报表。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u w:val="none"/>
          <w:lang w:eastAsia="zh-CN"/>
        </w:rPr>
        <w:t>七</w:t>
      </w:r>
      <w:r>
        <w:rPr>
          <w:rFonts w:hint="default" w:ascii="Times New Roman" w:hAnsi="Times New Roman" w:eastAsia="黑体" w:cs="Times New Roman"/>
          <w:sz w:val="32"/>
          <w:szCs w:val="32"/>
          <w:u w:val="none"/>
        </w:rPr>
        <w:t>、名词解释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、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  <w:t xml:space="preserve">第二部分 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u w:val="none"/>
          <w:lang w:eastAsia="zh-CN"/>
        </w:rPr>
        <w:t>2025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  <w:t>年单位预算表</w:t>
      </w: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rPr>
          <w:u w:val="none"/>
        </w:rPr>
      </w:pPr>
    </w:p>
    <w:sectPr>
      <w:pgSz w:w="11907" w:h="16840"/>
      <w:pgMar w:top="1134" w:right="1797" w:bottom="1304" w:left="1797" w:header="851" w:footer="992" w:gutter="0"/>
      <w:cols w:space="720" w:num="1"/>
      <w:docGrid w:type="linesAndChars" w:linePitch="495" w:charSpace="-59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1374C9"/>
    <w:rsid w:val="005A1928"/>
    <w:rsid w:val="042F320E"/>
    <w:rsid w:val="0F1374C9"/>
    <w:rsid w:val="0F9A4928"/>
    <w:rsid w:val="29C815E7"/>
    <w:rsid w:val="3F2074B8"/>
    <w:rsid w:val="43924773"/>
    <w:rsid w:val="5AD76076"/>
    <w:rsid w:val="5E1356C5"/>
    <w:rsid w:val="76D9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ind w:firstLine="634"/>
    </w:pPr>
    <w:rPr>
      <w:rFonts w:eastAsia="仿宋_GB2312"/>
    </w:rPr>
  </w:style>
  <w:style w:type="paragraph" w:styleId="4">
    <w:name w:val="Body Text"/>
    <w:basedOn w:val="1"/>
    <w:qFormat/>
    <w:uiPriority w:val="1"/>
    <w:pPr>
      <w:spacing w:before="190"/>
      <w:ind w:left="117"/>
    </w:pPr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2025-02-17T13:40:00Z</dcterms:created>
  <dc:creator>lenovo</dc:creator>
  <cp:lastModifiedBy>lenovo</cp:lastModifiedBy>
  <dcterms:modified xsi:type="dcterms:W3CDTF">2025-03-10T01:13:44Z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