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年湖南省农作物种质资源保护与良种繁育中心单位预算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  <w:u w:val="none"/>
        </w:rPr>
      </w:pPr>
      <w:r>
        <w:rPr>
          <w:rFonts w:eastAsia="仿宋_GB2312"/>
          <w:b/>
          <w:bCs/>
          <w:kern w:val="0"/>
          <w:sz w:val="32"/>
          <w:szCs w:val="32"/>
          <w:u w:val="none"/>
        </w:rPr>
        <w:t xml:space="preserve"> 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bCs/>
          <w:kern w:val="0"/>
          <w:sz w:val="32"/>
          <w:szCs w:val="32"/>
          <w:u w:val="none"/>
        </w:rPr>
      </w:pPr>
      <w:r>
        <w:rPr>
          <w:rFonts w:ascii="黑体" w:hAnsi="黑体" w:eastAsia="黑体"/>
          <w:bCs/>
          <w:kern w:val="0"/>
          <w:sz w:val="32"/>
          <w:szCs w:val="32"/>
          <w:u w:val="none"/>
        </w:rPr>
        <w:t>一、单位基本概况</w:t>
      </w:r>
    </w:p>
    <w:p>
      <w:pPr>
        <w:ind w:firstLine="643" w:firstLineChars="200"/>
        <w:rPr>
          <w:rFonts w:hint="eastAsia" w:ascii="仿宋_GB2312" w:hAnsi="仿宋_GB2312"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（一）职能职责。</w:t>
      </w:r>
      <w:r>
        <w:rPr>
          <w:rFonts w:ascii="仿宋_GB2312" w:hAnsi="仿宋_GB2312" w:eastAsia="仿宋_GB2312"/>
          <w:sz w:val="32"/>
          <w:szCs w:val="32"/>
          <w:u w:val="none"/>
        </w:rPr>
        <w:t>农作物种质资源收集、保存、保护、开发和利用，良种引进与繁育，良种试验示范与推广，现代农业设施与高新技术示范推广，农业科技培训与学术交流，科技成果转化应用，农业科普教育，现代农业高效发展模式探索与展示推广，现代农业信息服务等。</w:t>
      </w:r>
    </w:p>
    <w:p>
      <w:pPr>
        <w:widowControl/>
        <w:shd w:val="clear" w:color="auto" w:fill="FFFFFF"/>
        <w:spacing w:line="520" w:lineRule="exact"/>
        <w:ind w:firstLine="640"/>
        <w:jc w:val="left"/>
        <w:rPr>
          <w:rFonts w:hint="eastAsia" w:ascii="仿宋_GB2312" w:hAnsi="仿宋_GB2312"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（二）机构设置。</w:t>
      </w:r>
      <w:r>
        <w:rPr>
          <w:rFonts w:ascii="仿宋_GB2312" w:hAnsi="仿宋_GB2312" w:eastAsia="仿宋_GB2312"/>
          <w:sz w:val="32"/>
          <w:szCs w:val="32"/>
          <w:u w:val="none"/>
        </w:rPr>
        <w:t>我单位是农业农村厅下属二级预算单位，下面再无子单位。我单位设置七个科室，分别为：综合科、财务科、产业开发科、后勤服务科、良种繁育科、种质资源科、技术推广科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bCs/>
          <w:kern w:val="0"/>
          <w:sz w:val="32"/>
          <w:szCs w:val="32"/>
          <w:u w:val="none"/>
        </w:rPr>
      </w:pPr>
      <w:r>
        <w:rPr>
          <w:rFonts w:hint="eastAsia" w:ascii="黑体" w:hAnsi="黑体" w:eastAsia="黑体"/>
          <w:bCs/>
          <w:kern w:val="0"/>
          <w:sz w:val="32"/>
          <w:szCs w:val="32"/>
          <w:u w:val="none"/>
        </w:rPr>
        <w:t>二、预算单位构成</w:t>
      </w:r>
    </w:p>
    <w:p>
      <w:pPr>
        <w:widowControl/>
        <w:shd w:val="clear" w:color="auto" w:fill="FFFFFF"/>
        <w:spacing w:line="520" w:lineRule="exact"/>
        <w:ind w:firstLine="640"/>
        <w:jc w:val="left"/>
        <w:rPr>
          <w:rFonts w:ascii="仿宋_GB2312" w:hAnsi="仿宋_GB2312" w:eastAsia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/>
          <w:sz w:val="32"/>
          <w:szCs w:val="32"/>
          <w:u w:val="none"/>
        </w:rPr>
        <w:t>湖南省农作物种质资源保护与良种繁育中心</w:t>
      </w:r>
      <w:r>
        <w:rPr>
          <w:rFonts w:ascii="仿宋_GB2312" w:hAnsi="仿宋_GB2312" w:eastAsia="仿宋_GB2312"/>
          <w:sz w:val="32"/>
          <w:szCs w:val="32"/>
          <w:u w:val="none"/>
        </w:rPr>
        <w:t>无下属预算单位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eastAsia="黑体"/>
          <w:bCs/>
          <w:kern w:val="0"/>
          <w:sz w:val="32"/>
          <w:szCs w:val="32"/>
          <w:u w:val="none"/>
        </w:rPr>
      </w:pPr>
      <w:r>
        <w:rPr>
          <w:rFonts w:hint="eastAsia" w:ascii="黑体" w:hAnsi="黑体" w:eastAsia="黑体"/>
          <w:bCs/>
          <w:kern w:val="0"/>
          <w:sz w:val="32"/>
          <w:szCs w:val="32"/>
          <w:u w:val="none"/>
        </w:rPr>
        <w:t>三</w:t>
      </w:r>
      <w:r>
        <w:rPr>
          <w:rFonts w:ascii="黑体" w:hAnsi="黑体" w:eastAsia="黑体"/>
          <w:bCs/>
          <w:kern w:val="0"/>
          <w:sz w:val="32"/>
          <w:szCs w:val="32"/>
          <w:u w:val="none"/>
        </w:rPr>
        <w:t>、单位收支总体情况</w:t>
      </w:r>
    </w:p>
    <w:p>
      <w:pPr>
        <w:autoSpaceDE w:val="0"/>
        <w:spacing w:line="600" w:lineRule="exact"/>
        <w:ind w:firstLine="643" w:firstLineChars="200"/>
        <w:rPr>
          <w:rFonts w:ascii="仿宋_GB2312" w:hAnsi="仿宋_GB2312"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（一）收入预算：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包括一般公共预算、政府性基金、国有资本经营预算等财政拨款收入，以及经营收入、事业收入等单位资金。2024年本单位收入预算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1133.1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万元，其中，一般公共预算拨款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470.69</w:t>
      </w:r>
      <w:r>
        <w:rPr>
          <w:rFonts w:ascii="仿宋_GB2312" w:hAnsi="仿宋_GB2312" w:eastAsia="仿宋_GB2312"/>
          <w:sz w:val="32"/>
          <w:szCs w:val="32"/>
          <w:u w:val="none"/>
        </w:rPr>
        <w:t>万元，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事业单位经营收入362.41万元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政府性基金预算拨款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万元，国有资本经营预算拨款   万元，纳入专户管理的非税收入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 万元。收入较去年增加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75.1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万元，主要是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增加人员经费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3" w:firstLineChars="200"/>
        <w:rPr>
          <w:rFonts w:hint="eastAsia" w:ascii="仿宋_GB2312" w:hAnsi="仿宋_GB2312"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（二）支出预算：</w:t>
      </w:r>
      <w:r>
        <w:rPr>
          <w:sz w:val="32"/>
          <w:szCs w:val="32"/>
          <w:u w:val="none"/>
        </w:rPr>
        <w:t>2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024年本单位支出预算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1133.1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万元，其中，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社会保障和就业支出93</w:t>
      </w:r>
      <w:r>
        <w:rPr>
          <w:rFonts w:ascii="仿宋_GB2312" w:hAnsi="仿宋_GB2312" w:eastAsia="仿宋_GB2312"/>
          <w:sz w:val="32"/>
          <w:szCs w:val="32"/>
          <w:u w:val="none"/>
        </w:rPr>
        <w:t>万元，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农林水支出1009.1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 万元，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住房保障支出31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万元。支出较去年增加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75.1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万元，主要是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增加了人员经费支出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sz w:val="32"/>
          <w:szCs w:val="32"/>
          <w:u w:val="none"/>
        </w:rPr>
      </w:pPr>
      <w:r>
        <w:rPr>
          <w:rFonts w:hint="eastAsia" w:ascii="黑体" w:hAnsi="黑体" w:eastAsia="黑体"/>
          <w:sz w:val="32"/>
          <w:szCs w:val="32"/>
          <w:u w:val="none"/>
        </w:rPr>
        <w:t>四</w:t>
      </w:r>
      <w:r>
        <w:rPr>
          <w:rFonts w:ascii="黑体" w:hAnsi="黑体" w:eastAsia="黑体"/>
          <w:sz w:val="32"/>
          <w:szCs w:val="32"/>
          <w:u w:val="none"/>
        </w:rPr>
        <w:t>、一般公共预算拨款支出</w:t>
      </w:r>
    </w:p>
    <w:p>
      <w:pPr>
        <w:autoSpaceDE w:val="0"/>
        <w:spacing w:line="600" w:lineRule="exact"/>
        <w:ind w:firstLine="640" w:firstLineChars="200"/>
        <w:rPr>
          <w:rFonts w:ascii="仿宋_GB2312" w:hAnsi="仿宋_GB2312" w:eastAsia="仿宋_GB2312"/>
          <w:sz w:val="32"/>
          <w:szCs w:val="32"/>
          <w:u w:val="none"/>
        </w:rPr>
      </w:pPr>
      <w:r>
        <w:rPr>
          <w:rFonts w:ascii="仿宋_GB2312" w:hAnsi="仿宋_GB2312" w:eastAsia="仿宋_GB2312"/>
          <w:sz w:val="32"/>
          <w:szCs w:val="32"/>
          <w:u w:val="none"/>
        </w:rPr>
        <w:t xml:space="preserve">2024年本单位一般公共预算拨款支出预算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770.69</w:t>
      </w:r>
      <w:r>
        <w:rPr>
          <w:rFonts w:ascii="仿宋_GB2312" w:hAnsi="仿宋_GB2312" w:eastAsia="仿宋_GB2312"/>
          <w:sz w:val="32"/>
          <w:szCs w:val="32"/>
          <w:u w:val="none"/>
        </w:rPr>
        <w:t>万元，其中，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社会保障和就业支出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87.72</w:t>
      </w:r>
      <w:r>
        <w:rPr>
          <w:rFonts w:ascii="仿宋_GB2312" w:hAnsi="仿宋_GB2312" w:eastAsia="仿宋_GB2312"/>
          <w:sz w:val="32"/>
          <w:szCs w:val="32"/>
          <w:u w:val="none"/>
        </w:rPr>
        <w:t>万元，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11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.38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%；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农林水支出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651.97</w:t>
      </w:r>
      <w:r>
        <w:rPr>
          <w:rFonts w:ascii="仿宋_GB2312" w:hAnsi="仿宋_GB2312" w:eastAsia="仿宋_GB2312"/>
          <w:sz w:val="32"/>
          <w:szCs w:val="32"/>
          <w:u w:val="none"/>
        </w:rPr>
        <w:t>万元，占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84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.60</w:t>
      </w:r>
      <w:r>
        <w:rPr>
          <w:rFonts w:ascii="仿宋_GB2312" w:hAnsi="仿宋_GB2312" w:eastAsia="仿宋_GB2312"/>
          <w:sz w:val="32"/>
          <w:szCs w:val="32"/>
          <w:u w:val="none"/>
        </w:rPr>
        <w:t>%；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住房保障支出31</w:t>
      </w:r>
      <w:r>
        <w:rPr>
          <w:rFonts w:ascii="仿宋_GB2312" w:hAnsi="仿宋_GB2312" w:eastAsia="仿宋_GB2312"/>
          <w:sz w:val="32"/>
          <w:szCs w:val="32"/>
          <w:u w:val="none"/>
        </w:rPr>
        <w:t>万元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，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占 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4.02</w:t>
      </w:r>
      <w:r>
        <w:rPr>
          <w:rFonts w:ascii="仿宋_GB2312" w:hAnsi="仿宋_GB2312" w:eastAsia="仿宋_GB2312"/>
          <w:sz w:val="32"/>
          <w:szCs w:val="32"/>
          <w:u w:val="none"/>
        </w:rPr>
        <w:t>%。具体安排情况如下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：</w:t>
      </w:r>
    </w:p>
    <w:p>
      <w:pPr>
        <w:autoSpaceDE w:val="0"/>
        <w:spacing w:line="600" w:lineRule="exact"/>
        <w:ind w:firstLine="643" w:firstLineChars="200"/>
        <w:jc w:val="left"/>
        <w:rPr>
          <w:rFonts w:eastAsia="黑体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（一）基本支出：</w:t>
      </w:r>
      <w:r>
        <w:rPr>
          <w:sz w:val="32"/>
          <w:szCs w:val="32"/>
          <w:u w:val="none"/>
        </w:rPr>
        <w:t>2024</w:t>
      </w:r>
      <w:r>
        <w:rPr>
          <w:rFonts w:ascii="仿宋_GB2312" w:hAnsi="仿宋_GB2312" w:eastAsia="仿宋_GB2312"/>
          <w:sz w:val="32"/>
          <w:szCs w:val="32"/>
          <w:u w:val="none"/>
        </w:rPr>
        <w:t>年本单位基本支出预算数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350.69</w:t>
      </w:r>
      <w:r>
        <w:rPr>
          <w:rFonts w:eastAsia="仿宋_GB2312"/>
          <w:sz w:val="32"/>
          <w:szCs w:val="32"/>
          <w:u w:val="none"/>
        </w:rPr>
        <w:t xml:space="preserve">  </w:t>
      </w:r>
      <w:r>
        <w:rPr>
          <w:rFonts w:ascii="仿宋_GB2312" w:hAnsi="仿宋_GB2312" w:eastAsia="仿宋_GB2312"/>
          <w:sz w:val="32"/>
          <w:szCs w:val="32"/>
          <w:u w:val="none"/>
        </w:rPr>
        <w:t>万元，主要是为保障单位机构正常运转、完成日常工作任务而发生的各项支出，包括用于基本工资、津贴补贴等人员经费以及办公费、水电费、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差旅费</w:t>
      </w:r>
      <w:r>
        <w:rPr>
          <w:rFonts w:ascii="仿宋_GB2312" w:hAnsi="仿宋_GB2312" w:eastAsia="仿宋_GB2312"/>
          <w:sz w:val="32"/>
          <w:szCs w:val="32"/>
          <w:u w:val="none"/>
        </w:rPr>
        <w:t>等公用经费</w:t>
      </w:r>
      <w:r>
        <w:rPr>
          <w:rFonts w:hint="eastAsia" w:ascii="宋体" w:hAnsi="宋体" w:cs="宋体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3" w:firstLineChars="200"/>
        <w:jc w:val="left"/>
        <w:rPr>
          <w:rFonts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（二）项目支出：</w:t>
      </w:r>
      <w:r>
        <w:rPr>
          <w:sz w:val="32"/>
          <w:szCs w:val="32"/>
          <w:u w:val="none"/>
        </w:rPr>
        <w:t>2024</w:t>
      </w:r>
      <w:r>
        <w:rPr>
          <w:rFonts w:ascii="仿宋_GB2312" w:hAnsi="仿宋_GB2312" w:eastAsia="仿宋_GB2312"/>
          <w:sz w:val="32"/>
          <w:szCs w:val="32"/>
          <w:u w:val="none"/>
        </w:rPr>
        <w:t>年本单位项目支出预算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420</w:t>
      </w:r>
      <w:r>
        <w:rPr>
          <w:rFonts w:ascii="仿宋_GB2312" w:hAnsi="仿宋_GB2312" w:eastAsia="仿宋_GB2312"/>
          <w:sz w:val="32"/>
          <w:szCs w:val="32"/>
          <w:u w:val="none"/>
        </w:rPr>
        <w:t>万元，主要是部门为完成特定行政工作任务或事业发展目标而发生的支出，包括有关事业发展专项、专项业务费、基本建设支出等，其中</w:t>
      </w:r>
      <w:r>
        <w:rPr>
          <w:rFonts w:hint="eastAsia" w:ascii="仿宋_GB2312" w:hAnsi="仿宋_GB2312" w:eastAsia="仿宋_GB2312"/>
          <w:sz w:val="32"/>
          <w:szCs w:val="32"/>
          <w:u w:val="none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现代农业农村发展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支出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120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 万元，主要用于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现代农业农村事业发展</w:t>
      </w:r>
      <w:r>
        <w:rPr>
          <w:rFonts w:ascii="仿宋_GB2312" w:hAnsi="仿宋_GB2312" w:eastAsia="仿宋_GB2312"/>
          <w:sz w:val="32"/>
          <w:szCs w:val="32"/>
          <w:u w:val="none"/>
        </w:rPr>
        <w:t>方面；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新型农业经营主体贷款贴息</w:t>
      </w:r>
      <w:r>
        <w:rPr>
          <w:rFonts w:ascii="仿宋_GB2312" w:hAnsi="仿宋_GB2312" w:eastAsia="仿宋_GB2312"/>
          <w:sz w:val="32"/>
          <w:szCs w:val="32"/>
          <w:u w:val="none"/>
        </w:rPr>
        <w:t xml:space="preserve">支出 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300</w:t>
      </w:r>
      <w:r>
        <w:rPr>
          <w:rFonts w:ascii="仿宋_GB2312" w:hAnsi="仿宋_GB2312" w:eastAsia="仿宋_GB2312"/>
          <w:sz w:val="32"/>
          <w:szCs w:val="32"/>
          <w:u w:val="none"/>
        </w:rPr>
        <w:t>万元，主要用于</w:t>
      </w:r>
      <w:r>
        <w:rPr>
          <w:rFonts w:hint="eastAsia" w:ascii="仿宋_GB2312" w:hAnsi="仿宋_GB2312" w:eastAsia="仿宋_GB2312"/>
          <w:sz w:val="32"/>
          <w:szCs w:val="32"/>
          <w:u w:val="none"/>
        </w:rPr>
        <w:t>事业发展</w:t>
      </w:r>
      <w:r>
        <w:rPr>
          <w:rFonts w:ascii="仿宋_GB2312" w:hAnsi="仿宋_GB2312" w:eastAsia="仿宋_GB2312"/>
          <w:sz w:val="32"/>
          <w:szCs w:val="32"/>
          <w:u w:val="none"/>
        </w:rPr>
        <w:t>方面</w:t>
      </w:r>
      <w:r>
        <w:rPr>
          <w:rFonts w:hint="eastAsia" w:ascii="宋体" w:hAnsi="宋体" w:cs="宋体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sz w:val="32"/>
          <w:szCs w:val="32"/>
          <w:u w:val="none"/>
        </w:rPr>
      </w:pPr>
      <w:r>
        <w:rPr>
          <w:rFonts w:hint="eastAsia" w:ascii="黑体" w:hAnsi="黑体" w:eastAsia="黑体"/>
          <w:sz w:val="32"/>
          <w:szCs w:val="32"/>
          <w:u w:val="none"/>
        </w:rPr>
        <w:t>五</w:t>
      </w:r>
      <w:r>
        <w:rPr>
          <w:rFonts w:ascii="黑体" w:hAnsi="黑体" w:eastAsia="黑体"/>
          <w:sz w:val="32"/>
          <w:szCs w:val="32"/>
          <w:u w:val="none"/>
        </w:rPr>
        <w:t>、政府性基金预算支出</w:t>
      </w:r>
    </w:p>
    <w:p>
      <w:pPr>
        <w:autoSpaceDE w:val="0"/>
        <w:spacing w:line="600" w:lineRule="exact"/>
        <w:ind w:firstLine="643" w:firstLineChars="200"/>
        <w:jc w:val="left"/>
        <w:rPr>
          <w:rFonts w:hint="eastAsia" w:eastAsiaTheme="minorEastAsia"/>
          <w:b/>
          <w:sz w:val="32"/>
          <w:szCs w:val="32"/>
          <w:u w:val="none"/>
        </w:rPr>
      </w:pPr>
      <w:r>
        <w:rPr>
          <w:rFonts w:ascii="仿宋_GB2312" w:hAnsi="仿宋_GB2312" w:eastAsia="仿宋_GB2312"/>
          <w:b/>
          <w:sz w:val="32"/>
          <w:szCs w:val="32"/>
          <w:u w:val="none"/>
        </w:rPr>
        <w:t>本部门无政府性基金安排的支出</w:t>
      </w:r>
      <w:r>
        <w:rPr>
          <w:rFonts w:hint="eastAsia" w:eastAsiaTheme="minorEastAsia"/>
          <w:b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sz w:val="32"/>
          <w:szCs w:val="32"/>
          <w:u w:val="none"/>
        </w:rPr>
      </w:pPr>
      <w:r>
        <w:rPr>
          <w:rFonts w:hint="eastAsia" w:ascii="黑体" w:hAnsi="黑体" w:eastAsia="黑体"/>
          <w:sz w:val="32"/>
          <w:szCs w:val="32"/>
          <w:u w:val="none"/>
        </w:rPr>
        <w:t>六</w:t>
      </w:r>
      <w:r>
        <w:rPr>
          <w:rFonts w:ascii="黑体" w:hAnsi="黑体" w:eastAsia="黑体"/>
          <w:sz w:val="32"/>
          <w:szCs w:val="32"/>
          <w:u w:val="none"/>
        </w:rPr>
        <w:t>、其他重要事项的情况说明</w:t>
      </w:r>
    </w:p>
    <w:p>
      <w:pPr>
        <w:autoSpaceDE w:val="0"/>
        <w:spacing w:line="600" w:lineRule="exact"/>
        <w:ind w:firstLine="643" w:firstLineChars="200"/>
        <w:jc w:val="left"/>
        <w:rPr>
          <w:rFonts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（一）运行经费：</w:t>
      </w:r>
      <w:r>
        <w:rPr>
          <w:sz w:val="32"/>
          <w:szCs w:val="32"/>
          <w:u w:val="none"/>
        </w:rPr>
        <w:t>2024</w:t>
      </w:r>
      <w:r>
        <w:rPr>
          <w:rFonts w:ascii="仿宋_GB2312" w:hAnsi="仿宋_GB2312" w:eastAsia="仿宋_GB2312"/>
          <w:sz w:val="32"/>
          <w:szCs w:val="32"/>
          <w:u w:val="none"/>
        </w:rPr>
        <w:t>年本单位运行经费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14</w:t>
      </w:r>
      <w:r>
        <w:rPr>
          <w:rFonts w:ascii="仿宋_GB2312" w:hAnsi="仿宋_GB2312" w:eastAsia="仿宋_GB2312"/>
          <w:sz w:val="32"/>
          <w:szCs w:val="32"/>
          <w:u w:val="none"/>
        </w:rPr>
        <w:t>万元，</w:t>
      </w:r>
      <w:r>
        <w:rPr>
          <w:rFonts w:hint="eastAsia" w:ascii="仿宋_GB2312" w:hAnsi="仿宋_GB2312" w:eastAsia="仿宋_GB2312"/>
          <w:sz w:val="32"/>
          <w:szCs w:val="32"/>
          <w:u w:val="none"/>
          <w:lang w:val="en-US" w:eastAsia="zh-CN"/>
        </w:rPr>
        <w:t>与</w:t>
      </w:r>
      <w:r>
        <w:rPr>
          <w:rFonts w:ascii="仿宋_GB2312" w:hAnsi="仿宋_GB2312" w:eastAsia="仿宋_GB2312"/>
          <w:sz w:val="32"/>
          <w:szCs w:val="32"/>
          <w:u w:val="none"/>
        </w:rPr>
        <w:t>上年预算持平</w:t>
      </w:r>
      <w:r>
        <w:rPr>
          <w:rFonts w:hint="eastAsia" w:ascii="宋体" w:hAnsi="宋体" w:cs="宋体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3" w:firstLineChars="200"/>
        <w:rPr>
          <w:rFonts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（二）</w:t>
      </w:r>
      <w:r>
        <w:rPr>
          <w:rFonts w:eastAsia="楷体_GB2312"/>
          <w:b/>
          <w:sz w:val="32"/>
          <w:szCs w:val="32"/>
          <w:u w:val="none"/>
        </w:rPr>
        <w:t>“</w:t>
      </w:r>
      <w:r>
        <w:rPr>
          <w:rFonts w:ascii="楷体_GB2312" w:hAnsi="楷体_GB2312" w:eastAsia="楷体_GB2312"/>
          <w:b/>
          <w:sz w:val="32"/>
          <w:szCs w:val="32"/>
          <w:u w:val="none"/>
        </w:rPr>
        <w:t>三公</w:t>
      </w:r>
      <w:r>
        <w:rPr>
          <w:rFonts w:eastAsia="楷体_GB2312"/>
          <w:b/>
          <w:sz w:val="32"/>
          <w:szCs w:val="32"/>
          <w:u w:val="none"/>
        </w:rPr>
        <w:t>”</w:t>
      </w:r>
      <w:r>
        <w:rPr>
          <w:rFonts w:ascii="楷体_GB2312" w:hAnsi="楷体_GB2312" w:eastAsia="楷体_GB2312"/>
          <w:b/>
          <w:sz w:val="32"/>
          <w:szCs w:val="32"/>
          <w:u w:val="none"/>
        </w:rPr>
        <w:t>经费预算：</w:t>
      </w:r>
      <w:r>
        <w:rPr>
          <w:sz w:val="32"/>
          <w:szCs w:val="32"/>
          <w:u w:val="none"/>
        </w:rPr>
        <w:t>2024</w:t>
      </w:r>
      <w:r>
        <w:rPr>
          <w:rFonts w:ascii="仿宋_GB2312" w:hAnsi="仿宋_GB2312" w:eastAsia="仿宋_GB2312"/>
          <w:sz w:val="32"/>
          <w:szCs w:val="32"/>
          <w:u w:val="none"/>
        </w:rPr>
        <w:t>年本单位</w:t>
      </w:r>
      <w:r>
        <w:rPr>
          <w:rFonts w:eastAsia="仿宋_GB2312"/>
          <w:sz w:val="32"/>
          <w:szCs w:val="32"/>
          <w:u w:val="none"/>
        </w:rPr>
        <w:t>“</w:t>
      </w:r>
      <w:r>
        <w:rPr>
          <w:rFonts w:ascii="仿宋_GB2312" w:hAnsi="仿宋_GB2312" w:eastAsia="仿宋_GB2312"/>
          <w:sz w:val="32"/>
          <w:szCs w:val="32"/>
          <w:u w:val="none"/>
        </w:rPr>
        <w:t>三公</w:t>
      </w:r>
      <w:r>
        <w:rPr>
          <w:rFonts w:eastAsia="仿宋_GB2312"/>
          <w:sz w:val="32"/>
          <w:szCs w:val="32"/>
          <w:u w:val="none"/>
        </w:rPr>
        <w:t>”</w:t>
      </w:r>
      <w:r>
        <w:rPr>
          <w:rFonts w:ascii="仿宋_GB2312" w:hAnsi="仿宋_GB2312" w:eastAsia="仿宋_GB2312"/>
          <w:sz w:val="32"/>
          <w:szCs w:val="32"/>
          <w:u w:val="none"/>
        </w:rPr>
        <w:t>经费预算数为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万元，其中，公务接待费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万元，公务用车购置及运行费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万元（其中，公务用车购置费</w:t>
      </w:r>
      <w:r>
        <w:rPr>
          <w:rFonts w:hint="eastAsia" w:ascii="仿宋_GB2312" w:hAnsi="仿宋_GB2312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万元，公务用车运行费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万元），因公出国（境）费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万元。</w:t>
      </w:r>
    </w:p>
    <w:p>
      <w:pPr>
        <w:autoSpaceDE w:val="0"/>
        <w:spacing w:line="600" w:lineRule="exact"/>
        <w:ind w:firstLine="643" w:firstLineChars="200"/>
        <w:rPr>
          <w:rFonts w:eastAsia="仿宋_GB2312"/>
          <w:kern w:val="0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（三）一般性支出情况：</w:t>
      </w:r>
      <w:r>
        <w:rPr>
          <w:kern w:val="0"/>
          <w:sz w:val="32"/>
          <w:szCs w:val="32"/>
          <w:u w:val="none"/>
        </w:rPr>
        <w:t>2024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年本单位会议费预算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eastAsia="仿宋_GB2312"/>
          <w:sz w:val="32"/>
          <w:szCs w:val="32"/>
          <w:u w:val="none"/>
        </w:rPr>
        <w:t xml:space="preserve">  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万元；培训费预算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万元，拟开展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培训，人数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人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；</w:t>
      </w:r>
      <w:r>
        <w:rPr>
          <w:rFonts w:hint="eastAsia" w:ascii="仿宋_GB2312" w:hAnsi="仿宋_GB2312" w:eastAsia="仿宋_GB2312"/>
          <w:kern w:val="0"/>
          <w:sz w:val="32"/>
          <w:szCs w:val="32"/>
          <w:u w:val="none"/>
          <w:lang w:val="en-US" w:eastAsia="zh-CN"/>
        </w:rPr>
        <w:t>无</w:t>
      </w:r>
      <w:r>
        <w:rPr>
          <w:rFonts w:ascii="仿宋_GB2312" w:hAnsi="仿宋_GB2312" w:eastAsia="仿宋_GB2312"/>
          <w:kern w:val="0"/>
          <w:sz w:val="32"/>
          <w:szCs w:val="32"/>
          <w:u w:val="none"/>
        </w:rPr>
        <w:t>举办节庆、晚会、论坛、赛事活动</w:t>
      </w:r>
      <w:r>
        <w:rPr>
          <w:rFonts w:hint="eastAsia" w:ascii="仿宋_GB2312" w:hAnsi="仿宋_GB2312" w:eastAsia="仿宋_GB2312"/>
          <w:kern w:val="0"/>
          <w:sz w:val="32"/>
          <w:szCs w:val="32"/>
          <w:u w:val="none"/>
          <w:lang w:val="en-US" w:eastAsia="zh-CN"/>
        </w:rPr>
        <w:t>计划</w:t>
      </w:r>
      <w:r>
        <w:rPr>
          <w:rFonts w:hint="eastAsia" w:ascii="宋体" w:hAnsi="宋体" w:cs="宋体"/>
          <w:kern w:val="0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3" w:firstLineChars="200"/>
        <w:rPr>
          <w:rFonts w:eastAsia="仿宋_GB2312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（四）政府采购情况：</w:t>
      </w:r>
      <w:r>
        <w:rPr>
          <w:sz w:val="32"/>
          <w:szCs w:val="32"/>
          <w:u w:val="none"/>
        </w:rPr>
        <w:t>2024</w:t>
      </w:r>
      <w:r>
        <w:rPr>
          <w:rFonts w:ascii="仿宋_GB2312" w:hAnsi="仿宋_GB2312" w:eastAsia="仿宋_GB2312"/>
          <w:sz w:val="32"/>
          <w:szCs w:val="32"/>
          <w:u w:val="none"/>
        </w:rPr>
        <w:t>年本部门政府采购预算总额</w:t>
      </w:r>
      <w:r>
        <w:rPr>
          <w:rFonts w:eastAsia="仿宋_GB2312"/>
          <w:sz w:val="32"/>
          <w:szCs w:val="32"/>
          <w:u w:val="none"/>
        </w:rPr>
        <w:t xml:space="preserve">   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万元，其中，货物类采购预算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万元；工程类采购预算</w:t>
      </w:r>
      <w:r>
        <w:rPr>
          <w:rFonts w:hint="eastAsia" w:ascii="仿宋_GB2312" w:hAnsi="仿宋_GB2312" w:eastAsiaTheme="minorEastAsia"/>
          <w:sz w:val="32"/>
          <w:szCs w:val="32"/>
          <w:u w:val="none"/>
        </w:rPr>
        <w:t>0</w:t>
      </w:r>
      <w:r>
        <w:rPr>
          <w:rFonts w:eastAsia="仿宋_GB2312"/>
          <w:sz w:val="32"/>
          <w:szCs w:val="32"/>
          <w:u w:val="none"/>
        </w:rPr>
        <w:t xml:space="preserve">   </w:t>
      </w:r>
      <w:r>
        <w:rPr>
          <w:rFonts w:ascii="仿宋_GB2312" w:hAnsi="仿宋_GB2312" w:eastAsia="仿宋_GB2312"/>
          <w:sz w:val="32"/>
          <w:szCs w:val="32"/>
          <w:u w:val="none"/>
        </w:rPr>
        <w:t>万元；服务类采购预算</w:t>
      </w:r>
      <w:r>
        <w:rPr>
          <w:rFonts w:hint="eastAsia" w:eastAsiaTheme="minorEastAsia"/>
          <w:sz w:val="32"/>
          <w:szCs w:val="32"/>
          <w:u w:val="none"/>
        </w:rPr>
        <w:t>0</w:t>
      </w:r>
      <w:r>
        <w:rPr>
          <w:rFonts w:ascii="仿宋_GB2312" w:hAnsi="仿宋_GB2312" w:eastAsia="仿宋_GB2312"/>
          <w:sz w:val="32"/>
          <w:szCs w:val="32"/>
          <w:u w:val="none"/>
        </w:rPr>
        <w:t>万元</w:t>
      </w:r>
      <w:r>
        <w:rPr>
          <w:rFonts w:hint="eastAsia" w:ascii="宋体" w:hAnsi="宋体" w:cs="宋体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color w:val="auto"/>
          <w:kern w:val="0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sz w:val="32"/>
          <w:szCs w:val="32"/>
          <w:u w:val="none"/>
        </w:rPr>
        <w:t>（五）国有资产占用使用及新增资产配置情况：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年12月底，本单位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共有公务用车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辆，其中，机要通信用车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辆，应急保障用车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辆，执法执勤用车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辆，特种专业技术用车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辆；单位价值100万元以上设备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台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。202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年拟新增配置公务用车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辆，其中，机要通信用车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辆，应急保障用车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辆，执法执勤用车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辆，特种专业技术用车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辆；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eastAsia="zh-CN"/>
        </w:rPr>
        <w:t>新增配备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单位价值100万元以上设备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台。</w:t>
      </w:r>
    </w:p>
    <w:p>
      <w:pPr>
        <w:autoSpaceDE w:val="0"/>
        <w:spacing w:line="600" w:lineRule="exact"/>
        <w:ind w:firstLine="643" w:firstLineChars="200"/>
        <w:jc w:val="left"/>
        <w:rPr>
          <w:rFonts w:ascii="仿宋_GB2312" w:hAnsi="仿宋_GB2312" w:eastAsia="仿宋_GB2312"/>
          <w:bCs/>
          <w:kern w:val="0"/>
          <w:sz w:val="32"/>
          <w:szCs w:val="32"/>
          <w:u w:val="none"/>
        </w:rPr>
      </w:pPr>
      <w:r>
        <w:rPr>
          <w:rFonts w:ascii="楷体_GB2312" w:hAnsi="楷体_GB2312" w:eastAsia="楷体_GB2312"/>
          <w:b/>
          <w:bCs/>
          <w:kern w:val="0"/>
          <w:sz w:val="32"/>
          <w:szCs w:val="32"/>
          <w:u w:val="none"/>
        </w:rPr>
        <w:t>（六）预算绩效目标说明：</w:t>
      </w:r>
      <w:r>
        <w:rPr>
          <w:rFonts w:ascii="仿宋_GB2312" w:hAnsi="仿宋_GB2312" w:eastAsia="仿宋_GB2312"/>
          <w:bCs/>
          <w:kern w:val="0"/>
          <w:sz w:val="32"/>
          <w:szCs w:val="32"/>
          <w:u w:val="none"/>
        </w:rPr>
        <w:t>本单位所有支出实行绩效目标管理。纳入2024年单位整体支出绩效目标的金额为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  <w:u w:val="none"/>
          <w:lang w:val="en-US" w:eastAsia="zh-CN"/>
        </w:rPr>
        <w:t>833.10</w:t>
      </w:r>
      <w:r>
        <w:rPr>
          <w:rFonts w:ascii="仿宋_GB2312" w:hAnsi="仿宋_GB2312" w:eastAsia="仿宋_GB2312"/>
          <w:bCs/>
          <w:kern w:val="0"/>
          <w:sz w:val="32"/>
          <w:szCs w:val="32"/>
          <w:u w:val="none"/>
        </w:rPr>
        <w:t>万元，其中，基本支出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  <w:u w:val="none"/>
        </w:rPr>
        <w:t>675.1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ascii="仿宋_GB2312" w:hAnsi="仿宋_GB2312" w:eastAsia="仿宋_GB2312"/>
          <w:bCs/>
          <w:kern w:val="0"/>
          <w:sz w:val="32"/>
          <w:szCs w:val="32"/>
          <w:u w:val="none"/>
        </w:rPr>
        <w:t>万元，项目支出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  <w:u w:val="none"/>
          <w:lang w:val="en-US" w:eastAsia="zh-CN"/>
        </w:rPr>
        <w:t>158.00</w:t>
      </w:r>
      <w:r>
        <w:rPr>
          <w:rFonts w:ascii="仿宋_GB2312" w:hAnsi="仿宋_GB2312" w:eastAsia="仿宋_GB2312"/>
          <w:bCs/>
          <w:kern w:val="0"/>
          <w:sz w:val="32"/>
          <w:szCs w:val="32"/>
          <w:u w:val="none"/>
        </w:rPr>
        <w:t>万元，具体绩效目标详见报表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0" w:firstLineChars="200"/>
        <w:rPr>
          <w:rFonts w:eastAsia="黑体"/>
          <w:sz w:val="32"/>
          <w:szCs w:val="32"/>
          <w:u w:val="none"/>
        </w:rPr>
      </w:pPr>
      <w:r>
        <w:rPr>
          <w:rFonts w:hint="eastAsia" w:ascii="黑体" w:hAnsi="黑体" w:eastAsia="黑体"/>
          <w:sz w:val="32"/>
          <w:szCs w:val="32"/>
          <w:u w:val="none"/>
        </w:rPr>
        <w:t>七</w:t>
      </w:r>
      <w:r>
        <w:rPr>
          <w:rFonts w:ascii="黑体" w:hAnsi="黑体" w:eastAsia="黑体"/>
          <w:sz w:val="32"/>
          <w:szCs w:val="32"/>
          <w:u w:val="none"/>
        </w:rPr>
        <w:t>、名词解释</w:t>
      </w:r>
    </w:p>
    <w:p>
      <w:pPr>
        <w:autoSpaceDE w:val="0"/>
        <w:spacing w:line="600" w:lineRule="exact"/>
        <w:ind w:firstLine="640" w:firstLineChars="200"/>
        <w:rPr>
          <w:rFonts w:eastAsia="仿宋_GB2312"/>
          <w:sz w:val="32"/>
          <w:szCs w:val="32"/>
          <w:u w:val="none"/>
        </w:rPr>
      </w:pPr>
      <w:r>
        <w:rPr>
          <w:rFonts w:eastAsia="仿宋_GB2312"/>
          <w:sz w:val="32"/>
          <w:szCs w:val="32"/>
          <w:u w:val="none"/>
        </w:rPr>
        <w:t>1</w:t>
      </w:r>
      <w:r>
        <w:rPr>
          <w:rFonts w:ascii="仿宋_GB2312" w:hAnsi="仿宋_GB2312" w:eastAsia="仿宋_GB2312"/>
          <w:sz w:val="32"/>
          <w:szCs w:val="32"/>
          <w:u w:val="none"/>
        </w:rPr>
        <w:t>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</w:t>
      </w:r>
      <w:r>
        <w:rPr>
          <w:rFonts w:hint="eastAsia" w:ascii="宋体" w:hAnsi="宋体" w:cs="宋体"/>
          <w:sz w:val="32"/>
          <w:szCs w:val="32"/>
          <w:u w:val="none"/>
        </w:rPr>
        <w:t>。</w:t>
      </w:r>
    </w:p>
    <w:p>
      <w:pPr>
        <w:autoSpaceDE w:val="0"/>
        <w:spacing w:line="600" w:lineRule="exact"/>
        <w:ind w:firstLine="640" w:firstLineChars="200"/>
        <w:rPr>
          <w:rFonts w:eastAsia="仿宋_GB2312"/>
          <w:sz w:val="32"/>
          <w:szCs w:val="32"/>
          <w:u w:val="none"/>
        </w:rPr>
      </w:pPr>
      <w:r>
        <w:rPr>
          <w:rFonts w:eastAsia="仿宋_GB2312"/>
          <w:sz w:val="32"/>
          <w:szCs w:val="32"/>
          <w:u w:val="none"/>
        </w:rPr>
        <w:t>2</w:t>
      </w:r>
      <w:r>
        <w:rPr>
          <w:rFonts w:ascii="仿宋_GB2312" w:hAnsi="仿宋_GB2312" w:eastAsia="仿宋_GB2312"/>
          <w:sz w:val="32"/>
          <w:szCs w:val="32"/>
          <w:u w:val="none"/>
        </w:rPr>
        <w:t>、</w:t>
      </w:r>
      <w:r>
        <w:rPr>
          <w:rFonts w:eastAsia="仿宋_GB2312"/>
          <w:sz w:val="32"/>
          <w:szCs w:val="32"/>
          <w:u w:val="none"/>
        </w:rPr>
        <w:t>“</w:t>
      </w:r>
      <w:r>
        <w:rPr>
          <w:rFonts w:ascii="仿宋_GB2312" w:hAnsi="仿宋_GB2312" w:eastAsia="仿宋_GB2312"/>
          <w:sz w:val="32"/>
          <w:szCs w:val="32"/>
          <w:u w:val="none"/>
        </w:rPr>
        <w:t>三公</w:t>
      </w:r>
      <w:r>
        <w:rPr>
          <w:rFonts w:eastAsia="仿宋_GB2312"/>
          <w:sz w:val="32"/>
          <w:szCs w:val="32"/>
          <w:u w:val="none"/>
        </w:rPr>
        <w:t>”</w:t>
      </w:r>
      <w:r>
        <w:rPr>
          <w:rFonts w:ascii="仿宋_GB2312" w:hAnsi="仿宋_GB2312" w:eastAsia="仿宋_GB2312"/>
          <w:sz w:val="32"/>
          <w:szCs w:val="32"/>
          <w:u w:val="none"/>
        </w:rPr>
        <w:t>经费：纳入省（市</w:t>
      </w:r>
      <w:r>
        <w:rPr>
          <w:rFonts w:eastAsia="仿宋_GB2312"/>
          <w:sz w:val="32"/>
          <w:szCs w:val="32"/>
          <w:u w:val="none"/>
        </w:rPr>
        <w:t>/</w:t>
      </w:r>
      <w:r>
        <w:rPr>
          <w:rFonts w:ascii="仿宋_GB2312" w:hAnsi="仿宋_GB2312" w:eastAsia="仿宋_GB2312"/>
          <w:sz w:val="32"/>
          <w:szCs w:val="32"/>
          <w:u w:val="none"/>
        </w:rPr>
        <w:t>县）财政预算管理的</w:t>
      </w:r>
      <w:r>
        <w:rPr>
          <w:rFonts w:eastAsia="仿宋_GB2312"/>
          <w:sz w:val="32"/>
          <w:szCs w:val="32"/>
          <w:u w:val="none"/>
        </w:rPr>
        <w:t>“</w:t>
      </w:r>
      <w:r>
        <w:rPr>
          <w:rFonts w:ascii="仿宋_GB2312" w:hAnsi="仿宋_GB2312" w:eastAsia="仿宋_GB2312"/>
          <w:sz w:val="32"/>
          <w:szCs w:val="32"/>
          <w:u w:val="none"/>
        </w:rPr>
        <w:t>三公</w:t>
      </w:r>
      <w:r>
        <w:rPr>
          <w:rFonts w:eastAsia="仿宋_GB2312"/>
          <w:sz w:val="32"/>
          <w:szCs w:val="32"/>
          <w:u w:val="none"/>
        </w:rPr>
        <w:t>“</w:t>
      </w:r>
      <w:r>
        <w:rPr>
          <w:rFonts w:ascii="仿宋_GB2312" w:hAnsi="仿宋_GB2312" w:eastAsia="仿宋_GB2312"/>
          <w:sz w:val="32"/>
          <w:szCs w:val="32"/>
          <w:u w:val="none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</w:t>
      </w:r>
      <w:r>
        <w:rPr>
          <w:rFonts w:hint="eastAsia" w:ascii="宋体" w:hAnsi="宋体" w:cs="宋体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u w:val="none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u w:val="none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u w:val="none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u w:val="none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u w:val="none"/>
        </w:rPr>
      </w:pPr>
    </w:p>
    <w:p>
      <w:pPr>
        <w:pStyle w:val="2"/>
        <w:rPr>
          <w:rFonts w:eastAsia="仿宋_GB2312"/>
          <w:sz w:val="32"/>
          <w:szCs w:val="32"/>
          <w:u w:val="none"/>
        </w:rPr>
      </w:pPr>
    </w:p>
    <w:p>
      <w:pPr>
        <w:pStyle w:val="2"/>
        <w:rPr>
          <w:rFonts w:eastAsia="仿宋_GB2312"/>
          <w:sz w:val="32"/>
          <w:szCs w:val="32"/>
          <w:u w:val="none"/>
        </w:rPr>
      </w:pPr>
    </w:p>
    <w:p>
      <w:pPr>
        <w:pStyle w:val="2"/>
        <w:rPr>
          <w:rFonts w:eastAsia="仿宋_GB2312"/>
          <w:sz w:val="32"/>
          <w:szCs w:val="32"/>
          <w:u w:val="none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u w:val="none"/>
        </w:rPr>
      </w:pPr>
      <w:r>
        <w:rPr>
          <w:rFonts w:eastAsia="仿宋_GB2312"/>
          <w:sz w:val="32"/>
          <w:szCs w:val="32"/>
          <w:u w:val="none"/>
        </w:rPr>
        <w:t xml:space="preserve"> 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  <w:u w:val="none"/>
        </w:rPr>
      </w:pPr>
      <w:r>
        <w:rPr>
          <w:rFonts w:eastAsia="黑体"/>
          <w:sz w:val="32"/>
          <w:szCs w:val="32"/>
          <w:u w:val="none"/>
        </w:rPr>
        <w:t xml:space="preserve"> 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  <w:u w:val="none"/>
        </w:rPr>
      </w:pPr>
      <w:r>
        <w:rPr>
          <w:rFonts w:eastAsia="黑体"/>
          <w:sz w:val="32"/>
          <w:szCs w:val="32"/>
          <w:u w:val="none"/>
        </w:rPr>
        <w:t xml:space="preserve"> </w:t>
      </w:r>
    </w:p>
    <w:p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0D12"/>
    <w:rsid w:val="00051B78"/>
    <w:rsid w:val="000C1492"/>
    <w:rsid w:val="0011441C"/>
    <w:rsid w:val="0022163E"/>
    <w:rsid w:val="004E2781"/>
    <w:rsid w:val="005C2834"/>
    <w:rsid w:val="0072291F"/>
    <w:rsid w:val="007417F2"/>
    <w:rsid w:val="00786B96"/>
    <w:rsid w:val="0082197A"/>
    <w:rsid w:val="00835FF0"/>
    <w:rsid w:val="008A07DB"/>
    <w:rsid w:val="008C38B0"/>
    <w:rsid w:val="009B7FB1"/>
    <w:rsid w:val="00A10D12"/>
    <w:rsid w:val="00A81A63"/>
    <w:rsid w:val="00AF1639"/>
    <w:rsid w:val="00B542F7"/>
    <w:rsid w:val="00C47D92"/>
    <w:rsid w:val="00C517FC"/>
    <w:rsid w:val="00C75095"/>
    <w:rsid w:val="00CD7973"/>
    <w:rsid w:val="00CF566D"/>
    <w:rsid w:val="00E2692E"/>
    <w:rsid w:val="00E70269"/>
    <w:rsid w:val="00E7585F"/>
    <w:rsid w:val="00EC7B96"/>
    <w:rsid w:val="00F72708"/>
    <w:rsid w:val="00F914B6"/>
    <w:rsid w:val="30F81CD6"/>
    <w:rsid w:val="5DA732D8"/>
    <w:rsid w:val="72E4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DBBD44-78FE-4E95-8F97-126D415631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2278</Words>
  <Characters>2440</Characters>
  <Lines>15</Lines>
  <Paragraphs>4</Paragraphs>
  <TotalTime>3</TotalTime>
  <ScaleCrop>false</ScaleCrop>
  <LinksUpToDate>false</LinksUpToDate>
  <CharactersWithSpaces>2491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2024-02-29T01:58:00Z</dcterms:created>
  <dc:creator>Administrator</dc:creator>
  <cp:lastModifiedBy>lenovo</cp:lastModifiedBy>
  <dcterms:modified xsi:type="dcterms:W3CDTF">2024-03-07T03:21:06Z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