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Times New Roman" w:hAnsi="Times New Roman" w:eastAsia="方正小标宋_GBK" w:cs="Times New Roman"/>
          <w:bCs/>
          <w:kern w:val="0"/>
          <w:sz w:val="44"/>
          <w:szCs w:val="44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val="en-US" w:eastAsia="zh-CN"/>
        </w:rPr>
        <w:t>4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年</w:t>
      </w:r>
      <w:r>
        <w:rPr>
          <w:rFonts w:hint="eastAsia" w:eastAsia="方正小标宋_GBK"/>
          <w:bCs/>
          <w:kern w:val="0"/>
          <w:sz w:val="44"/>
          <w:szCs w:val="44"/>
          <w:lang w:eastAsia="zh-CN"/>
        </w:rPr>
        <w:t>湖南省农业技术推广总站</w:t>
      </w:r>
      <w:r>
        <w:rPr>
          <w:rFonts w:eastAsia="方正小标宋_GBK"/>
          <w:bCs/>
          <w:kern w:val="0"/>
          <w:sz w:val="44"/>
          <w:szCs w:val="44"/>
        </w:rPr>
        <w:t>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hint="eastAsia" w:eastAsia="方正小标宋_GBK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eastAsia="方正小标宋_GBK"/>
          <w:b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eastAsia="仿宋_GB2312"/>
          <w:b/>
          <w:bCs/>
          <w:kern w:val="0"/>
          <w:sz w:val="32"/>
          <w:szCs w:val="32"/>
          <w:lang w:eastAsia="zh-CN"/>
        </w:rPr>
        <w:t>年</w:t>
      </w:r>
      <w:r>
        <w:rPr>
          <w:rFonts w:eastAsia="仿宋_GB2312"/>
          <w:b/>
          <w:bCs/>
          <w:kern w:val="0"/>
          <w:sz w:val="32"/>
          <w:szCs w:val="32"/>
        </w:rPr>
        <w:t>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第二部分 </w:t>
      </w:r>
      <w:r>
        <w:rPr>
          <w:rFonts w:hint="eastAsia" w:eastAsia="仿宋_GB2312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b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eastAsia="仿宋_GB2312"/>
          <w:b/>
          <w:bCs/>
          <w:kern w:val="0"/>
          <w:sz w:val="32"/>
          <w:szCs w:val="32"/>
          <w:lang w:eastAsia="zh-CN"/>
        </w:rPr>
        <w:t>年</w:t>
      </w:r>
      <w:r>
        <w:rPr>
          <w:rFonts w:eastAsia="仿宋_GB2312"/>
          <w:b/>
          <w:bCs/>
          <w:kern w:val="0"/>
          <w:sz w:val="32"/>
          <w:szCs w:val="32"/>
        </w:rPr>
        <w:t>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</w:t>
      </w:r>
      <w:r>
        <w:rPr>
          <w:rFonts w:hint="eastAsia" w:eastAsia="仿宋_GB2312"/>
          <w:sz w:val="32"/>
          <w:szCs w:val="32"/>
          <w:lang w:eastAsia="zh-CN"/>
        </w:rPr>
        <w:t>资金</w:t>
      </w:r>
      <w:r>
        <w:rPr>
          <w:rFonts w:eastAsia="仿宋_GB2312"/>
          <w:sz w:val="32"/>
          <w:szCs w:val="32"/>
        </w:rPr>
        <w:t>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72" w:after="100" w:afterAutospacing="1" w:line="400" w:lineRule="exact"/>
        <w:jc w:val="center"/>
        <w:textAlignment w:val="auto"/>
        <w:outlineLvl w:val="1"/>
        <w:rPr>
          <w:rFonts w:hint="eastAsia" w:ascii="微软雅黑" w:hAnsi="微软雅黑" w:eastAsia="微软雅黑" w:cs="宋体"/>
          <w:b/>
          <w:bCs/>
          <w:color w:val="333333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72" w:after="100" w:afterAutospacing="1" w:line="400" w:lineRule="exact"/>
        <w:jc w:val="center"/>
        <w:textAlignment w:val="auto"/>
        <w:outlineLvl w:val="1"/>
        <w:rPr>
          <w:rFonts w:ascii="微软雅黑" w:hAnsi="微软雅黑" w:eastAsia="微软雅黑" w:cs="宋体"/>
          <w:b/>
          <w:bCs/>
          <w:color w:val="333333"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</w:t>
      </w:r>
      <w:r>
        <w:rPr>
          <w:rFonts w:ascii="Times New Roman" w:hAnsi="Times New Roman" w:eastAsia="方正小标宋_GBK" w:cs="Times New Roman"/>
          <w:bCs/>
          <w:kern w:val="0"/>
          <w:sz w:val="36"/>
          <w:szCs w:val="36"/>
        </w:rPr>
        <w:t xml:space="preserve">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val="en-US" w:eastAsia="zh-CN"/>
        </w:rPr>
        <w:t>4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年</w:t>
      </w:r>
      <w:r>
        <w:rPr>
          <w:rFonts w:eastAsia="方正小标宋_GBK"/>
          <w:bCs/>
          <w:kern w:val="0"/>
          <w:sz w:val="36"/>
          <w:szCs w:val="36"/>
        </w:rPr>
        <w:t>单位预算说明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480"/>
        <w:jc w:val="both"/>
        <w:textAlignment w:val="auto"/>
        <w:rPr>
          <w:rFonts w:ascii="微软雅黑" w:hAnsi="微软雅黑" w:eastAsia="微软雅黑"/>
          <w:color w:val="333333"/>
        </w:rPr>
      </w:pPr>
    </w:p>
    <w:p>
      <w:pPr>
        <w:pStyle w:val="7"/>
        <w:shd w:val="clear" w:color="auto" w:fill="FFFFFF"/>
        <w:spacing w:before="0" w:beforeAutospacing="0" w:after="0" w:afterAutospacing="0" w:line="480" w:lineRule="auto"/>
        <w:ind w:firstLine="480"/>
        <w:jc w:val="both"/>
        <w:rPr>
          <w:rFonts w:ascii="黑体" w:hAnsi="黑体" w:eastAsia="黑体"/>
          <w:color w:val="333333"/>
          <w:sz w:val="32"/>
          <w:szCs w:val="32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一、</w:t>
      </w:r>
      <w:r>
        <w:rPr>
          <w:rFonts w:hint="eastAsia" w:ascii="黑体" w:hAnsi="黑体" w:eastAsia="黑体"/>
          <w:color w:val="333333"/>
          <w:sz w:val="32"/>
          <w:szCs w:val="32"/>
          <w:lang w:eastAsia="zh-CN"/>
        </w:rPr>
        <w:t>单位</w:t>
      </w:r>
      <w:r>
        <w:rPr>
          <w:rFonts w:hint="eastAsia" w:ascii="黑体" w:hAnsi="黑体" w:eastAsia="黑体"/>
          <w:color w:val="333333"/>
          <w:sz w:val="32"/>
          <w:szCs w:val="32"/>
        </w:rPr>
        <w:t>基本概况</w:t>
      </w:r>
    </w:p>
    <w:p>
      <w:pPr>
        <w:pStyle w:val="7"/>
        <w:shd w:val="clear" w:color="auto" w:fill="FFFFFF"/>
        <w:spacing w:before="0" w:beforeAutospacing="0" w:after="0" w:afterAutospacing="0"/>
        <w:ind w:firstLine="643" w:firstLineChars="200"/>
        <w:jc w:val="both"/>
        <w:rPr>
          <w:rFonts w:hint="eastAsia"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333333"/>
          <w:sz w:val="32"/>
          <w:szCs w:val="32"/>
          <w:lang w:eastAsia="zh-CN"/>
        </w:rPr>
        <w:t>（一）职能职责：</w:t>
      </w:r>
      <w:r>
        <w:rPr>
          <w:rFonts w:hint="eastAsia" w:ascii="仿宋_GB2312" w:hAnsi="微软雅黑" w:eastAsia="仿宋_GB2312"/>
          <w:color w:val="333333"/>
          <w:sz w:val="32"/>
          <w:szCs w:val="32"/>
          <w:lang w:eastAsia="zh-CN"/>
        </w:rPr>
        <w:t>本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站系省农业农村厅直属的具有行政管理职能的正处级参照公务员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法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管理事业单位，负责全省</w:t>
      </w:r>
      <w:r>
        <w:rPr>
          <w:rFonts w:hint="eastAsia" w:ascii="仿宋_GB2312" w:hAnsi="微软雅黑" w:eastAsia="仿宋_GB2312"/>
          <w:color w:val="333333"/>
          <w:sz w:val="32"/>
          <w:szCs w:val="32"/>
          <w:lang w:eastAsia="zh-CN"/>
        </w:rPr>
        <w:t>推广种植业技术，促进农业发展，负责种植业技术试验示范，种植业技术推广体系管理，种植业技术培训，种植业技术服务等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。</w:t>
      </w:r>
    </w:p>
    <w:p>
      <w:pPr>
        <w:pStyle w:val="7"/>
        <w:shd w:val="clear" w:color="auto" w:fill="FFFFFF"/>
        <w:spacing w:before="0" w:beforeAutospacing="0" w:after="0" w:afterAutospacing="0"/>
        <w:ind w:firstLine="643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（二）机构设置</w:t>
      </w:r>
      <w:r>
        <w:rPr>
          <w:rFonts w:hint="eastAsia" w:eastAsia="楷体_GB2312"/>
          <w:b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本站</w:t>
      </w:r>
      <w:r>
        <w:rPr>
          <w:rFonts w:hint="eastAsia" w:ascii="仿宋_GB2312" w:eastAsia="仿宋_GB2312"/>
          <w:sz w:val="32"/>
          <w:szCs w:val="32"/>
        </w:rPr>
        <w:t>内设综合科、</w:t>
      </w:r>
      <w:r>
        <w:rPr>
          <w:rFonts w:hint="eastAsia" w:ascii="仿宋_GB2312" w:eastAsia="仿宋_GB2312"/>
          <w:color w:val="auto"/>
          <w:sz w:val="32"/>
          <w:szCs w:val="32"/>
        </w:rPr>
        <w:t>体系建设与管理科、</w:t>
      </w:r>
      <w:r>
        <w:rPr>
          <w:rFonts w:hint="eastAsia" w:ascii="仿宋_GB2312" w:eastAsia="仿宋_GB2312"/>
          <w:sz w:val="32"/>
          <w:szCs w:val="32"/>
        </w:rPr>
        <w:t>项目管理科、新技术管理科、农业声像与宣传科和计划财务科等6个科室。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二、预算单位构成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湖南省农业技术推广总站无下属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预算单位。</w:t>
      </w:r>
    </w:p>
    <w:p>
      <w:pPr>
        <w:pStyle w:val="7"/>
        <w:shd w:val="clear" w:color="auto" w:fill="FFFFFF"/>
        <w:spacing w:before="0" w:beforeAutospacing="0" w:after="0" w:afterAutospacing="0" w:line="480" w:lineRule="auto"/>
        <w:ind w:firstLine="640" w:firstLineChars="200"/>
        <w:jc w:val="both"/>
        <w:rPr>
          <w:rFonts w:ascii="黑体" w:hAnsi="黑体" w:eastAsia="黑体"/>
          <w:color w:val="333333"/>
          <w:sz w:val="32"/>
          <w:szCs w:val="32"/>
        </w:rPr>
      </w:pPr>
      <w:r>
        <w:rPr>
          <w:rFonts w:hint="eastAsia" w:ascii="黑体" w:hAnsi="黑体" w:eastAsia="黑体"/>
          <w:color w:val="333333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color w:val="333333"/>
          <w:sz w:val="32"/>
          <w:szCs w:val="32"/>
        </w:rPr>
        <w:t>、单位收支总体情况</w:t>
      </w:r>
    </w:p>
    <w:p>
      <w:pPr>
        <w:pStyle w:val="12"/>
        <w:ind w:firstLine="643" w:firstLineChars="200"/>
        <w:rPr>
          <w:rFonts w:hint="eastAsia" w:ascii="仿宋_GB2312" w:hAnsi="仿宋_GB2312" w:eastAsia="仿宋_GB2312" w:cs="仿宋_GB2312"/>
          <w:color w:val="00B0F0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本单位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收入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785.02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，其中一般公共预算拨款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747.6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政府性基金预算拨款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万元，国有资本经营预算拨款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万元，纳入专户管理的非税收入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上年结转结余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37.42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。收入较去年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189.86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万元，主要是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上年结转结余减少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。</w:t>
      </w:r>
    </w:p>
    <w:p>
      <w:pPr>
        <w:pStyle w:val="12"/>
        <w:ind w:firstLine="643" w:firstLineChars="200"/>
        <w:rPr>
          <w:rFonts w:ascii="仿宋_GB2312" w:hAnsi="微软雅黑" w:cs="宋体"/>
          <w:color w:val="333333"/>
          <w:kern w:val="0"/>
          <w:sz w:val="32"/>
          <w:szCs w:val="32"/>
        </w:rPr>
      </w:pPr>
      <w:r>
        <w:rPr>
          <w:rFonts w:ascii="Calibri" w:hAnsi="Calibri" w:eastAsia="楷体_GB2312"/>
          <w:b/>
          <w:sz w:val="32"/>
          <w:szCs w:val="32"/>
        </w:rPr>
        <w:t>（二）支出预算：</w:t>
      </w:r>
      <w:r>
        <w:rPr>
          <w:rFonts w:hint="eastAsia" w:ascii="仿宋_GB2312" w:hAnsi="微软雅黑" w:eastAsia="楷体_GB2312" w:cs="宋体"/>
          <w:color w:val="333333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微软雅黑" w:eastAsia="楷体_GB2312" w:cs="宋体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楷体_GB2312" w:cs="宋体"/>
          <w:color w:val="333333"/>
          <w:kern w:val="0"/>
          <w:sz w:val="32"/>
          <w:szCs w:val="32"/>
          <w:lang w:eastAsia="zh-CN"/>
        </w:rPr>
        <w:t>年</w:t>
      </w:r>
      <w:r>
        <w:rPr>
          <w:rFonts w:ascii="仿宋_GB2312" w:hAnsi="微软雅黑" w:cs="宋体"/>
          <w:color w:val="333333"/>
          <w:kern w:val="0"/>
          <w:sz w:val="32"/>
          <w:szCs w:val="32"/>
        </w:rPr>
        <w:t>本单位支出预算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val="en-US" w:eastAsia="zh-CN"/>
        </w:rPr>
        <w:t>785.02</w:t>
      </w:r>
      <w:r>
        <w:rPr>
          <w:rFonts w:ascii="仿宋_GB2312" w:hAnsi="微软雅黑" w:cs="宋体"/>
          <w:color w:val="333333"/>
          <w:kern w:val="0"/>
          <w:sz w:val="32"/>
          <w:szCs w:val="32"/>
        </w:rPr>
        <w:t>万元，其中，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eastAsia="zh-CN"/>
        </w:rPr>
        <w:t>教育支出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val="en-US" w:eastAsia="zh-CN"/>
        </w:rPr>
        <w:t>9万元，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</w:rPr>
        <w:t>社会保障和就业支出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val="en-US" w:eastAsia="zh-CN"/>
        </w:rPr>
        <w:t>90.5</w:t>
      </w:r>
      <w:r>
        <w:rPr>
          <w:rFonts w:ascii="仿宋_GB2312" w:hAnsi="微软雅黑" w:cs="宋体"/>
          <w:color w:val="333333"/>
          <w:kern w:val="0"/>
          <w:sz w:val="32"/>
          <w:szCs w:val="32"/>
        </w:rPr>
        <w:t>万元，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</w:rPr>
        <w:t>农林水支出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val="en-US" w:eastAsia="zh-CN"/>
        </w:rPr>
        <w:t>639.52</w:t>
      </w:r>
      <w:r>
        <w:rPr>
          <w:rFonts w:ascii="仿宋_GB2312" w:hAnsi="微软雅黑" w:cs="宋体"/>
          <w:color w:val="333333"/>
          <w:kern w:val="0"/>
          <w:sz w:val="32"/>
          <w:szCs w:val="32"/>
        </w:rPr>
        <w:t>万元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eastAsia="zh-CN"/>
        </w:rPr>
        <w:t>，住房保障支出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val="en-US" w:eastAsia="zh-CN"/>
        </w:rPr>
        <w:t>46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eastAsia="zh-CN"/>
        </w:rPr>
        <w:t>万元</w:t>
      </w:r>
      <w:r>
        <w:rPr>
          <w:rFonts w:ascii="仿宋_GB2312" w:hAnsi="微软雅黑" w:cs="宋体"/>
          <w:color w:val="333333"/>
          <w:kern w:val="0"/>
          <w:sz w:val="32"/>
          <w:szCs w:val="32"/>
        </w:rPr>
        <w:t>。支出较去年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val="en-US" w:eastAsia="zh-CN"/>
        </w:rPr>
        <w:t>189.86</w:t>
      </w:r>
      <w:r>
        <w:rPr>
          <w:rFonts w:ascii="仿宋_GB2312" w:hAnsi="微软雅黑" w:cs="宋体"/>
          <w:color w:val="333333"/>
          <w:kern w:val="0"/>
          <w:sz w:val="32"/>
          <w:szCs w:val="32"/>
        </w:rPr>
        <w:t>万元，主要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</w:rPr>
        <w:t>是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eastAsia="zh-CN"/>
        </w:rPr>
        <w:t>上年结转结余减少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val="en-US" w:eastAsia="zh-CN"/>
        </w:rPr>
        <w:t>。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  <w:lang w:eastAsia="zh-CN"/>
        </w:rPr>
        <w:t>四</w:t>
      </w:r>
      <w:r>
        <w:rPr>
          <w:rFonts w:ascii="Calibri" w:hAnsi="Calibri" w:eastAsia="黑体" w:cs="Times New Roman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年本单位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一般公共预算拨款支出预算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785.02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其中，教育支出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9万元，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占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1.15%；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社会保障和就业支出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90.5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占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11.53%；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农林水支出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639.52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，占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81.46%；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住房保障支出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万元，占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5.86%。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具体安排情况如下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：</w:t>
      </w:r>
    </w:p>
    <w:p>
      <w:pPr>
        <w:widowControl/>
        <w:numPr>
          <w:ilvl w:val="0"/>
          <w:numId w:val="1"/>
        </w:numPr>
        <w:spacing w:line="600" w:lineRule="exact"/>
        <w:ind w:firstLine="660"/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</w:pPr>
      <w:r>
        <w:rPr>
          <w:rFonts w:ascii="Calibri" w:hAnsi="Calibri" w:eastAsia="楷体_GB2312" w:cs="Times New Roman"/>
          <w:b/>
          <w:sz w:val="32"/>
          <w:szCs w:val="32"/>
        </w:rPr>
        <w:t>基本支出：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年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本单位基本支出预算数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585.6</w:t>
      </w:r>
    </w:p>
    <w:p>
      <w:pPr>
        <w:widowControl/>
        <w:numPr>
          <w:ilvl w:val="0"/>
          <w:numId w:val="0"/>
        </w:numPr>
        <w:spacing w:line="600" w:lineRule="exact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pStyle w:val="12"/>
        <w:ind w:firstLine="643" w:firstLineChars="200"/>
        <w:rPr>
          <w:rFonts w:hint="default" w:ascii="仿宋_GB2312" w:hAnsi="微软雅黑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（二）项目支出：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202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年本单位项目支出预算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val="en-US" w:eastAsia="zh-CN"/>
        </w:rPr>
        <w:t>199.42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万元，主要是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单位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为完成特定行政工作任务或事业发展目标而发生的支出，包括有关事业发展专项、专项业务费等，其中：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eastAsia="zh-CN"/>
        </w:rPr>
        <w:t>其他事业发展资金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万元，主要用于维持农业成果展示中心基本运转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eastAsia="zh-CN"/>
        </w:rPr>
        <w:t>支出；省级专项资金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val="en-US" w:eastAsia="zh-CN"/>
        </w:rPr>
        <w:t>189.42万元，主要用于农业技术推广体系的建设和管理，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农业技术推广队伍的管理和培训</w:t>
      </w:r>
      <w:r>
        <w:rPr>
          <w:rFonts w:hint="eastAsia" w:ascii="仿宋_GB2312" w:hAnsi="微软雅黑" w:cs="宋体"/>
          <w:color w:val="333333"/>
          <w:kern w:val="0"/>
          <w:sz w:val="32"/>
          <w:szCs w:val="32"/>
          <w:lang w:val="en-US" w:eastAsia="zh-CN"/>
        </w:rPr>
        <w:t>,拓展“互联网+农技推广”平台与队伍建设，组织开展农业新技术的引进、试验、示范和推广方面。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  <w:lang w:eastAsia="zh-CN"/>
        </w:rPr>
        <w:t>五</w:t>
      </w:r>
      <w:r>
        <w:rPr>
          <w:rFonts w:ascii="Calibri" w:hAnsi="Calibri" w:eastAsia="黑体" w:cs="Times New Roman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本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单位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无政府性基金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预算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支出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  <w:lang w:eastAsia="zh-CN"/>
        </w:rPr>
        <w:t>六</w:t>
      </w:r>
      <w:r>
        <w:rPr>
          <w:rFonts w:ascii="Calibri" w:hAnsi="Calibri" w:eastAsia="黑体" w:cs="Times New Roman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（一）运行经费：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年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本单位运行经费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83.00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万元，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跟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上年预算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持平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hint="eastAsia" w:ascii="Calibri" w:hAnsi="Calibri" w:eastAsia="仿宋_GB2312" w:cs="Times New Roman"/>
          <w:sz w:val="32"/>
          <w:szCs w:val="32"/>
          <w:lang w:val="en-US" w:eastAsia="zh-CN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（二）</w:t>
      </w:r>
      <w:r>
        <w:rPr>
          <w:rFonts w:hint="eastAsia" w:ascii="楷体" w:hAnsi="楷体" w:eastAsia="楷体" w:cs="楷体"/>
          <w:b/>
          <w:bCs/>
          <w:color w:val="333333"/>
          <w:kern w:val="0"/>
          <w:sz w:val="32"/>
          <w:szCs w:val="32"/>
          <w:lang w:eastAsia="zh-CN"/>
        </w:rPr>
        <w:t>“</w:t>
      </w:r>
      <w:r>
        <w:rPr>
          <w:rFonts w:hint="eastAsia" w:ascii="楷体" w:hAnsi="楷体" w:eastAsia="楷体" w:cs="楷体"/>
          <w:b/>
          <w:bCs/>
          <w:color w:val="333333"/>
          <w:kern w:val="0"/>
          <w:sz w:val="32"/>
          <w:szCs w:val="32"/>
        </w:rPr>
        <w:t>三公</w:t>
      </w:r>
      <w:r>
        <w:rPr>
          <w:rFonts w:hint="eastAsia" w:ascii="楷体" w:hAnsi="楷体" w:eastAsia="楷体" w:cs="楷体"/>
          <w:b/>
          <w:bCs/>
          <w:color w:val="333333"/>
          <w:kern w:val="0"/>
          <w:sz w:val="32"/>
          <w:szCs w:val="32"/>
          <w:lang w:eastAsia="zh-CN"/>
        </w:rPr>
        <w:t>”</w:t>
      </w:r>
      <w:r>
        <w:rPr>
          <w:rFonts w:ascii="Calibri" w:hAnsi="Calibri" w:eastAsia="楷体_GB2312" w:cs="Times New Roman"/>
          <w:b/>
          <w:bCs/>
          <w:sz w:val="32"/>
          <w:szCs w:val="32"/>
        </w:rPr>
        <w:t>经费预算</w:t>
      </w:r>
      <w:r>
        <w:rPr>
          <w:rFonts w:ascii="Calibri" w:hAnsi="Calibri" w:eastAsia="楷体_GB2312" w:cs="Times New Roman"/>
          <w:b/>
          <w:sz w:val="32"/>
          <w:szCs w:val="32"/>
        </w:rPr>
        <w:t>：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年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本单位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“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三公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”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经费预算数为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11.00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万元，其中，公务接待费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0.50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万元，公务用车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购置及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运行费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3.5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万元，因公出国（境）费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7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万元。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年“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三公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”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经费预算较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上年持平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。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 xml:space="preserve"> </w:t>
      </w:r>
    </w:p>
    <w:p>
      <w:pPr>
        <w:widowControl/>
        <w:spacing w:line="600" w:lineRule="exact"/>
        <w:ind w:firstLine="660"/>
        <w:rPr>
          <w:rFonts w:hint="default" w:ascii="仿宋_GB2312" w:hAnsi="微软雅黑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（三）一般性支出情况：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年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本单位会议费预算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13.8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万元，</w:t>
      </w:r>
      <w:r>
        <w:rPr>
          <w:rFonts w:ascii="仿宋_GB2312" w:hAnsi="微软雅黑" w:eastAsia="仿宋_GB2312" w:cs="宋体"/>
          <w:color w:val="auto"/>
          <w:kern w:val="0"/>
          <w:sz w:val="32"/>
          <w:szCs w:val="32"/>
        </w:rPr>
        <w:t>拟召开</w:t>
      </w: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eastAsia="zh-CN"/>
        </w:rPr>
        <w:t>个会议，人数</w:t>
      </w: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val="en-US" w:eastAsia="zh-CN"/>
        </w:rPr>
        <w:t>375人,</w:t>
      </w:r>
      <w:r>
        <w:rPr>
          <w:rFonts w:ascii="仿宋_GB2312" w:hAnsi="微软雅黑" w:eastAsia="仿宋_GB2312" w:cs="宋体"/>
          <w:color w:val="auto"/>
          <w:kern w:val="0"/>
          <w:sz w:val="32"/>
          <w:szCs w:val="32"/>
        </w:rPr>
        <w:t>内容</w:t>
      </w: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eastAsia="zh-CN"/>
        </w:rPr>
        <w:t>为全省补助项目工作会、农技特岗生集中招录工作会、2024届基层农技特岗生培养效果评估会、补助项目实施情况考评会</w:t>
      </w:r>
      <w:r>
        <w:rPr>
          <w:rFonts w:hint="default" w:ascii="仿宋_GB2312" w:hAnsi="微软雅黑" w:eastAsia="仿宋_GB2312" w:cs="宋体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培</w:t>
      </w:r>
      <w:r>
        <w:rPr>
          <w:rFonts w:ascii="仿宋_GB2312" w:hAnsi="微软雅黑" w:eastAsia="仿宋_GB2312" w:cs="宋体"/>
          <w:color w:val="auto"/>
          <w:kern w:val="0"/>
          <w:sz w:val="32"/>
          <w:szCs w:val="32"/>
        </w:rPr>
        <w:t>训费预算</w:t>
      </w: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val="en-US" w:eastAsia="zh-CN"/>
        </w:rPr>
        <w:t>16.6</w:t>
      </w:r>
      <w:r>
        <w:rPr>
          <w:rFonts w:ascii="仿宋_GB2312" w:hAnsi="微软雅黑" w:eastAsia="仿宋_GB2312" w:cs="宋体"/>
          <w:color w:val="auto"/>
          <w:kern w:val="0"/>
          <w:sz w:val="32"/>
          <w:szCs w:val="32"/>
        </w:rPr>
        <w:t>万元</w:t>
      </w: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eastAsia="zh-CN"/>
        </w:rPr>
        <w:t>，拟开展</w:t>
      </w: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val="en-US" w:eastAsia="zh-CN"/>
        </w:rPr>
        <w:t>3次培训，人数245人，内容为农技微视频制作技能提升培训、粮油作物绿色高效栽培技术培训、补助项目管理人员（种植业）培训</w:t>
      </w:r>
      <w:r>
        <w:rPr>
          <w:rFonts w:eastAsia="仿宋_GB2312"/>
          <w:kern w:val="0"/>
          <w:sz w:val="32"/>
          <w:szCs w:val="32"/>
        </w:rPr>
        <w:t>；</w:t>
      </w:r>
      <w:r>
        <w:rPr>
          <w:rFonts w:hint="eastAsia" w:eastAsia="仿宋_GB2312"/>
          <w:kern w:val="0"/>
          <w:sz w:val="32"/>
          <w:szCs w:val="32"/>
        </w:rPr>
        <w:t>未计划举办晚会、</w:t>
      </w:r>
      <w:r>
        <w:rPr>
          <w:rFonts w:eastAsia="仿宋_GB2312"/>
          <w:kern w:val="0"/>
          <w:sz w:val="32"/>
          <w:szCs w:val="32"/>
        </w:rPr>
        <w:t>论坛、赛事</w:t>
      </w:r>
      <w:r>
        <w:rPr>
          <w:rFonts w:hint="eastAsia" w:eastAsia="仿宋_GB2312"/>
          <w:kern w:val="0"/>
          <w:sz w:val="32"/>
          <w:szCs w:val="32"/>
        </w:rPr>
        <w:t>活动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（四）政府采购情况：</w:t>
      </w:r>
      <w:r>
        <w:rPr>
          <w:rFonts w:hint="eastAsia" w:ascii="Calibri" w:hAnsi="Calibri" w:eastAsia="楷体_GB2312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eastAsia="仿宋_GB2312"/>
          <w:sz w:val="32"/>
          <w:szCs w:val="32"/>
        </w:rPr>
        <w:t>本部门政府采购预算总额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万元，其中，货物类采购预算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color w:val="auto"/>
          <w:kern w:val="0"/>
          <w:sz w:val="32"/>
          <w:szCs w:val="32"/>
          <w:u w:val="none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（五）国有资产占用使用及新增资产配置情况：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年12月底，本单位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共有公务用车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辆，其中，机要通信用车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辆，应急保障用车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辆，执法执勤用车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辆，特种专业技术用车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辆；单位价值100万元以上设备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台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。202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年拟新增配置公务用车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辆，其中，机要通信用车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辆，应急保障用车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辆，执法执勤用车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辆，特种专业技术用车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辆；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eastAsia="zh-CN"/>
        </w:rPr>
        <w:t>新增配备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单位价值100万元以上设备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u w:val="none"/>
        </w:rPr>
        <w:t>台。</w:t>
      </w:r>
    </w:p>
    <w:p>
      <w:pPr>
        <w:widowControl/>
        <w:spacing w:line="600" w:lineRule="exact"/>
        <w:ind w:firstLine="660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Calibri" w:hAnsi="Calibri" w:eastAsia="楷体_GB2312" w:cs="Times New Roman"/>
          <w:b/>
          <w:bCs/>
          <w:kern w:val="0"/>
          <w:sz w:val="32"/>
          <w:szCs w:val="32"/>
        </w:rPr>
        <w:t>（六）预算绩效目标说明：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本单位所有支出实行绩效目标管理。纳入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年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单位整体支出绩效目标的金额为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747.60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万元，其中，基本支出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585.60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万元，项目支出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162.00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万元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，具体绩效目标详见报表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  <w:lang w:eastAsia="zh-CN"/>
        </w:rPr>
        <w:t>七</w:t>
      </w:r>
      <w:r>
        <w:rPr>
          <w:rFonts w:ascii="Calibri" w:hAnsi="Calibri" w:eastAsia="黑体" w:cs="Times New Roman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1、机关运行经费：是指各部门的公用经费，包括办公及印刷费、邮电费、差旅费、会议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出。</w:t>
      </w:r>
    </w:p>
    <w:p>
      <w:pPr>
        <w:widowControl/>
        <w:spacing w:line="600" w:lineRule="exact"/>
        <w:ind w:firstLine="660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</w:p>
    <w:p>
      <w:pPr>
        <w:spacing w:line="600" w:lineRule="exac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numPr>
          <w:ilvl w:val="0"/>
          <w:numId w:val="2"/>
        </w:numPr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val="en-US" w:eastAsia="zh-CN"/>
        </w:rPr>
        <w:t xml:space="preserve"> 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val="en-US" w:eastAsia="zh-CN"/>
        </w:rPr>
        <w:t>4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年</w:t>
      </w:r>
      <w:r>
        <w:rPr>
          <w:rFonts w:eastAsia="方正小标宋_GBK"/>
          <w:bCs/>
          <w:kern w:val="0"/>
          <w:sz w:val="36"/>
          <w:szCs w:val="36"/>
        </w:rPr>
        <w:t>单位预算表</w:t>
      </w:r>
    </w:p>
    <w:p>
      <w:pPr>
        <w:widowControl/>
        <w:numPr>
          <w:ilvl w:val="0"/>
          <w:numId w:val="0"/>
        </w:numPr>
        <w:spacing w:line="600" w:lineRule="exact"/>
        <w:jc w:val="both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numPr>
          <w:ilvl w:val="0"/>
          <w:numId w:val="0"/>
        </w:numPr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hint="eastAsia" w:eastAsia="方正小标宋_GBK"/>
          <w:bCs/>
          <w:kern w:val="0"/>
          <w:sz w:val="36"/>
          <w:szCs w:val="36"/>
          <w:lang w:val="en-US" w:eastAsia="zh-CN"/>
        </w:rPr>
        <w:t>（见附件）</w:t>
      </w:r>
    </w:p>
    <w:p/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sectPr>
      <w:pgSz w:w="11906" w:h="16838"/>
      <w:pgMar w:top="1497" w:right="1800" w:bottom="127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F76049"/>
    <w:multiLevelType w:val="singleLevel"/>
    <w:tmpl w:val="CBF760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1368F27"/>
    <w:multiLevelType w:val="singleLevel"/>
    <w:tmpl w:val="E1368F27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mOGJjZWI3OGQ4ZjM1YzRlMjUyZTg5NTJlM2ZiNzQifQ=="/>
  </w:docVars>
  <w:rsids>
    <w:rsidRoot w:val="0018394A"/>
    <w:rsid w:val="00006D3E"/>
    <w:rsid w:val="00022D50"/>
    <w:rsid w:val="00026B21"/>
    <w:rsid w:val="000312D1"/>
    <w:rsid w:val="00033A98"/>
    <w:rsid w:val="000371D8"/>
    <w:rsid w:val="000438AD"/>
    <w:rsid w:val="0004634C"/>
    <w:rsid w:val="0004649B"/>
    <w:rsid w:val="0005766E"/>
    <w:rsid w:val="00073AC2"/>
    <w:rsid w:val="00081BED"/>
    <w:rsid w:val="000A4E07"/>
    <w:rsid w:val="000B49DC"/>
    <w:rsid w:val="000C4712"/>
    <w:rsid w:val="000D3A82"/>
    <w:rsid w:val="000D46A2"/>
    <w:rsid w:val="000E0820"/>
    <w:rsid w:val="000E405A"/>
    <w:rsid w:val="000F03D9"/>
    <w:rsid w:val="00110907"/>
    <w:rsid w:val="00111122"/>
    <w:rsid w:val="001113A1"/>
    <w:rsid w:val="00116CF5"/>
    <w:rsid w:val="00121A80"/>
    <w:rsid w:val="00121AB5"/>
    <w:rsid w:val="0012321D"/>
    <w:rsid w:val="00127C58"/>
    <w:rsid w:val="001421AD"/>
    <w:rsid w:val="001457F8"/>
    <w:rsid w:val="001466B3"/>
    <w:rsid w:val="001475EA"/>
    <w:rsid w:val="001516B8"/>
    <w:rsid w:val="00172096"/>
    <w:rsid w:val="0018394A"/>
    <w:rsid w:val="0018595D"/>
    <w:rsid w:val="001A61CB"/>
    <w:rsid w:val="001A73F3"/>
    <w:rsid w:val="001A77B8"/>
    <w:rsid w:val="001D29B5"/>
    <w:rsid w:val="001E15E1"/>
    <w:rsid w:val="001E2BCB"/>
    <w:rsid w:val="001E2D7A"/>
    <w:rsid w:val="001E32DC"/>
    <w:rsid w:val="001E5F5A"/>
    <w:rsid w:val="001F4E75"/>
    <w:rsid w:val="0020624A"/>
    <w:rsid w:val="0021602F"/>
    <w:rsid w:val="00232BA0"/>
    <w:rsid w:val="0024003F"/>
    <w:rsid w:val="002464CA"/>
    <w:rsid w:val="00253DAD"/>
    <w:rsid w:val="00264722"/>
    <w:rsid w:val="00283302"/>
    <w:rsid w:val="0029265E"/>
    <w:rsid w:val="002B165B"/>
    <w:rsid w:val="002C0BF1"/>
    <w:rsid w:val="002D1558"/>
    <w:rsid w:val="002E0BE9"/>
    <w:rsid w:val="002F642E"/>
    <w:rsid w:val="002F768E"/>
    <w:rsid w:val="00316C3D"/>
    <w:rsid w:val="0032147C"/>
    <w:rsid w:val="0034036B"/>
    <w:rsid w:val="003460C2"/>
    <w:rsid w:val="0035699D"/>
    <w:rsid w:val="003577E2"/>
    <w:rsid w:val="003805C3"/>
    <w:rsid w:val="00391234"/>
    <w:rsid w:val="00391360"/>
    <w:rsid w:val="00391386"/>
    <w:rsid w:val="003B2912"/>
    <w:rsid w:val="003B44C5"/>
    <w:rsid w:val="003C1E97"/>
    <w:rsid w:val="003D388A"/>
    <w:rsid w:val="004001B4"/>
    <w:rsid w:val="004075A1"/>
    <w:rsid w:val="0041711B"/>
    <w:rsid w:val="004317FF"/>
    <w:rsid w:val="00436D8F"/>
    <w:rsid w:val="00437D6C"/>
    <w:rsid w:val="00446C8B"/>
    <w:rsid w:val="00461701"/>
    <w:rsid w:val="00462B95"/>
    <w:rsid w:val="0046554D"/>
    <w:rsid w:val="004712C3"/>
    <w:rsid w:val="004729AE"/>
    <w:rsid w:val="00472FC7"/>
    <w:rsid w:val="004B220A"/>
    <w:rsid w:val="004B414A"/>
    <w:rsid w:val="004C0EB8"/>
    <w:rsid w:val="004C214D"/>
    <w:rsid w:val="004D3DBD"/>
    <w:rsid w:val="004D6931"/>
    <w:rsid w:val="004E1F28"/>
    <w:rsid w:val="004F2CA8"/>
    <w:rsid w:val="004F3A6E"/>
    <w:rsid w:val="004F4E42"/>
    <w:rsid w:val="005047A0"/>
    <w:rsid w:val="00506923"/>
    <w:rsid w:val="00510F0F"/>
    <w:rsid w:val="00510FF4"/>
    <w:rsid w:val="00527E9E"/>
    <w:rsid w:val="00541DF2"/>
    <w:rsid w:val="0054411E"/>
    <w:rsid w:val="00550765"/>
    <w:rsid w:val="00550D94"/>
    <w:rsid w:val="0055328F"/>
    <w:rsid w:val="00560051"/>
    <w:rsid w:val="0056026C"/>
    <w:rsid w:val="00562A95"/>
    <w:rsid w:val="005A3F0A"/>
    <w:rsid w:val="005A7D7E"/>
    <w:rsid w:val="005B0ACA"/>
    <w:rsid w:val="005C1C2D"/>
    <w:rsid w:val="005D28E9"/>
    <w:rsid w:val="005D49EA"/>
    <w:rsid w:val="005D6B27"/>
    <w:rsid w:val="005E100A"/>
    <w:rsid w:val="005E583F"/>
    <w:rsid w:val="005E727D"/>
    <w:rsid w:val="005F2BFF"/>
    <w:rsid w:val="005F48F5"/>
    <w:rsid w:val="0060506E"/>
    <w:rsid w:val="006070E9"/>
    <w:rsid w:val="00610E99"/>
    <w:rsid w:val="00620588"/>
    <w:rsid w:val="006447A6"/>
    <w:rsid w:val="006532FC"/>
    <w:rsid w:val="00676530"/>
    <w:rsid w:val="00681794"/>
    <w:rsid w:val="006830F2"/>
    <w:rsid w:val="0068359A"/>
    <w:rsid w:val="00685EA5"/>
    <w:rsid w:val="0069020F"/>
    <w:rsid w:val="006912D3"/>
    <w:rsid w:val="0069631A"/>
    <w:rsid w:val="006968E0"/>
    <w:rsid w:val="006A63BE"/>
    <w:rsid w:val="006C3A55"/>
    <w:rsid w:val="006D4963"/>
    <w:rsid w:val="006E7EA2"/>
    <w:rsid w:val="00706FE5"/>
    <w:rsid w:val="00710E0D"/>
    <w:rsid w:val="00717065"/>
    <w:rsid w:val="007177CA"/>
    <w:rsid w:val="0072059E"/>
    <w:rsid w:val="00733A2F"/>
    <w:rsid w:val="007613D7"/>
    <w:rsid w:val="00775468"/>
    <w:rsid w:val="007A29AD"/>
    <w:rsid w:val="007C4AF5"/>
    <w:rsid w:val="007E2688"/>
    <w:rsid w:val="007F0079"/>
    <w:rsid w:val="007F4444"/>
    <w:rsid w:val="00800948"/>
    <w:rsid w:val="008019C1"/>
    <w:rsid w:val="00802948"/>
    <w:rsid w:val="00805E46"/>
    <w:rsid w:val="00813EB9"/>
    <w:rsid w:val="00815C05"/>
    <w:rsid w:val="00816F43"/>
    <w:rsid w:val="008250E2"/>
    <w:rsid w:val="0084148E"/>
    <w:rsid w:val="0084716B"/>
    <w:rsid w:val="00851175"/>
    <w:rsid w:val="00853345"/>
    <w:rsid w:val="008545BF"/>
    <w:rsid w:val="00862FFE"/>
    <w:rsid w:val="00872328"/>
    <w:rsid w:val="0088314C"/>
    <w:rsid w:val="008A50D4"/>
    <w:rsid w:val="008A7506"/>
    <w:rsid w:val="008B24F5"/>
    <w:rsid w:val="008C346C"/>
    <w:rsid w:val="008C7F75"/>
    <w:rsid w:val="008D545F"/>
    <w:rsid w:val="008D6243"/>
    <w:rsid w:val="008E309F"/>
    <w:rsid w:val="008E475E"/>
    <w:rsid w:val="008F1125"/>
    <w:rsid w:val="00900DB2"/>
    <w:rsid w:val="00905B6C"/>
    <w:rsid w:val="00915CCE"/>
    <w:rsid w:val="0094520F"/>
    <w:rsid w:val="00946DC1"/>
    <w:rsid w:val="0095684F"/>
    <w:rsid w:val="00964E43"/>
    <w:rsid w:val="00980378"/>
    <w:rsid w:val="00980468"/>
    <w:rsid w:val="00995EDA"/>
    <w:rsid w:val="00996C2D"/>
    <w:rsid w:val="009A48A2"/>
    <w:rsid w:val="009B44CE"/>
    <w:rsid w:val="009C06B8"/>
    <w:rsid w:val="009C1716"/>
    <w:rsid w:val="009D5A6D"/>
    <w:rsid w:val="009F1D12"/>
    <w:rsid w:val="009F1F58"/>
    <w:rsid w:val="009F278C"/>
    <w:rsid w:val="00A04309"/>
    <w:rsid w:val="00A17D03"/>
    <w:rsid w:val="00A242C9"/>
    <w:rsid w:val="00A303E9"/>
    <w:rsid w:val="00A374B9"/>
    <w:rsid w:val="00A50D4C"/>
    <w:rsid w:val="00A560FD"/>
    <w:rsid w:val="00A614F1"/>
    <w:rsid w:val="00A75D19"/>
    <w:rsid w:val="00A82A33"/>
    <w:rsid w:val="00A90550"/>
    <w:rsid w:val="00A9434E"/>
    <w:rsid w:val="00A95D11"/>
    <w:rsid w:val="00AA22BA"/>
    <w:rsid w:val="00AC282B"/>
    <w:rsid w:val="00AE26EA"/>
    <w:rsid w:val="00AF11BF"/>
    <w:rsid w:val="00AF589F"/>
    <w:rsid w:val="00B00114"/>
    <w:rsid w:val="00B03F59"/>
    <w:rsid w:val="00B2293A"/>
    <w:rsid w:val="00B24511"/>
    <w:rsid w:val="00B46EBC"/>
    <w:rsid w:val="00B50482"/>
    <w:rsid w:val="00B62CDC"/>
    <w:rsid w:val="00B73DDC"/>
    <w:rsid w:val="00B74AB4"/>
    <w:rsid w:val="00B80BA3"/>
    <w:rsid w:val="00B8184D"/>
    <w:rsid w:val="00B85D1D"/>
    <w:rsid w:val="00BA3D34"/>
    <w:rsid w:val="00BD0C29"/>
    <w:rsid w:val="00BE2765"/>
    <w:rsid w:val="00BE570A"/>
    <w:rsid w:val="00BE68EA"/>
    <w:rsid w:val="00BF124B"/>
    <w:rsid w:val="00C10029"/>
    <w:rsid w:val="00C12C69"/>
    <w:rsid w:val="00C17341"/>
    <w:rsid w:val="00C206F0"/>
    <w:rsid w:val="00C225D3"/>
    <w:rsid w:val="00C33F00"/>
    <w:rsid w:val="00C401C3"/>
    <w:rsid w:val="00C40A26"/>
    <w:rsid w:val="00C52F52"/>
    <w:rsid w:val="00C63F1B"/>
    <w:rsid w:val="00C64792"/>
    <w:rsid w:val="00C76651"/>
    <w:rsid w:val="00CA06D4"/>
    <w:rsid w:val="00CA3979"/>
    <w:rsid w:val="00CD07C5"/>
    <w:rsid w:val="00CD7592"/>
    <w:rsid w:val="00D32643"/>
    <w:rsid w:val="00D33D3C"/>
    <w:rsid w:val="00D401E9"/>
    <w:rsid w:val="00D55BB5"/>
    <w:rsid w:val="00D64085"/>
    <w:rsid w:val="00D71359"/>
    <w:rsid w:val="00D751A5"/>
    <w:rsid w:val="00D76555"/>
    <w:rsid w:val="00D94D7F"/>
    <w:rsid w:val="00DA3DF8"/>
    <w:rsid w:val="00DA52CA"/>
    <w:rsid w:val="00DC4617"/>
    <w:rsid w:val="00DC7837"/>
    <w:rsid w:val="00DE74D3"/>
    <w:rsid w:val="00DF268A"/>
    <w:rsid w:val="00E022A3"/>
    <w:rsid w:val="00E033B4"/>
    <w:rsid w:val="00E15DCA"/>
    <w:rsid w:val="00E22FCC"/>
    <w:rsid w:val="00E252B6"/>
    <w:rsid w:val="00E30AE3"/>
    <w:rsid w:val="00E56170"/>
    <w:rsid w:val="00E648B6"/>
    <w:rsid w:val="00E7795A"/>
    <w:rsid w:val="00E8109B"/>
    <w:rsid w:val="00E9098E"/>
    <w:rsid w:val="00E9722D"/>
    <w:rsid w:val="00EA1CD9"/>
    <w:rsid w:val="00EA4FD1"/>
    <w:rsid w:val="00EB2FF9"/>
    <w:rsid w:val="00EB48C7"/>
    <w:rsid w:val="00ED0B2D"/>
    <w:rsid w:val="00EE5D42"/>
    <w:rsid w:val="00EF5F9A"/>
    <w:rsid w:val="00F0620B"/>
    <w:rsid w:val="00F06C60"/>
    <w:rsid w:val="00F21125"/>
    <w:rsid w:val="00F31E22"/>
    <w:rsid w:val="00F47115"/>
    <w:rsid w:val="00F51A64"/>
    <w:rsid w:val="00F82B36"/>
    <w:rsid w:val="00F87AEB"/>
    <w:rsid w:val="00FA0906"/>
    <w:rsid w:val="00FA34B2"/>
    <w:rsid w:val="00FA34C2"/>
    <w:rsid w:val="00FB0261"/>
    <w:rsid w:val="00FB415D"/>
    <w:rsid w:val="00FB5F18"/>
    <w:rsid w:val="00FC0A85"/>
    <w:rsid w:val="00FD33CD"/>
    <w:rsid w:val="00FD51C8"/>
    <w:rsid w:val="00FD7784"/>
    <w:rsid w:val="00FE0A40"/>
    <w:rsid w:val="00FE5B8C"/>
    <w:rsid w:val="02F40DA2"/>
    <w:rsid w:val="03426A03"/>
    <w:rsid w:val="07765BFC"/>
    <w:rsid w:val="18401E6D"/>
    <w:rsid w:val="2681443F"/>
    <w:rsid w:val="29A210B5"/>
    <w:rsid w:val="34110F76"/>
    <w:rsid w:val="386371A5"/>
    <w:rsid w:val="3A726DB2"/>
    <w:rsid w:val="3B4823CF"/>
    <w:rsid w:val="3B9D56CF"/>
    <w:rsid w:val="4B5502E1"/>
    <w:rsid w:val="4F2556F1"/>
    <w:rsid w:val="4FFFB051"/>
    <w:rsid w:val="559E552E"/>
    <w:rsid w:val="5AAC0AED"/>
    <w:rsid w:val="5E6735F7"/>
    <w:rsid w:val="67B87642"/>
    <w:rsid w:val="691E1407"/>
    <w:rsid w:val="6A7B9FD3"/>
    <w:rsid w:val="6A9D3E7E"/>
    <w:rsid w:val="71EB0B59"/>
    <w:rsid w:val="787A6AF8"/>
    <w:rsid w:val="83F72EC6"/>
    <w:rsid w:val="E76FBBD6"/>
    <w:rsid w:val="FF0D5BFE"/>
    <w:rsid w:val="FFDF9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qFormat="1" w:unhideWhenUsed="0" w:uiPriority="0" w:semiHidden="0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HTML Sample"/>
    <w:basedOn w:val="9"/>
    <w:qFormat/>
    <w:uiPriority w:val="0"/>
    <w:rPr>
      <w:rFonts w:ascii="Courier New" w:hAnsi="Courier New" w:cs="Courier New"/>
    </w:rPr>
  </w:style>
  <w:style w:type="character" w:customStyle="1" w:styleId="11">
    <w:name w:val="标题 2 Char"/>
    <w:basedOn w:val="9"/>
    <w:link w:val="4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12">
    <w:name w:val="Char1 Char Char Char"/>
    <w:basedOn w:val="1"/>
    <w:qFormat/>
    <w:uiPriority w:val="0"/>
    <w:rPr>
      <w:rFonts w:ascii="Tahoma" w:hAnsi="Tahoma" w:eastAsia="仿宋_GB2312" w:cs="Times New Roman"/>
      <w:sz w:val="28"/>
      <w:szCs w:val="20"/>
    </w:rPr>
  </w:style>
  <w:style w:type="character" w:customStyle="1" w:styleId="13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7</Pages>
  <Words>2195</Words>
  <Characters>2398</Characters>
  <Lines>16</Lines>
  <Paragraphs>4</Paragraphs>
  <TotalTime>0</TotalTime>
  <ScaleCrop>false</ScaleCrop>
  <LinksUpToDate>false</LinksUpToDate>
  <CharactersWithSpaces>2408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2021-02-06T02:05:00Z</dcterms:created>
  <dc:creator>Windows 用户</dc:creator>
  <cp:lastModifiedBy>lenovo</cp:lastModifiedBy>
  <cp:lastPrinted>2021-03-20T02:46:00Z</cp:lastPrinted>
  <dcterms:modified xsi:type="dcterms:W3CDTF">2024-03-08T02:51:59Z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08373149C3A845909063F1D6A4B1370D</vt:lpwstr>
  </property>
</Properties>
</file>