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2024</w:t>
      </w:r>
      <w:r>
        <w:rPr>
          <w:rFonts w:hint="eastAsia" w:eastAsia="方正小标宋_GBK"/>
          <w:bCs/>
          <w:kern w:val="0"/>
          <w:sz w:val="44"/>
          <w:szCs w:val="44"/>
        </w:rPr>
        <w:t>年省农业农村信息中心预算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目</w:t>
      </w:r>
      <w:r>
        <w:rPr>
          <w:rFonts w:eastAsia="黑体"/>
          <w:bCs/>
          <w:kern w:val="0"/>
          <w:sz w:val="32"/>
          <w:szCs w:val="32"/>
        </w:rPr>
        <w:t xml:space="preserve"> </w:t>
      </w:r>
      <w:r>
        <w:rPr>
          <w:rFonts w:hint="eastAsia" w:eastAsia="黑体"/>
          <w:bCs/>
          <w:kern w:val="0"/>
          <w:sz w:val="32"/>
          <w:szCs w:val="32"/>
        </w:rPr>
        <w:t>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第一部分</w:t>
      </w:r>
      <w:r>
        <w:rPr>
          <w:rFonts w:eastAsia="Times New Roman"/>
          <w:b/>
          <w:bCs/>
          <w:kern w:val="0"/>
          <w:sz w:val="32"/>
          <w:szCs w:val="32"/>
        </w:rPr>
        <w:t xml:space="preserve">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Times New Roman"/>
          <w:b/>
          <w:bCs/>
          <w:kern w:val="0"/>
          <w:sz w:val="32"/>
          <w:szCs w:val="32"/>
        </w:rPr>
        <w:t>024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Times New Roman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第二部分</w:t>
      </w:r>
      <w:r>
        <w:rPr>
          <w:rFonts w:eastAsia="Times New Roman"/>
          <w:b/>
          <w:bCs/>
          <w:kern w:val="0"/>
          <w:sz w:val="32"/>
          <w:szCs w:val="32"/>
        </w:rPr>
        <w:t xml:space="preserve"> 2024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</w:t>
      </w:r>
      <w:r>
        <w:rPr>
          <w:rFonts w:hint="eastAsia" w:ascii="宋体" w:hAnsi="宋体" w:cs="宋体"/>
          <w:sz w:val="32"/>
          <w:szCs w:val="32"/>
        </w:rPr>
        <w:t>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3</w:t>
      </w:r>
      <w:r>
        <w:rPr>
          <w:rFonts w:hint="eastAsia" w:ascii="宋体" w:hAnsi="宋体" w:cs="宋体"/>
          <w:sz w:val="32"/>
          <w:szCs w:val="32"/>
        </w:rPr>
        <w:t>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4</w:t>
      </w:r>
      <w:r>
        <w:rPr>
          <w:rFonts w:hint="eastAsia" w:ascii="宋体" w:hAnsi="宋体" w:cs="宋体"/>
          <w:sz w:val="32"/>
          <w:szCs w:val="32"/>
        </w:rPr>
        <w:t>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5</w:t>
      </w:r>
      <w:r>
        <w:rPr>
          <w:rFonts w:hint="eastAsia" w:ascii="宋体" w:hAnsi="宋体" w:cs="宋体"/>
          <w:sz w:val="32"/>
          <w:szCs w:val="32"/>
        </w:rPr>
        <w:t>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6</w:t>
      </w:r>
      <w:r>
        <w:rPr>
          <w:rFonts w:hint="eastAsia" w:ascii="宋体" w:hAnsi="宋体" w:cs="宋体"/>
          <w:sz w:val="32"/>
          <w:szCs w:val="32"/>
        </w:rPr>
        <w:t>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7</w:t>
      </w:r>
      <w:r>
        <w:rPr>
          <w:rFonts w:hint="eastAsia" w:ascii="宋体" w:hAnsi="宋体" w:cs="宋体"/>
          <w:sz w:val="32"/>
          <w:szCs w:val="32"/>
        </w:rPr>
        <w:t>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8</w:t>
      </w:r>
      <w:r>
        <w:rPr>
          <w:rFonts w:hint="eastAsia" w:ascii="宋体" w:hAnsi="宋体" w:cs="宋体"/>
          <w:sz w:val="32"/>
          <w:szCs w:val="32"/>
        </w:rPr>
        <w:t>、一般公共预算基本支出表</w:t>
      </w:r>
      <w:r>
        <w:rPr>
          <w:rFonts w:eastAsia="Times New Roman"/>
          <w:sz w:val="32"/>
          <w:szCs w:val="32"/>
        </w:rPr>
        <w:t>-</w:t>
      </w:r>
      <w:r>
        <w:rPr>
          <w:rFonts w:hint="eastAsia" w:ascii="宋体" w:hAnsi="宋体" w:cs="宋体"/>
          <w:sz w:val="32"/>
          <w:szCs w:val="32"/>
        </w:rPr>
        <w:t>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9</w:t>
      </w:r>
      <w:r>
        <w:rPr>
          <w:rFonts w:hint="eastAsia" w:ascii="宋体" w:hAnsi="宋体" w:cs="宋体"/>
          <w:sz w:val="32"/>
          <w:szCs w:val="32"/>
        </w:rPr>
        <w:t>、一般公共预算基本支出表</w:t>
      </w:r>
      <w:r>
        <w:rPr>
          <w:rFonts w:eastAsia="Times New Roman"/>
          <w:sz w:val="32"/>
          <w:szCs w:val="32"/>
        </w:rPr>
        <w:t>-</w:t>
      </w:r>
      <w:r>
        <w:rPr>
          <w:rFonts w:hint="eastAsia" w:ascii="宋体" w:hAnsi="宋体" w:cs="宋体"/>
          <w:sz w:val="32"/>
          <w:szCs w:val="32"/>
        </w:rPr>
        <w:t>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10</w:t>
      </w:r>
      <w:r>
        <w:rPr>
          <w:rFonts w:hint="eastAsia" w:ascii="宋体" w:hAnsi="宋体" w:cs="宋体"/>
          <w:sz w:val="32"/>
          <w:szCs w:val="32"/>
        </w:rPr>
        <w:t>、一般公共预算基本支出表</w:t>
      </w:r>
      <w:r>
        <w:rPr>
          <w:rFonts w:eastAsia="Times New Roman"/>
          <w:sz w:val="32"/>
          <w:szCs w:val="32"/>
        </w:rPr>
        <w:t>-</w:t>
      </w:r>
      <w:r>
        <w:rPr>
          <w:rFonts w:hint="eastAsia" w:ascii="宋体" w:hAnsi="宋体" w:cs="宋体"/>
          <w:sz w:val="32"/>
          <w:szCs w:val="32"/>
        </w:rPr>
        <w:t>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11</w:t>
      </w:r>
      <w:r>
        <w:rPr>
          <w:rFonts w:hint="eastAsia" w:ascii="宋体" w:hAnsi="宋体" w:cs="宋体"/>
          <w:sz w:val="32"/>
          <w:szCs w:val="32"/>
        </w:rPr>
        <w:t>、一般公共预算基本支出表</w:t>
      </w:r>
      <w:r>
        <w:rPr>
          <w:rFonts w:eastAsia="Times New Roman"/>
          <w:sz w:val="32"/>
          <w:szCs w:val="32"/>
        </w:rPr>
        <w:t>-</w:t>
      </w:r>
      <w:r>
        <w:rPr>
          <w:rFonts w:hint="eastAsia" w:ascii="宋体" w:hAnsi="宋体" w:cs="宋体"/>
          <w:sz w:val="32"/>
          <w:szCs w:val="32"/>
        </w:rPr>
        <w:t>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12</w:t>
      </w:r>
      <w:r>
        <w:rPr>
          <w:rFonts w:hint="eastAsia" w:ascii="宋体" w:hAnsi="宋体" w:cs="宋体"/>
          <w:sz w:val="32"/>
          <w:szCs w:val="32"/>
        </w:rPr>
        <w:t>、一般公共预算基本支出表</w:t>
      </w:r>
      <w:r>
        <w:rPr>
          <w:rFonts w:eastAsia="Times New Roman"/>
          <w:sz w:val="32"/>
          <w:szCs w:val="32"/>
        </w:rPr>
        <w:t>-</w:t>
      </w:r>
      <w:r>
        <w:rPr>
          <w:rFonts w:hint="eastAsia" w:ascii="宋体" w:hAnsi="宋体" w:cs="宋体"/>
          <w:sz w:val="32"/>
          <w:szCs w:val="32"/>
        </w:rPr>
        <w:t>公用经费（商品和服务支出）（按政府预算经济分类）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13</w:t>
      </w:r>
      <w:r>
        <w:rPr>
          <w:rFonts w:hint="eastAsia" w:ascii="宋体" w:hAnsi="宋体" w:cs="宋体"/>
          <w:sz w:val="32"/>
          <w:szCs w:val="32"/>
        </w:rPr>
        <w:t>、一般公共预算基本支出表</w:t>
      </w:r>
      <w:r>
        <w:rPr>
          <w:rFonts w:eastAsia="Times New Roman"/>
          <w:sz w:val="32"/>
          <w:szCs w:val="32"/>
        </w:rPr>
        <w:t>-</w:t>
      </w:r>
      <w:r>
        <w:rPr>
          <w:rFonts w:hint="eastAsia" w:ascii="宋体" w:hAnsi="宋体" w:cs="宋体"/>
          <w:sz w:val="32"/>
          <w:szCs w:val="32"/>
        </w:rPr>
        <w:t>公用经费（商品和服务支出）（按部门预算经济分类）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14</w:t>
      </w:r>
      <w:r>
        <w:rPr>
          <w:rFonts w:hint="eastAsia" w:ascii="宋体" w:hAnsi="宋体" w:cs="宋体"/>
          <w:sz w:val="32"/>
          <w:szCs w:val="32"/>
        </w:rPr>
        <w:t>、一般公共预算</w:t>
      </w:r>
      <w:r>
        <w:rPr>
          <w:rFonts w:eastAsia="Times New Roman"/>
          <w:sz w:val="32"/>
          <w:szCs w:val="32"/>
        </w:rPr>
        <w:t>“</w:t>
      </w:r>
      <w:r>
        <w:rPr>
          <w:rFonts w:hint="eastAsia" w:ascii="宋体" w:hAnsi="宋体" w:cs="宋体"/>
          <w:sz w:val="32"/>
          <w:szCs w:val="32"/>
        </w:rPr>
        <w:t>三公</w:t>
      </w:r>
      <w:r>
        <w:rPr>
          <w:rFonts w:eastAsia="Times New Roman"/>
          <w:sz w:val="32"/>
          <w:szCs w:val="32"/>
        </w:rPr>
        <w:t>”</w:t>
      </w:r>
      <w:r>
        <w:rPr>
          <w:rFonts w:hint="eastAsia" w:ascii="宋体" w:hAnsi="宋体" w:cs="宋体"/>
          <w:sz w:val="32"/>
          <w:szCs w:val="32"/>
        </w:rPr>
        <w:t>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15</w:t>
      </w:r>
      <w:r>
        <w:rPr>
          <w:rFonts w:hint="eastAsia" w:ascii="宋体" w:hAnsi="宋体" w:cs="宋体"/>
          <w:sz w:val="32"/>
          <w:szCs w:val="32"/>
        </w:rPr>
        <w:t>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16</w:t>
      </w:r>
      <w:r>
        <w:rPr>
          <w:rFonts w:hint="eastAsia" w:ascii="宋体" w:hAnsi="宋体" w:cs="宋体"/>
          <w:sz w:val="32"/>
          <w:szCs w:val="32"/>
        </w:rPr>
        <w:t>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17</w:t>
      </w:r>
      <w:r>
        <w:rPr>
          <w:rFonts w:hint="eastAsia" w:ascii="宋体" w:hAnsi="宋体" w:cs="宋体"/>
          <w:sz w:val="32"/>
          <w:szCs w:val="32"/>
        </w:rPr>
        <w:t>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18</w:t>
      </w:r>
      <w:r>
        <w:rPr>
          <w:rFonts w:hint="eastAsia" w:ascii="宋体" w:hAnsi="宋体" w:cs="宋体"/>
          <w:sz w:val="32"/>
          <w:szCs w:val="32"/>
        </w:rPr>
        <w:t>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19</w:t>
      </w:r>
      <w:r>
        <w:rPr>
          <w:rFonts w:hint="eastAsia" w:ascii="宋体" w:hAnsi="宋体" w:cs="宋体"/>
          <w:sz w:val="32"/>
          <w:szCs w:val="32"/>
        </w:rPr>
        <w:t>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20</w:t>
      </w:r>
      <w:r>
        <w:rPr>
          <w:rFonts w:hint="eastAsia" w:ascii="宋体" w:hAnsi="宋体" w:cs="宋体"/>
          <w:sz w:val="32"/>
          <w:szCs w:val="32"/>
        </w:rPr>
        <w:t>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21</w:t>
      </w:r>
      <w:r>
        <w:rPr>
          <w:rFonts w:hint="eastAsia" w:ascii="宋体" w:hAnsi="宋体" w:cs="宋体"/>
          <w:sz w:val="32"/>
          <w:szCs w:val="32"/>
        </w:rPr>
        <w:t>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22</w:t>
      </w:r>
      <w:r>
        <w:rPr>
          <w:rFonts w:hint="eastAsia" w:ascii="宋体" w:hAnsi="宋体" w:cs="宋体"/>
          <w:sz w:val="32"/>
          <w:szCs w:val="32"/>
        </w:rPr>
        <w:t>、其他资金绩效目标表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23</w:t>
      </w:r>
      <w:r>
        <w:rPr>
          <w:rFonts w:hint="eastAsia" w:ascii="宋体" w:hAnsi="宋体" w:cs="宋体"/>
          <w:sz w:val="32"/>
          <w:szCs w:val="32"/>
        </w:rPr>
        <w:t>、部门整体支出绩效目标表</w:t>
      </w:r>
    </w:p>
    <w:p>
      <w:pPr>
        <w:widowControl/>
        <w:spacing w:line="600" w:lineRule="exact"/>
        <w:ind w:firstLine="640" w:firstLineChars="200"/>
        <w:rPr>
          <w:rFonts w:eastAsia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eastAsia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eastAsia="方正小标宋_GBK"/>
          <w:bCs/>
          <w:kern w:val="0"/>
          <w:sz w:val="36"/>
          <w:szCs w:val="36"/>
        </w:rPr>
        <w:t>第一部分</w:t>
      </w:r>
      <w:r>
        <w:rPr>
          <w:rFonts w:eastAsia="方正小标宋_GBK"/>
          <w:bCs/>
          <w:kern w:val="0"/>
          <w:sz w:val="36"/>
          <w:szCs w:val="36"/>
        </w:rPr>
        <w:t xml:space="preserve"> 2024</w:t>
      </w:r>
      <w:r>
        <w:rPr>
          <w:rFonts w:hint="eastAsia" w:eastAsia="方正小标宋_GBK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Times New Roman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43" w:firstLineChars="200"/>
        <w:jc w:val="left"/>
        <w:rPr>
          <w:rFonts w:eastAsia="楷体_GB2312"/>
          <w:b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（一）职能职责。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承办规范全省农业信息化工作,负责全省农业信息网络体系的规划、建设和管理,农业信息入户工程的试点和技术推广;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承办湖南农业信息网的管理与维护,开展网上农业信息服务和电子商务服务;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负责全省农业信息网络应用软件的开发和推广;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负责全省农业信息网络维护和信息化技术培训;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负责厅机关局域网的管理和维护。</w:t>
      </w:r>
    </w:p>
    <w:p>
      <w:pPr>
        <w:widowControl/>
        <w:spacing w:line="600" w:lineRule="exact"/>
        <w:ind w:firstLine="660"/>
        <w:jc w:val="left"/>
        <w:rPr>
          <w:rFonts w:eastAsia="楷体_GB2312"/>
          <w:b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（二）机构设置。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湖南省农业农村信息中心设综合科、信息科、网络科、数据资源科、应用科五个科室。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二、单位预算单位构成</w:t>
      </w:r>
    </w:p>
    <w:p>
      <w:pPr>
        <w:widowControl/>
        <w:spacing w:line="600" w:lineRule="exact"/>
        <w:ind w:firstLine="627" w:firstLineChars="196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湖南省农业农村信息中心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无下属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预算单位。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三、单位收支总体情况</w:t>
      </w:r>
    </w:p>
    <w:p>
      <w:pPr>
        <w:widowControl/>
        <w:spacing w:line="600" w:lineRule="exact"/>
        <w:ind w:firstLine="630" w:firstLineChars="196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楷体_GB2312"/>
          <w:b/>
          <w:sz w:val="32"/>
          <w:szCs w:val="32"/>
        </w:rPr>
        <w:t>（一）收入预算：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包括一般公共预算、政府性基金、国有资本经营预算等财政拨款收入，以及经营收入、事业收入等单位资金。2024年本单位收入预算93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4.12万元，其中，一般公共预算拨款818.19万元，政府性基金预算拨款 0 万元，国有资本经营预算拨款0万元，纳入专户管理的非税收入0 万元，上年结转结余115.93万元。收入较去年减少834.60万元，主要是减少了上年结转结余。</w:t>
      </w:r>
    </w:p>
    <w:p>
      <w:pPr>
        <w:widowControl/>
        <w:spacing w:line="600" w:lineRule="exact"/>
        <w:ind w:firstLine="630" w:firstLineChars="196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楷体_GB2312"/>
          <w:b/>
          <w:sz w:val="32"/>
          <w:szCs w:val="32"/>
        </w:rPr>
        <w:t>（二）支出预算：</w:t>
      </w:r>
      <w:r>
        <w:rPr>
          <w:rFonts w:eastAsia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024年本单位支出预算934.12万元，其中，其中，教育支出8.10万元，社会保障和就业支出33.84万元，农林水支出867.71万元，住房保障支出24.47万元。支出较去年减少834.60万元，主要是减少了上年结转结余。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2024年本单位一般公共预算拨款支出预算934.12万元，其中，教育支出8.10万元，占0.87%；社会保障和就业支出33.84万元，占3.62 %；农林水支出867.71万元，占92.89 %；住房保障支出24.47万元，占2.62%。具体安排情况如下</w:t>
      </w:r>
      <w:r>
        <w:rPr>
          <w:rFonts w:hint="eastAsia" w:ascii="宋体" w:hAnsi="宋体" w:cs="宋体"/>
          <w:sz w:val="32"/>
          <w:szCs w:val="32"/>
        </w:rPr>
        <w:t>：</w:t>
      </w:r>
    </w:p>
    <w:p>
      <w:pPr>
        <w:widowControl/>
        <w:spacing w:line="600" w:lineRule="exact"/>
        <w:ind w:firstLine="66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楷体_GB2312"/>
          <w:b/>
          <w:sz w:val="32"/>
          <w:szCs w:val="32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2024年本单位基本支出预算数 245.82 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ind w:firstLine="643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楷体_GB2312"/>
          <w:b/>
          <w:sz w:val="32"/>
          <w:szCs w:val="32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2024年本单位项目支出预算688.30 万元，主要是部门为完成特定行政工作任务或事业发展目标发生的支出，包括有关事业发展专项、专项业务费、基本建设支出等。其中：12316运行维护专项支出135.13万元，主要用于12316平台运行维护、知识库建设等方面；省级专项支出395.80万元，主要用于厅网络系统基础运维、安全运维，政务信息系统、设施设备运行维护，网络安全等方面；其他事业发展资金157.37万元，其中国家现代农业产业园及农业产业强镇专项100万元为2023年结转资金，主要用于“湘南供粤港澳蔬菜产业集群全产业链公共服务平台”建设，57.37万元主要用于厅官网官微建管等单位事业发展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五、政府性基金预算支出</w:t>
      </w:r>
    </w:p>
    <w:p>
      <w:pPr>
        <w:widowControl/>
        <w:spacing w:line="600" w:lineRule="exact"/>
        <w:ind w:firstLine="660"/>
        <w:jc w:val="left"/>
        <w:rPr>
          <w:rFonts w:eastAsia="Times New Roman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本单位无政府性基金安排的支出</w:t>
      </w:r>
      <w:r>
        <w:rPr>
          <w:rFonts w:hint="eastAsia" w:ascii="宋体" w:hAnsi="宋体" w:cs="宋体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六、其他重要事项的情况说明</w:t>
      </w:r>
    </w:p>
    <w:p>
      <w:pPr>
        <w:widowControl/>
        <w:spacing w:line="600" w:lineRule="exact"/>
        <w:ind w:firstLine="66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楷体_GB2312"/>
          <w:b/>
          <w:sz w:val="32"/>
          <w:szCs w:val="32"/>
        </w:rPr>
        <w:t>（一）机关运行经费：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024年本单位机关运行经费8.82 万元，与上年持平。</w:t>
      </w:r>
    </w:p>
    <w:p>
      <w:pPr>
        <w:widowControl/>
        <w:spacing w:line="600" w:lineRule="exact"/>
        <w:ind w:firstLine="66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楷体_GB2312"/>
          <w:b/>
          <w:sz w:val="32"/>
          <w:szCs w:val="32"/>
        </w:rPr>
        <w:t>（二）</w:t>
      </w:r>
      <w:r>
        <w:rPr>
          <w:rFonts w:eastAsia="楷体_GB2312"/>
          <w:b/>
          <w:sz w:val="32"/>
          <w:szCs w:val="32"/>
        </w:rPr>
        <w:t>“</w:t>
      </w:r>
      <w:r>
        <w:rPr>
          <w:rFonts w:hint="eastAsia" w:eastAsia="楷体_GB2312"/>
          <w:b/>
          <w:sz w:val="32"/>
          <w:szCs w:val="32"/>
        </w:rPr>
        <w:t>三公</w:t>
      </w:r>
      <w:r>
        <w:rPr>
          <w:rFonts w:eastAsia="楷体_GB2312"/>
          <w:b/>
          <w:sz w:val="32"/>
          <w:szCs w:val="32"/>
        </w:rPr>
        <w:t>”</w:t>
      </w:r>
      <w:r>
        <w:rPr>
          <w:rFonts w:hint="eastAsia" w:eastAsia="楷体_GB2312"/>
          <w:b/>
          <w:sz w:val="32"/>
          <w:szCs w:val="32"/>
        </w:rPr>
        <w:t>经费预算：</w:t>
      </w:r>
      <w:r>
        <w:rPr>
          <w:rFonts w:eastAsia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024年本单位“三公”经费预算数为11.90万元，其中，公务接待费 2万元，公务用车购置及运行费 0.5万元（其中，公务用车购置费 0万元，公务用车运行费 0.5万元），因公出国（境）费 9.40万元。2024年“三公”经费预算较上年增加7.90万元，主要是本年增加因公出国（境）费预算。</w:t>
      </w:r>
    </w:p>
    <w:p>
      <w:pPr>
        <w:widowControl/>
        <w:spacing w:line="600" w:lineRule="exact"/>
        <w:ind w:firstLine="660"/>
        <w:rPr>
          <w:rFonts w:eastAsia="Times New Roman"/>
          <w:kern w:val="0"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（三）一般性支出情况：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2024年本单位会议费预算1.62 万元，拟召开1次会议，人数30人，内容为全省农业农村大数据系统建设座谈会；培训费预算9.05万元，拟开展1次培训，人数150人，内容为全省农业农村信息工作培训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eastAsia" w:eastAsia="仿宋_GB2312"/>
          <w:kern w:val="0"/>
          <w:sz w:val="32"/>
          <w:szCs w:val="32"/>
          <w:u w:val="none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举办节庆、晚会、论坛、赛事活动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，经费预算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6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楷体_GB2312"/>
          <w:b/>
          <w:sz w:val="32"/>
          <w:szCs w:val="32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024年本部门政府采购预算总额 0万元，其中，货物类采购预算0万元；工程类采购预算0万元；服务类采购预算0万元。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eastAsia="仿宋_GB2312"/>
          <w:bCs/>
          <w:kern w:val="0"/>
          <w:sz w:val="32"/>
          <w:szCs w:val="32"/>
          <w:u w:val="none"/>
        </w:rPr>
      </w:pPr>
      <w:r>
        <w:rPr>
          <w:rFonts w:hint="eastAsia" w:eastAsia="楷体_GB2312"/>
          <w:b/>
          <w:sz w:val="32"/>
          <w:szCs w:val="32"/>
        </w:rPr>
        <w:t>（五）国有资产占用使用及新增资产配置情况：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截至2023年12月底，本单位共有公务用车1辆，其中，机要通信用车0辆，应急保障用车0 辆，执法执勤用车0辆，特种专业技术用车0辆，其他按照规定配备的公务用车1辆；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2024年</w:t>
      </w:r>
      <w:r>
        <w:rPr>
          <w:rFonts w:eastAsia="仿宋_GB2312"/>
          <w:bCs/>
          <w:kern w:val="0"/>
          <w:sz w:val="32"/>
          <w:szCs w:val="32"/>
          <w:u w:val="none"/>
        </w:rPr>
        <w:t>拟新增配置公务用车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新增配备单位价值100万元以上设备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</w:p>
    <w:p>
      <w:pPr>
        <w:widowControl/>
        <w:spacing w:line="600" w:lineRule="exact"/>
        <w:ind w:firstLine="660"/>
        <w:jc w:val="left"/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</w:pPr>
      <w:r>
        <w:rPr>
          <w:rFonts w:hint="eastAsia"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  <w:t>本单位所有支出实行绩效目标管理。纳入2024年单位整体支出绩效目标的金额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val="en-US" w:eastAsia="zh-CN"/>
        </w:rPr>
        <w:t>818.19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  <w:t>万元，其中，基本支出245.82万元，项目支出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val="en-US" w:eastAsia="zh-CN"/>
        </w:rPr>
        <w:t>572.37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七、名词解释</w:t>
      </w:r>
    </w:p>
    <w:p>
      <w:pPr>
        <w:widowControl/>
        <w:spacing w:line="600" w:lineRule="exact"/>
        <w:ind w:firstLine="660"/>
        <w:jc w:val="left"/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jc w:val="left"/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eastAsia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spacing w:line="600" w:lineRule="exac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eastAsia="方正小标宋_GBK"/>
          <w:bCs/>
          <w:kern w:val="0"/>
          <w:sz w:val="36"/>
          <w:szCs w:val="36"/>
        </w:rPr>
        <w:t>第二部分</w:t>
      </w:r>
      <w:r>
        <w:rPr>
          <w:rFonts w:eastAsia="方正小标宋_GBK"/>
          <w:bCs/>
          <w:kern w:val="0"/>
          <w:sz w:val="36"/>
          <w:szCs w:val="36"/>
        </w:rPr>
        <w:t xml:space="preserve"> 2024</w:t>
      </w:r>
      <w:r>
        <w:rPr>
          <w:rFonts w:hint="eastAsia" w:eastAsia="方正小标宋_GBK"/>
          <w:bCs/>
          <w:kern w:val="0"/>
          <w:sz w:val="36"/>
          <w:szCs w:val="36"/>
        </w:rPr>
        <w:t>年单位预算表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6668"/>
    <w:rsid w:val="0000598F"/>
    <w:rsid w:val="00052666"/>
    <w:rsid w:val="00075CD8"/>
    <w:rsid w:val="003B6E3B"/>
    <w:rsid w:val="003C46B7"/>
    <w:rsid w:val="00461FE5"/>
    <w:rsid w:val="00715FC9"/>
    <w:rsid w:val="0099181A"/>
    <w:rsid w:val="00A37DC5"/>
    <w:rsid w:val="00AB17CE"/>
    <w:rsid w:val="00B56275"/>
    <w:rsid w:val="00B75861"/>
    <w:rsid w:val="00BB268F"/>
    <w:rsid w:val="00D46BAE"/>
    <w:rsid w:val="00E46668"/>
    <w:rsid w:val="00ED5BF7"/>
    <w:rsid w:val="00EF7AC6"/>
    <w:rsid w:val="01766AEE"/>
    <w:rsid w:val="15237F13"/>
    <w:rsid w:val="2B946D3E"/>
    <w:rsid w:val="2FD408A4"/>
    <w:rsid w:val="34046EDE"/>
    <w:rsid w:val="34B60D2A"/>
    <w:rsid w:val="66D877A4"/>
    <w:rsid w:val="7292096A"/>
    <w:rsid w:val="7887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qFormat="1" w:unhideWhenUsed="0" w:uiPriority="99" w:semiHidden="0" w:name="Body Text First Indent 2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7"/>
    <w:qFormat/>
    <w:uiPriority w:val="99"/>
    <w:pPr>
      <w:ind w:firstLine="420" w:firstLineChars="200"/>
    </w:pPr>
  </w:style>
  <w:style w:type="paragraph" w:styleId="3">
    <w:name w:val="Body Text Indent"/>
    <w:basedOn w:val="1"/>
    <w:link w:val="6"/>
    <w:uiPriority w:val="99"/>
    <w:pPr>
      <w:ind w:firstLine="634"/>
    </w:pPr>
  </w:style>
  <w:style w:type="character" w:customStyle="1" w:styleId="6">
    <w:name w:val="Body Text Indent Char"/>
    <w:basedOn w:val="5"/>
    <w:link w:val="3"/>
    <w:semiHidden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7">
    <w:name w:val="Body Text First Indent 2 Char"/>
    <w:basedOn w:val="6"/>
    <w:link w:val="2"/>
    <w:semiHidden/>
    <w:locked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8</Pages>
  <Words>424</Words>
  <Characters>2423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2024-03-05T07:00:00Z</dcterms:created>
  <dc:creator>lenovo</dc:creator>
  <cp:lastModifiedBy>lenovo</cp:lastModifiedBy>
  <cp:lastPrinted>2024-03-05T07:01:00Z</cp:lastPrinted>
  <dcterms:modified xsi:type="dcterms:W3CDTF">2024-03-07T13:41:32Z</dcterms:modified>
  <dc:title>2024年省农业农村信息中心预算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