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10.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jc w:val="center"/>
        <w:rPr>
          <w:sz w:val="56"/>
          <w:szCs w:val="56"/>
        </w:rPr>
      </w:pPr>
    </w:p>
    <w:p>
      <w:pPr>
        <w:pStyle w:val="13"/>
        <w:jc w:val="center"/>
        <w:rPr>
          <w:sz w:val="56"/>
          <w:szCs w:val="56"/>
        </w:rPr>
      </w:pPr>
    </w:p>
    <w:p>
      <w:pPr>
        <w:pStyle w:val="13"/>
        <w:jc w:val="center"/>
        <w:rPr>
          <w:sz w:val="84"/>
          <w:szCs w:val="84"/>
        </w:rPr>
      </w:pPr>
    </w:p>
    <w:p>
      <w:pPr>
        <w:pStyle w:val="13"/>
        <w:jc w:val="center"/>
        <w:rPr>
          <w:sz w:val="84"/>
          <w:szCs w:val="84"/>
        </w:rPr>
      </w:pPr>
    </w:p>
    <w:p>
      <w:pPr>
        <w:pStyle w:val="13"/>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202</w:t>
      </w:r>
      <w:r>
        <w:rPr>
          <w:rFonts w:hint="eastAsia" w:ascii="方正小标宋_GBK" w:hAnsi="方正小标宋_GBK" w:eastAsia="方正小标宋_GBK" w:cs="方正小标宋_GBK"/>
          <w:sz w:val="84"/>
          <w:szCs w:val="84"/>
          <w:lang w:val="en-US" w:eastAsia="zh-CN"/>
        </w:rPr>
        <w:t>2</w:t>
      </w:r>
      <w:r>
        <w:rPr>
          <w:rFonts w:hint="eastAsia" w:ascii="方正小标宋_GBK" w:hAnsi="方正小标宋_GBK" w:eastAsia="方正小标宋_GBK" w:cs="方正小标宋_GBK"/>
          <w:sz w:val="84"/>
          <w:szCs w:val="84"/>
        </w:rPr>
        <w:t>年度</w:t>
      </w:r>
    </w:p>
    <w:p>
      <w:pPr>
        <w:pStyle w:val="13"/>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lang w:eastAsia="zh-CN"/>
        </w:rPr>
        <w:t>湖南省饲料工业办公室</w:t>
      </w:r>
      <w:r>
        <w:rPr>
          <w:rFonts w:hint="eastAsia" w:ascii="方正小标宋_GBK" w:hAnsi="方正小标宋_GBK" w:eastAsia="方正小标宋_GBK" w:cs="方正小标宋_GBK"/>
          <w:sz w:val="84"/>
          <w:szCs w:val="84"/>
        </w:rPr>
        <w:t>部门决算</w:t>
      </w:r>
    </w:p>
    <w:p>
      <w:pPr>
        <w:pStyle w:val="13"/>
        <w:jc w:val="center"/>
        <w:rPr>
          <w:rFonts w:hint="eastAsia" w:ascii="方正小标宋_GBK" w:hAnsi="方正小标宋_GBK" w:eastAsia="方正小标宋_GBK" w:cs="方正小标宋_GBK"/>
          <w:sz w:val="56"/>
          <w:szCs w:val="56"/>
        </w:rPr>
      </w:pPr>
    </w:p>
    <w:p>
      <w:pPr>
        <w:pStyle w:val="13"/>
        <w:jc w:val="center"/>
        <w:rPr>
          <w:sz w:val="56"/>
          <w:szCs w:val="56"/>
        </w:rPr>
      </w:pPr>
    </w:p>
    <w:p>
      <w:pPr>
        <w:pStyle w:val="13"/>
        <w:jc w:val="center"/>
        <w:rPr>
          <w:sz w:val="56"/>
          <w:szCs w:val="56"/>
        </w:rPr>
      </w:pPr>
    </w:p>
    <w:p>
      <w:pPr>
        <w:pStyle w:val="13"/>
        <w:jc w:val="center"/>
        <w:rPr>
          <w:sz w:val="56"/>
          <w:szCs w:val="56"/>
        </w:rPr>
      </w:pPr>
    </w:p>
    <w:p>
      <w:pPr>
        <w:pStyle w:val="13"/>
        <w:jc w:val="center"/>
        <w:rPr>
          <w:sz w:val="32"/>
          <w:szCs w:val="32"/>
        </w:rPr>
      </w:pPr>
    </w:p>
    <w:p>
      <w:pPr>
        <w:pStyle w:val="13"/>
        <w:jc w:val="center"/>
        <w:rPr>
          <w:sz w:val="32"/>
          <w:szCs w:val="32"/>
        </w:rPr>
      </w:pPr>
    </w:p>
    <w:p>
      <w:pPr>
        <w:pStyle w:val="13"/>
        <w:jc w:val="center"/>
        <w:rPr>
          <w:sz w:val="32"/>
          <w:szCs w:val="32"/>
        </w:rPr>
      </w:pPr>
    </w:p>
    <w:p>
      <w:pPr>
        <w:pStyle w:val="13"/>
        <w:spacing w:line="500" w:lineRule="exact"/>
        <w:jc w:val="center"/>
        <w:rPr>
          <w:b/>
          <w:sz w:val="36"/>
          <w:szCs w:val="28"/>
        </w:rPr>
      </w:pPr>
      <w:r>
        <w:rPr>
          <w:rFonts w:hint="eastAsia"/>
          <w:b/>
          <w:sz w:val="36"/>
          <w:szCs w:val="28"/>
        </w:rPr>
        <w:t>目录</w:t>
      </w:r>
    </w:p>
    <w:p>
      <w:pPr>
        <w:pStyle w:val="13"/>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第一部分</w:t>
      </w:r>
      <w:r>
        <w:rPr>
          <w:rFonts w:hint="eastAsia" w:ascii="黑体" w:hAnsi="黑体" w:eastAsia="黑体" w:cs="黑体"/>
          <w:b w:val="0"/>
          <w:bCs/>
          <w:sz w:val="28"/>
          <w:szCs w:val="28"/>
          <w:lang w:val="en-US" w:eastAsia="zh-CN"/>
        </w:rPr>
        <w:t xml:space="preserve"> </w:t>
      </w:r>
      <w:r>
        <w:rPr>
          <w:rFonts w:hint="eastAsia" w:hAnsi="黑体" w:cs="黑体"/>
          <w:b w:val="0"/>
          <w:bCs/>
          <w:sz w:val="28"/>
          <w:szCs w:val="28"/>
          <w:lang w:eastAsia="zh-CN"/>
        </w:rPr>
        <w:t>湖南省饲料工业办公室</w:t>
      </w:r>
      <w:r>
        <w:rPr>
          <w:rFonts w:hint="eastAsia" w:ascii="黑体" w:hAnsi="黑体" w:eastAsia="黑体" w:cs="黑体"/>
          <w:b w:val="0"/>
          <w:bCs/>
          <w:sz w:val="28"/>
          <w:szCs w:val="28"/>
        </w:rPr>
        <w:t>概况</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一、部门职责</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二、机构设置</w:t>
      </w:r>
    </w:p>
    <w:p>
      <w:pPr>
        <w:pStyle w:val="13"/>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第二部分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部门决算表</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一、收入支出决算总表</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二、收入决算表</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三、支出决算表</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四、财政拨款收入支出决算总表</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五、一般公共预算财政拨款支出决算表</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六、一般公共预算财政拨款基本支出决算明细表</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七、政府性基金预算财政拨款收入支出决算表</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八、国有资本经营预算财政拨款支出决算表</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九、财政拨款“三公”经费支出决算表</w:t>
      </w:r>
    </w:p>
    <w:p>
      <w:pPr>
        <w:pStyle w:val="13"/>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第三部分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部门决算情况说明</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一、收入支出决算总体情况说明</w:t>
      </w:r>
    </w:p>
    <w:p>
      <w:pPr>
        <w:spacing w:line="500" w:lineRule="exact"/>
        <w:ind w:firstLine="700" w:firstLineChars="250"/>
        <w:jc w:val="left"/>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二、收入决算情况说明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三、支出决算情况说明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四、财政拨款收入支出决算总体情况说明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五、一般公共预算财政拨款支出决算情况说明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六、一般公共预算财政拨款基本支出决算情况说明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七、一般公共预算财政拨款三公经费支出决算情况说明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八、政府性基金预算收入支出决算情况</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九、关于机关运行经费支出说明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十、一般性支出情况说明</w:t>
      </w:r>
    </w:p>
    <w:p>
      <w:pPr>
        <w:autoSpaceDE w:val="0"/>
        <w:autoSpaceDN w:val="0"/>
        <w:adjustRightInd w:val="0"/>
        <w:spacing w:line="500" w:lineRule="exact"/>
        <w:ind w:firstLine="700" w:firstLineChars="250"/>
        <w:jc w:val="left"/>
        <w:rPr>
          <w:rFonts w:hint="eastAsia"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十一、关于政府采购支出说明</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十二、关于国有资产占用情况说明</w:t>
      </w:r>
    </w:p>
    <w:p>
      <w:pPr>
        <w:pStyle w:val="13"/>
        <w:spacing w:line="500" w:lineRule="exact"/>
        <w:ind w:firstLine="700" w:firstLineChars="25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十三、关于预算绩效情况的说明</w:t>
      </w:r>
    </w:p>
    <w:p>
      <w:pPr>
        <w:pStyle w:val="13"/>
        <w:spacing w:line="500" w:lineRule="exact"/>
        <w:rPr>
          <w:rFonts w:hint="eastAsia" w:ascii="黑体" w:hAnsi="黑体" w:eastAsia="黑体" w:cs="黑体"/>
          <w:b w:val="0"/>
          <w:bCs/>
          <w:sz w:val="28"/>
          <w:szCs w:val="28"/>
        </w:rPr>
      </w:pPr>
      <w:r>
        <w:rPr>
          <w:rFonts w:hint="eastAsia" w:ascii="黑体" w:hAnsi="黑体" w:eastAsia="黑体" w:cs="黑体"/>
          <w:b w:val="0"/>
          <w:bCs/>
          <w:sz w:val="28"/>
          <w:szCs w:val="28"/>
        </w:rPr>
        <w:t>第四部分</w:t>
      </w:r>
      <w:r>
        <w:rPr>
          <w:rFonts w:hint="eastAsia" w:ascii="黑体" w:hAnsi="黑体" w:eastAsia="黑体" w:cs="黑体"/>
          <w:b w:val="0"/>
          <w:bCs/>
          <w:sz w:val="28"/>
          <w:szCs w:val="28"/>
          <w:lang w:val="en-US" w:eastAsia="zh-CN"/>
        </w:rPr>
        <w:t xml:space="preserve"> </w:t>
      </w:r>
      <w:r>
        <w:rPr>
          <w:rFonts w:hint="eastAsia" w:ascii="黑体" w:hAnsi="黑体" w:eastAsia="黑体" w:cs="黑体"/>
          <w:b w:val="0"/>
          <w:bCs/>
          <w:sz w:val="28"/>
          <w:szCs w:val="28"/>
        </w:rPr>
        <w:t>名词解释</w:t>
      </w:r>
    </w:p>
    <w:p>
      <w:pPr>
        <w:jc w:val="center"/>
        <w:rPr>
          <w:sz w:val="72"/>
          <w:szCs w:val="72"/>
        </w:rPr>
      </w:pPr>
    </w:p>
    <w:p>
      <w:pPr>
        <w:jc w:val="center"/>
        <w:rPr>
          <w:sz w:val="72"/>
          <w:szCs w:val="72"/>
        </w:rPr>
      </w:pPr>
    </w:p>
    <w:p>
      <w:pPr>
        <w:jc w:val="center"/>
        <w:rPr>
          <w:sz w:val="72"/>
          <w:szCs w:val="72"/>
        </w:rPr>
      </w:pPr>
    </w:p>
    <w:p>
      <w:pPr>
        <w:jc w:val="center"/>
        <w:rPr>
          <w:sz w:val="72"/>
          <w:szCs w:val="72"/>
        </w:rPr>
      </w:pPr>
    </w:p>
    <w:p>
      <w:pPr>
        <w:rPr>
          <w:rFonts w:hint="eastAsia" w:ascii="方正小标宋_GBK" w:hAnsi="方正小标宋_GBK" w:eastAsia="方正小标宋_GBK" w:cs="方正小标宋_GBK"/>
          <w:sz w:val="72"/>
          <w:szCs w:val="72"/>
        </w:rPr>
      </w:pPr>
    </w:p>
    <w:p>
      <w:pPr>
        <w:pStyle w:val="13"/>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 xml:space="preserve">第一部分 </w:t>
      </w:r>
    </w:p>
    <w:p>
      <w:pPr>
        <w:pStyle w:val="13"/>
        <w:jc w:val="center"/>
        <w:rPr>
          <w:rFonts w:hint="eastAsia" w:ascii="方正小标宋_GBK" w:hAnsi="方正小标宋_GBK" w:eastAsia="方正小标宋_GBK" w:cs="方正小标宋_GBK"/>
          <w:sz w:val="84"/>
          <w:szCs w:val="84"/>
        </w:rPr>
      </w:pPr>
    </w:p>
    <w:p>
      <w:pPr>
        <w:pStyle w:val="13"/>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lang w:eastAsia="zh-CN"/>
        </w:rPr>
        <w:t>湖南省饲料工业办公室</w:t>
      </w:r>
      <w:r>
        <w:rPr>
          <w:rFonts w:hint="eastAsia" w:ascii="方正小标宋_GBK" w:hAnsi="方正小标宋_GBK" w:eastAsia="方正小标宋_GBK" w:cs="方正小标宋_GBK"/>
          <w:sz w:val="84"/>
          <w:szCs w:val="84"/>
        </w:rPr>
        <w:t>概况</w:t>
      </w:r>
    </w:p>
    <w:p>
      <w:pPr>
        <w:jc w:val="center"/>
        <w:rPr>
          <w:rFonts w:hint="eastAsia" w:ascii="方正小标宋_GBK" w:hAnsi="方正小标宋_GBK" w:eastAsia="方正小标宋_GBK" w:cs="方正小标宋_GBK"/>
          <w:sz w:val="72"/>
          <w:szCs w:val="72"/>
        </w:rPr>
      </w:pPr>
    </w:p>
    <w:p>
      <w:pPr>
        <w:jc w:val="center"/>
        <w:rPr>
          <w:rFonts w:hint="eastAsia" w:ascii="方正小标宋_GBK" w:hAnsi="方正小标宋_GBK" w:eastAsia="方正小标宋_GBK" w:cs="方正小标宋_GBK"/>
          <w:sz w:val="72"/>
          <w:szCs w:val="72"/>
        </w:rPr>
      </w:pPr>
    </w:p>
    <w:p>
      <w:pPr>
        <w:jc w:val="center"/>
        <w:rPr>
          <w:sz w:val="72"/>
          <w:szCs w:val="72"/>
        </w:rPr>
      </w:pPr>
    </w:p>
    <w:p>
      <w:pPr>
        <w:pStyle w:val="2"/>
        <w:rPr>
          <w:sz w:val="72"/>
          <w:szCs w:val="72"/>
        </w:rPr>
      </w:pPr>
    </w:p>
    <w:p>
      <w:pPr>
        <w:pStyle w:val="4"/>
        <w:rPr>
          <w:sz w:val="72"/>
          <w:szCs w:val="72"/>
        </w:rPr>
      </w:pPr>
    </w:p>
    <w:p/>
    <w:p>
      <w:pPr>
        <w:jc w:val="center"/>
        <w:rPr>
          <w:sz w:val="72"/>
          <w:szCs w:val="72"/>
        </w:rPr>
      </w:pPr>
    </w:p>
    <w:p>
      <w:pPr>
        <w:pStyle w:val="14"/>
        <w:numPr>
          <w:ilvl w:val="0"/>
          <w:numId w:val="1"/>
        </w:numPr>
        <w:ind w:firstLineChars="0"/>
        <w:jc w:val="left"/>
        <w:rPr>
          <w:rFonts w:hint="eastAsia" w:ascii="黑体" w:hAnsi="黑体" w:eastAsia="黑体" w:cs="黑体"/>
          <w:b w:val="0"/>
          <w:bCs w:val="0"/>
          <w:sz w:val="32"/>
          <w:szCs w:val="32"/>
        </w:rPr>
      </w:pPr>
      <w:r>
        <w:rPr>
          <w:rFonts w:hint="eastAsia" w:ascii="黑体" w:hAnsi="黑体" w:eastAsia="黑体" w:cs="黑体"/>
          <w:b w:val="0"/>
          <w:bCs w:val="0"/>
          <w:sz w:val="32"/>
          <w:szCs w:val="32"/>
        </w:rPr>
        <w:t>部门职责</w:t>
      </w:r>
    </w:p>
    <w:p>
      <w:pPr>
        <w:widowControl/>
        <w:spacing w:line="600" w:lineRule="exact"/>
        <w:ind w:firstLine="640" w:firstLineChars="200"/>
        <w:rPr>
          <w:rFonts w:hint="eastAsia" w:ascii="Times New Roman" w:hAnsi="Times New Roman" w:eastAsia="仿宋_GB2312" w:cs="仿宋_GB2312"/>
          <w:sz w:val="32"/>
          <w:szCs w:val="32"/>
        </w:rPr>
      </w:pPr>
      <w:r>
        <w:rPr>
          <w:rFonts w:hint="eastAsia" w:ascii="Times New Roman" w:hAnsi="Times New Roman" w:eastAsia="仿宋_GB2312" w:cs="仿宋_GB2312"/>
          <w:sz w:val="32"/>
          <w:szCs w:val="32"/>
        </w:rPr>
        <w:t>湖南省饲料工业办公室是湖南省农业农村厅下属正处级参公事业单位，受省农业农村厅委托，主要承担全省饲料和饲料添加剂行政许可事务性工作、负责饲料产品质量安全监管、行业服务与指导等相关业务工作。</w:t>
      </w:r>
    </w:p>
    <w:p>
      <w:pPr>
        <w:widowControl/>
        <w:spacing w:line="600" w:lineRule="exact"/>
        <w:rPr>
          <w:rFonts w:hint="eastAsia" w:ascii="黑体" w:hAnsi="黑体" w:eastAsia="黑体" w:cs="黑体"/>
          <w:b w:val="0"/>
          <w:bCs/>
          <w:kern w:val="0"/>
          <w:sz w:val="32"/>
          <w:szCs w:val="32"/>
        </w:rPr>
      </w:pPr>
      <w:r>
        <w:rPr>
          <w:rFonts w:hint="eastAsia" w:ascii="黑体" w:hAnsi="黑体" w:eastAsia="黑体" w:cs="黑体"/>
          <w:b w:val="0"/>
          <w:bCs/>
          <w:kern w:val="0"/>
          <w:sz w:val="32"/>
          <w:szCs w:val="32"/>
        </w:rPr>
        <w:t>二、机构设置及决算单位构成</w:t>
      </w:r>
    </w:p>
    <w:p>
      <w:pPr>
        <w:widowControl/>
        <w:spacing w:line="600" w:lineRule="exact"/>
        <w:ind w:firstLine="640" w:firstLineChars="200"/>
        <w:rPr>
          <w:rFonts w:hint="eastAsia" w:ascii="Times New Roman" w:hAnsi="Times New Roman" w:eastAsia="仿宋_GB2312" w:cs="仿宋_GB2312"/>
          <w:bCs/>
          <w:kern w:val="0"/>
          <w:sz w:val="32"/>
          <w:szCs w:val="32"/>
        </w:rPr>
      </w:pPr>
      <w:r>
        <w:rPr>
          <w:rFonts w:hint="eastAsia" w:ascii="Times New Roman" w:hAnsi="Times New Roman" w:eastAsia="仿宋_GB2312" w:cs="仿宋_GB2312"/>
          <w:bCs/>
          <w:kern w:val="0"/>
          <w:sz w:val="32"/>
          <w:szCs w:val="32"/>
        </w:rPr>
        <w:t>（一）内设机构设置。湖南省饲料工业办公室现有在职干部</w:t>
      </w:r>
      <w:r>
        <w:rPr>
          <w:rFonts w:hint="eastAsia" w:ascii="Times New Roman" w:hAnsi="Times New Roman" w:eastAsia="仿宋_GB2312" w:cs="仿宋_GB2312"/>
          <w:bCs/>
          <w:kern w:val="0"/>
          <w:sz w:val="32"/>
          <w:szCs w:val="32"/>
          <w:lang w:val="en-US" w:eastAsia="zh-CN"/>
        </w:rPr>
        <w:t>7</w:t>
      </w:r>
      <w:r>
        <w:rPr>
          <w:rFonts w:hint="eastAsia" w:ascii="Times New Roman" w:hAnsi="Times New Roman" w:eastAsia="仿宋_GB2312" w:cs="仿宋_GB2312"/>
          <w:bCs/>
          <w:kern w:val="0"/>
          <w:sz w:val="32"/>
          <w:szCs w:val="32"/>
        </w:rPr>
        <w:t>名，退休人员4名，无内设科室。</w:t>
      </w:r>
    </w:p>
    <w:p>
      <w:pPr>
        <w:widowControl/>
        <w:spacing w:line="600" w:lineRule="exact"/>
        <w:ind w:firstLine="640" w:firstLineChars="200"/>
        <w:rPr>
          <w:rFonts w:hint="eastAsia" w:ascii="Times New Roman" w:hAnsi="Times New Roman" w:eastAsia="仿宋_GB2312" w:cs="仿宋_GB2312"/>
          <w:bCs/>
          <w:kern w:val="0"/>
          <w:sz w:val="32"/>
          <w:szCs w:val="32"/>
          <w:lang w:eastAsia="zh-CN"/>
        </w:rPr>
      </w:pPr>
      <w:r>
        <w:rPr>
          <w:rFonts w:hint="eastAsia" w:ascii="Times New Roman" w:hAnsi="Times New Roman" w:eastAsia="仿宋_GB2312" w:cs="仿宋_GB2312"/>
          <w:bCs/>
          <w:kern w:val="0"/>
          <w:sz w:val="32"/>
          <w:szCs w:val="32"/>
        </w:rPr>
        <w:t>（二）决算单位构成。湖南省饲料工业办公室202</w:t>
      </w:r>
      <w:r>
        <w:rPr>
          <w:rFonts w:hint="eastAsia" w:ascii="Times New Roman" w:hAnsi="Times New Roman" w:eastAsia="仿宋_GB2312" w:cs="仿宋_GB2312"/>
          <w:bCs/>
          <w:kern w:val="0"/>
          <w:sz w:val="32"/>
          <w:szCs w:val="32"/>
          <w:lang w:val="en-US" w:eastAsia="zh-CN"/>
        </w:rPr>
        <w:t>2</w:t>
      </w:r>
      <w:r>
        <w:rPr>
          <w:rFonts w:hint="eastAsia" w:ascii="Times New Roman" w:hAnsi="Times New Roman" w:eastAsia="仿宋_GB2312" w:cs="仿宋_GB2312"/>
          <w:bCs/>
          <w:kern w:val="0"/>
          <w:sz w:val="32"/>
          <w:szCs w:val="32"/>
        </w:rPr>
        <w:t>年部门决算汇总公开单位构成包括：湖南省饲料工业办公室本级</w:t>
      </w:r>
      <w:r>
        <w:rPr>
          <w:rFonts w:hint="eastAsia" w:ascii="Times New Roman" w:hAnsi="Times New Roman" w:eastAsia="仿宋_GB2312" w:cs="仿宋_GB2312"/>
          <w:bCs/>
          <w:kern w:val="0"/>
          <w:sz w:val="32"/>
          <w:szCs w:val="32"/>
          <w:lang w:eastAsia="zh-CN"/>
        </w:rPr>
        <w:t>。</w:t>
      </w:r>
    </w:p>
    <w:p>
      <w:pPr>
        <w:jc w:val="left"/>
        <w:rPr>
          <w:rFonts w:ascii="仿宋_GB2312" w:eastAsia="仿宋_GB2312" w:hAnsiTheme="minorEastAsia"/>
          <w:sz w:val="28"/>
          <w:szCs w:val="32"/>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sz w:val="72"/>
          <w:szCs w:val="72"/>
        </w:rPr>
      </w:pPr>
    </w:p>
    <w:p>
      <w:pPr>
        <w:jc w:val="center"/>
        <w:rPr>
          <w:sz w:val="72"/>
          <w:szCs w:val="72"/>
        </w:rPr>
      </w:pPr>
    </w:p>
    <w:p>
      <w:pPr>
        <w:jc w:val="center"/>
        <w:rPr>
          <w:sz w:val="72"/>
          <w:szCs w:val="72"/>
        </w:rPr>
      </w:pPr>
    </w:p>
    <w:p>
      <w:pPr>
        <w:jc w:val="center"/>
        <w:rPr>
          <w:sz w:val="72"/>
          <w:szCs w:val="72"/>
        </w:rPr>
      </w:pPr>
    </w:p>
    <w:p>
      <w:pPr>
        <w:pStyle w:val="13"/>
        <w:jc w:val="center"/>
        <w:rPr>
          <w:rFonts w:hint="eastAsia" w:ascii="方正小标宋_GBK" w:hAnsi="方正小标宋_GBK" w:eastAsia="方正小标宋_GBK" w:cs="方正小标宋_GBK"/>
          <w:sz w:val="84"/>
          <w:szCs w:val="84"/>
        </w:rPr>
      </w:pPr>
    </w:p>
    <w:p>
      <w:pPr>
        <w:pStyle w:val="13"/>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第二部分</w:t>
      </w:r>
    </w:p>
    <w:p>
      <w:pPr>
        <w:pStyle w:val="13"/>
        <w:jc w:val="center"/>
        <w:rPr>
          <w:rFonts w:hint="eastAsia" w:ascii="方正小标宋_GBK" w:hAnsi="方正小标宋_GBK" w:eastAsia="方正小标宋_GBK" w:cs="方正小标宋_GBK"/>
          <w:sz w:val="84"/>
          <w:szCs w:val="84"/>
        </w:rPr>
      </w:pPr>
    </w:p>
    <w:p>
      <w:pPr>
        <w:pStyle w:val="13"/>
        <w:jc w:val="center"/>
        <w:rPr>
          <w:rFonts w:hint="eastAsia" w:ascii="方正小标宋_GBK" w:hAnsi="方正小标宋_GBK" w:eastAsia="方正小标宋_GBK" w:cs="方正小标宋_GBK"/>
          <w:sz w:val="84"/>
          <w:szCs w:val="84"/>
        </w:rPr>
      </w:pPr>
      <w:r>
        <w:rPr>
          <w:rFonts w:hint="eastAsia" w:ascii="方正小标宋_GBK" w:hAnsi="方正小标宋_GBK" w:eastAsia="方正小标宋_GBK" w:cs="方正小标宋_GBK"/>
          <w:sz w:val="84"/>
          <w:szCs w:val="84"/>
        </w:rPr>
        <w:t>部门决算表</w:t>
      </w:r>
    </w:p>
    <w:p>
      <w:pPr>
        <w:jc w:val="center"/>
        <w:rPr>
          <w:sz w:val="72"/>
          <w:szCs w:val="72"/>
        </w:rPr>
      </w:pPr>
    </w:p>
    <w:p>
      <w:pPr>
        <w:jc w:val="center"/>
        <w:rPr>
          <w:sz w:val="72"/>
          <w:szCs w:val="72"/>
        </w:rPr>
      </w:pPr>
    </w:p>
    <w:p>
      <w:pPr>
        <w:jc w:val="center"/>
        <w:rPr>
          <w:sz w:val="72"/>
          <w:szCs w:val="72"/>
        </w:rPr>
      </w:pPr>
    </w:p>
    <w:p>
      <w:pPr>
        <w:jc w:val="center"/>
        <w:rPr>
          <w:sz w:val="72"/>
          <w:szCs w:val="72"/>
        </w:rPr>
      </w:pPr>
    </w:p>
    <w:p>
      <w:pPr>
        <w:jc w:val="center"/>
        <w:rPr>
          <w:sz w:val="72"/>
          <w:szCs w:val="72"/>
        </w:rPr>
      </w:pPr>
    </w:p>
    <w:p>
      <w:pPr>
        <w:jc w:val="center"/>
        <w:rPr>
          <w:sz w:val="72"/>
          <w:szCs w:val="72"/>
        </w:rPr>
      </w:pPr>
    </w:p>
    <w:p>
      <w:pPr>
        <w:jc w:val="left"/>
        <w:rPr>
          <w:sz w:val="32"/>
          <w:szCs w:val="32"/>
        </w:rPr>
      </w:pPr>
    </w:p>
    <w:p>
      <w:pPr>
        <w:jc w:val="left"/>
        <w:rPr>
          <w:rFonts w:asciiTheme="minorEastAsia" w:hAnsiTheme="minorEastAsia"/>
          <w:sz w:val="32"/>
          <w:szCs w:val="32"/>
        </w:rPr>
        <w:sectPr>
          <w:pgSz w:w="11906" w:h="16838"/>
          <w:pgMar w:top="720" w:right="720" w:bottom="720" w:left="720" w:header="851" w:footer="992" w:gutter="0"/>
          <w:cols w:space="425" w:num="1"/>
          <w:docGrid w:type="lines" w:linePitch="312" w:charSpace="0"/>
        </w:sectPr>
      </w:pPr>
    </w:p>
    <w:p>
      <w:pPr>
        <w:widowControl/>
        <w:rPr>
          <w:rFonts w:ascii="Times New Roman" w:hAnsi="Times New Roman" w:eastAsia="方正小标宋_GBK" w:cs="Times New Roman"/>
          <w:color w:val="000000"/>
          <w:kern w:val="0"/>
          <w:sz w:val="36"/>
          <w:szCs w:val="36"/>
        </w:rPr>
      </w:pPr>
      <w:r>
        <w:drawing>
          <wp:inline distT="0" distB="0" distL="114300" distR="114300">
            <wp:extent cx="9770745" cy="6638290"/>
            <wp:effectExtent l="0" t="0" r="8255" b="381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4"/>
                    <a:stretch>
                      <a:fillRect/>
                    </a:stretch>
                  </pic:blipFill>
                  <pic:spPr>
                    <a:xfrm>
                      <a:off x="0" y="0"/>
                      <a:ext cx="9770745" cy="6638290"/>
                    </a:xfrm>
                    <a:prstGeom prst="rect">
                      <a:avLst/>
                    </a:prstGeom>
                    <a:noFill/>
                    <a:ln>
                      <a:noFill/>
                    </a:ln>
                  </pic:spPr>
                </pic:pic>
              </a:graphicData>
            </a:graphic>
          </wp:inline>
        </w:drawing>
      </w:r>
      <w:r>
        <w:drawing>
          <wp:inline distT="0" distB="0" distL="114300" distR="114300">
            <wp:extent cx="9773920" cy="3242310"/>
            <wp:effectExtent l="0" t="0" r="508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9773920" cy="3242310"/>
                    </a:xfrm>
                    <a:prstGeom prst="rect">
                      <a:avLst/>
                    </a:prstGeom>
                    <a:noFill/>
                    <a:ln>
                      <a:noFill/>
                    </a:ln>
                  </pic:spPr>
                </pic:pic>
              </a:graphicData>
            </a:graphic>
          </wp:inline>
        </w:drawing>
      </w:r>
    </w:p>
    <w:p>
      <w:pPr>
        <w:widowControl/>
        <w:jc w:val="both"/>
        <w:rPr>
          <w:rFonts w:ascii="Times New Roman" w:hAnsi="Times New Roman" w:eastAsia="方正小标宋_GBK" w:cs="Times New Roman"/>
          <w:color w:val="000000"/>
          <w:kern w:val="0"/>
          <w:sz w:val="36"/>
          <w:szCs w:val="21"/>
        </w:rPr>
      </w:pPr>
    </w:p>
    <w:p>
      <w:pPr>
        <w:widowControl/>
        <w:jc w:val="left"/>
        <w:rPr>
          <w:rFonts w:ascii="Times New Roman" w:hAnsi="Times New Roman" w:eastAsia="仿宋_GB2312" w:cs="Times New Roman"/>
          <w:bCs/>
          <w:kern w:val="0"/>
          <w:szCs w:val="21"/>
        </w:rPr>
      </w:pPr>
      <w:bookmarkStart w:id="0" w:name="RANGE!A1:I22"/>
      <w:bookmarkEnd w:id="0"/>
    </w:p>
    <w:p>
      <w:pPr>
        <w:widowControl/>
        <w:jc w:val="left"/>
      </w:pPr>
      <w:r>
        <w:br w:type="page"/>
      </w:r>
      <w:r>
        <w:drawing>
          <wp:inline distT="0" distB="0" distL="114300" distR="114300">
            <wp:extent cx="9537700" cy="32512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9537700" cy="3251200"/>
                    </a:xfrm>
                    <a:prstGeom prst="rect">
                      <a:avLst/>
                    </a:prstGeom>
                    <a:noFill/>
                    <a:ln>
                      <a:noFill/>
                    </a:ln>
                  </pic:spPr>
                </pic:pic>
              </a:graphicData>
            </a:graphic>
          </wp:inline>
        </w:drawing>
      </w:r>
      <w:r>
        <w:drawing>
          <wp:inline distT="0" distB="0" distL="114300" distR="114300">
            <wp:extent cx="8590280" cy="6419850"/>
            <wp:effectExtent l="0" t="0" r="762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8590280" cy="6419850"/>
                    </a:xfrm>
                    <a:prstGeom prst="rect">
                      <a:avLst/>
                    </a:prstGeom>
                    <a:noFill/>
                    <a:ln>
                      <a:noFill/>
                    </a:ln>
                  </pic:spPr>
                </pic:pic>
              </a:graphicData>
            </a:graphic>
          </wp:inline>
        </w:drawing>
      </w:r>
      <w:r>
        <w:drawing>
          <wp:inline distT="0" distB="0" distL="114300" distR="114300">
            <wp:extent cx="8864600" cy="323215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8864600" cy="3232150"/>
                    </a:xfrm>
                    <a:prstGeom prst="rect">
                      <a:avLst/>
                    </a:prstGeom>
                    <a:noFill/>
                    <a:ln>
                      <a:noFill/>
                    </a:ln>
                  </pic:spPr>
                </pic:pic>
              </a:graphicData>
            </a:graphic>
          </wp:inline>
        </w:drawing>
      </w:r>
      <w:r>
        <w:drawing>
          <wp:inline distT="0" distB="0" distL="114300" distR="114300">
            <wp:extent cx="9770110" cy="5701030"/>
            <wp:effectExtent l="0" t="0" r="8890" b="127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9"/>
                    <a:stretch>
                      <a:fillRect/>
                    </a:stretch>
                  </pic:blipFill>
                  <pic:spPr>
                    <a:xfrm>
                      <a:off x="0" y="0"/>
                      <a:ext cx="9770110" cy="5701030"/>
                    </a:xfrm>
                    <a:prstGeom prst="rect">
                      <a:avLst/>
                    </a:prstGeom>
                    <a:noFill/>
                    <a:ln>
                      <a:noFill/>
                    </a:ln>
                  </pic:spPr>
                </pic:pic>
              </a:graphicData>
            </a:graphic>
          </wp:inline>
        </w:drawing>
      </w:r>
    </w:p>
    <w:p>
      <w:pPr>
        <w:pStyle w:val="2"/>
      </w:pPr>
    </w:p>
    <w:p>
      <w:pPr>
        <w:pStyle w:val="4"/>
      </w:pPr>
    </w:p>
    <w:p/>
    <w:p/>
    <w:p>
      <w:pPr>
        <w:pStyle w:val="2"/>
      </w:pPr>
    </w:p>
    <w:tbl>
      <w:tblPr>
        <w:tblStyle w:val="8"/>
        <w:tblW w:w="1536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03"/>
        <w:gridCol w:w="240"/>
        <w:gridCol w:w="1402"/>
        <w:gridCol w:w="2119"/>
        <w:gridCol w:w="2119"/>
        <w:gridCol w:w="2119"/>
        <w:gridCol w:w="2119"/>
        <w:gridCol w:w="2119"/>
        <w:gridCol w:w="21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690" w:hRule="atLeast"/>
        </w:trPr>
        <w:tc>
          <w:tcPr>
            <w:tcW w:w="15360" w:type="dxa"/>
            <w:gridSpan w:val="9"/>
            <w:tcBorders>
              <w:top w:val="nil"/>
              <w:left w:val="nil"/>
              <w:bottom w:val="nil"/>
              <w:right w:val="nil"/>
            </w:tcBorders>
            <w:shd w:val="clear" w:color="auto" w:fill="FFFFFF"/>
            <w:vAlign w:val="center"/>
          </w:tcPr>
          <w:p>
            <w:pPr>
              <w:keepNext w:val="0"/>
              <w:keepLines w:val="0"/>
              <w:widowControl/>
              <w:suppressLineNumbers w:val="0"/>
              <w:jc w:val="center"/>
              <w:textAlignment w:val="center"/>
              <w:rPr>
                <w:rFonts w:ascii="华文中宋" w:hAnsi="华文中宋" w:eastAsia="华文中宋" w:cs="华文中宋"/>
                <w:i w:val="0"/>
                <w:color w:val="000000"/>
                <w:sz w:val="32"/>
                <w:szCs w:val="32"/>
                <w:u w:val="none"/>
              </w:rPr>
            </w:pPr>
            <w:r>
              <w:rPr>
                <w:rFonts w:hint="eastAsia" w:ascii="华文中宋" w:hAnsi="华文中宋" w:eastAsia="华文中宋" w:cs="华文中宋"/>
                <w:i w:val="0"/>
                <w:color w:val="000000"/>
                <w:kern w:val="0"/>
                <w:sz w:val="32"/>
                <w:szCs w:val="32"/>
                <w:u w:val="none"/>
                <w:lang w:val="en-US" w:eastAsia="zh-CN"/>
              </w:rPr>
              <w:t>政府性基金预算财政拨款收入支出决算表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345" w:hRule="atLeast"/>
        </w:trPr>
        <w:tc>
          <w:tcPr>
            <w:tcW w:w="1003"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240"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1402"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20"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公开07表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90" w:hRule="atLeast"/>
        </w:trPr>
        <w:tc>
          <w:tcPr>
            <w:tcW w:w="4764" w:type="dxa"/>
            <w:gridSpan w:val="4"/>
            <w:tcBorders>
              <w:top w:val="nil"/>
              <w:left w:val="nil"/>
              <w:bottom w:val="nil"/>
              <w:right w:val="nil"/>
            </w:tcBorders>
            <w:shd w:val="clear" w:color="auto" w:fill="FFFFFF"/>
            <w:noWrap/>
            <w:vAlign w:val="center"/>
          </w:tcPr>
          <w:p>
            <w:pP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部门：湖南省饲料工业办公室</w:t>
            </w: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19"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2120"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单位：万元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59" w:hRule="atLeast"/>
        </w:trPr>
        <w:tc>
          <w:tcPr>
            <w:tcW w:w="264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 xml:space="preserve">项 </w:t>
            </w:r>
            <w:r>
              <w:rPr>
                <w:rStyle w:val="16"/>
                <w:lang w:val="en-US" w:eastAsia="zh-CN"/>
              </w:rPr>
              <w:t xml:space="preserve">   </w:t>
            </w:r>
            <w:r>
              <w:rPr>
                <w:rStyle w:val="17"/>
                <w:lang w:val="en-US" w:eastAsia="zh-CN"/>
              </w:rPr>
              <w:t>目</w:t>
            </w:r>
          </w:p>
        </w:tc>
        <w:tc>
          <w:tcPr>
            <w:tcW w:w="21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年初结转和结余</w:t>
            </w:r>
          </w:p>
        </w:tc>
        <w:tc>
          <w:tcPr>
            <w:tcW w:w="21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本年收入</w:t>
            </w:r>
          </w:p>
        </w:tc>
        <w:tc>
          <w:tcPr>
            <w:tcW w:w="635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本年支出</w:t>
            </w:r>
          </w:p>
        </w:tc>
        <w:tc>
          <w:tcPr>
            <w:tcW w:w="212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年末结转和结余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609" w:hRule="atLeast"/>
        </w:trPr>
        <w:tc>
          <w:tcPr>
            <w:tcW w:w="1243"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科目代码</w:t>
            </w:r>
          </w:p>
        </w:tc>
        <w:tc>
          <w:tcPr>
            <w:tcW w:w="140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科目名称</w:t>
            </w: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小计</w:t>
            </w:r>
          </w:p>
        </w:tc>
        <w:tc>
          <w:tcPr>
            <w:tcW w:w="21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 xml:space="preserve">基本支出  </w:t>
            </w:r>
          </w:p>
        </w:tc>
        <w:tc>
          <w:tcPr>
            <w:tcW w:w="21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项目支出</w:t>
            </w:r>
          </w:p>
        </w:tc>
        <w:tc>
          <w:tcPr>
            <w:tcW w:w="212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09" w:hRule="atLeast"/>
        </w:trPr>
        <w:tc>
          <w:tcPr>
            <w:tcW w:w="124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2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2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264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栏次</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1</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2</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3</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4</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5</w:t>
            </w: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264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合计</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0"/>
                <w:szCs w:val="20"/>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0"/>
                <w:szCs w:val="20"/>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140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2120"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725" w:hRule="atLeast"/>
        </w:trPr>
        <w:tc>
          <w:tcPr>
            <w:tcW w:w="15360" w:type="dxa"/>
            <w:gridSpan w:val="9"/>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r>
              <w:rPr>
                <w:rFonts w:hint="eastAsia" w:ascii="宋体" w:hAnsi="宋体" w:eastAsia="宋体" w:cs="宋体"/>
                <w:i w:val="0"/>
                <w:color w:val="000000"/>
                <w:kern w:val="0"/>
                <w:sz w:val="24"/>
                <w:szCs w:val="24"/>
                <w:u w:val="none"/>
                <w:lang w:val="en-US" w:eastAsia="zh-CN"/>
              </w:rPr>
              <w:t>注：本表反映部门本年度政府性基金预算财政拨款收入、支出及结转和结余情况。</w:t>
            </w:r>
          </w:p>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p>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r>
              <w:rPr>
                <w:rFonts w:hint="eastAsia" w:ascii="楷体" w:hAnsi="楷体" w:eastAsia="楷体" w:cs="楷体"/>
                <w:b/>
                <w:bCs/>
                <w:i w:val="0"/>
                <w:color w:val="auto"/>
                <w:kern w:val="0"/>
                <w:sz w:val="24"/>
                <w:szCs w:val="24"/>
                <w:u w:val="none"/>
                <w:lang w:val="en-US" w:eastAsia="zh-CN"/>
              </w:rPr>
              <w:t>说明：我单位没有政府性基金收入，也没有使用政府性基金安排的支出，故本表无数据。</w:t>
            </w:r>
          </w:p>
        </w:tc>
      </w:tr>
    </w:tbl>
    <w:p>
      <w:pPr>
        <w:widowControl/>
        <w:jc w:val="center"/>
        <w:rPr>
          <w:rFonts w:hint="eastAsia" w:ascii="Times New Roman" w:hAnsi="Times New Roman" w:eastAsia="方正小标宋_GBK" w:cs="Times New Roman"/>
          <w:color w:val="000000"/>
          <w:kern w:val="0"/>
          <w:sz w:val="36"/>
          <w:szCs w:val="36"/>
        </w:rPr>
      </w:pPr>
    </w:p>
    <w:p>
      <w:pPr>
        <w:rPr>
          <w:rFonts w:hint="eastAsia"/>
        </w:rPr>
      </w:pPr>
    </w:p>
    <w:tbl>
      <w:tblPr>
        <w:tblStyle w:val="8"/>
        <w:tblW w:w="1512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326"/>
        <w:gridCol w:w="701"/>
        <w:gridCol w:w="2292"/>
        <w:gridCol w:w="3315"/>
        <w:gridCol w:w="3315"/>
        <w:gridCol w:w="41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963" w:hRule="atLeast"/>
        </w:trPr>
        <w:tc>
          <w:tcPr>
            <w:tcW w:w="15120" w:type="dxa"/>
            <w:gridSpan w:val="6"/>
            <w:tcBorders>
              <w:top w:val="nil"/>
              <w:left w:val="nil"/>
              <w:bottom w:val="nil"/>
              <w:right w:val="nil"/>
            </w:tcBorders>
            <w:shd w:val="clear" w:color="auto" w:fill="FFFFFF"/>
            <w:vAlign w:val="center"/>
          </w:tcPr>
          <w:p>
            <w:pPr>
              <w:keepNext w:val="0"/>
              <w:keepLines w:val="0"/>
              <w:widowControl/>
              <w:suppressLineNumbers w:val="0"/>
              <w:jc w:val="center"/>
              <w:textAlignment w:val="center"/>
              <w:rPr>
                <w:rFonts w:ascii="华文中宋" w:hAnsi="华文中宋" w:eastAsia="华文中宋" w:cs="华文中宋"/>
                <w:i w:val="0"/>
                <w:color w:val="000000"/>
                <w:sz w:val="32"/>
                <w:szCs w:val="32"/>
                <w:u w:val="none"/>
              </w:rPr>
            </w:pPr>
            <w:r>
              <w:rPr>
                <w:rFonts w:hint="eastAsia" w:ascii="华文中宋" w:hAnsi="华文中宋" w:eastAsia="华文中宋" w:cs="华文中宋"/>
                <w:i w:val="0"/>
                <w:color w:val="000000"/>
                <w:kern w:val="0"/>
                <w:sz w:val="32"/>
                <w:szCs w:val="32"/>
                <w:u w:val="none"/>
                <w:lang w:val="en-US" w:eastAsia="zh-CN"/>
              </w:rPr>
              <w:t>国有资本经营预算财政拨款支出决算表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417" w:hRule="atLeast"/>
        </w:trPr>
        <w:tc>
          <w:tcPr>
            <w:tcW w:w="1326"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701"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2292" w:type="dxa"/>
            <w:tcBorders>
              <w:top w:val="nil"/>
              <w:left w:val="nil"/>
              <w:bottom w:val="nil"/>
              <w:right w:val="nil"/>
            </w:tcBorders>
            <w:shd w:val="clear" w:color="auto" w:fill="FFFFFF"/>
            <w:vAlign w:val="center"/>
          </w:tcPr>
          <w:p>
            <w:pPr>
              <w:jc w:val="center"/>
              <w:rPr>
                <w:rFonts w:hint="eastAsia" w:ascii="宋体" w:hAnsi="宋体" w:eastAsia="宋体" w:cs="宋体"/>
                <w:i w:val="0"/>
                <w:color w:val="000000"/>
                <w:sz w:val="20"/>
                <w:szCs w:val="20"/>
                <w:u w:val="none"/>
              </w:rPr>
            </w:pPr>
          </w:p>
        </w:tc>
        <w:tc>
          <w:tcPr>
            <w:tcW w:w="3315"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3315"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4171"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公开08表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417" w:hRule="atLeast"/>
        </w:trPr>
        <w:tc>
          <w:tcPr>
            <w:tcW w:w="4319" w:type="dxa"/>
            <w:gridSpan w:val="3"/>
            <w:tcBorders>
              <w:top w:val="nil"/>
              <w:left w:val="nil"/>
              <w:bottom w:val="nil"/>
              <w:right w:val="nil"/>
            </w:tcBorders>
            <w:shd w:val="clear" w:color="auto" w:fill="FFFFFF"/>
            <w:noWrap/>
            <w:vAlign w:val="center"/>
          </w:tcPr>
          <w:p>
            <w:pPr>
              <w:jc w:val="left"/>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部门：湖南省饲料工业办公室</w:t>
            </w:r>
          </w:p>
        </w:tc>
        <w:tc>
          <w:tcPr>
            <w:tcW w:w="3315"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3315"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4171"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单位：万元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43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 xml:space="preserve">项 </w:t>
            </w:r>
            <w:r>
              <w:rPr>
                <w:rFonts w:hint="eastAsia" w:ascii="宋体" w:hAnsi="宋体" w:eastAsia="宋体" w:cs="宋体"/>
                <w:i w:val="0"/>
                <w:color w:val="000000"/>
                <w:kern w:val="0"/>
                <w:sz w:val="22"/>
                <w:szCs w:val="22"/>
                <w:u w:val="none"/>
                <w:lang w:val="en-US" w:eastAsia="zh-CN"/>
              </w:rPr>
              <w:t xml:space="preserve">   </w:t>
            </w:r>
            <w:r>
              <w:rPr>
                <w:rStyle w:val="18"/>
                <w:lang w:val="en-US" w:eastAsia="zh-CN"/>
              </w:rPr>
              <w:t>目</w:t>
            </w:r>
          </w:p>
        </w:tc>
        <w:tc>
          <w:tcPr>
            <w:tcW w:w="1080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本年支出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2027"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科目代码</w:t>
            </w:r>
          </w:p>
        </w:tc>
        <w:tc>
          <w:tcPr>
            <w:tcW w:w="22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科目名称</w:t>
            </w:r>
          </w:p>
        </w:tc>
        <w:tc>
          <w:tcPr>
            <w:tcW w:w="33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合计</w:t>
            </w:r>
          </w:p>
        </w:tc>
        <w:tc>
          <w:tcPr>
            <w:tcW w:w="33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 xml:space="preserve">基本支出  </w:t>
            </w:r>
          </w:p>
        </w:tc>
        <w:tc>
          <w:tcPr>
            <w:tcW w:w="417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项目支出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2027"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33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33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417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2027"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33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33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417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43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栏次</w:t>
            </w: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1</w:t>
            </w: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2</w:t>
            </w: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43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合计</w:t>
            </w: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0"/>
                <w:szCs w:val="20"/>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0"/>
                <w:szCs w:val="20"/>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4"/>
                <w:szCs w:val="24"/>
                <w:u w:val="none"/>
              </w:rPr>
            </w:pPr>
          </w:p>
        </w:tc>
        <w:tc>
          <w:tcPr>
            <w:tcW w:w="2292"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3315"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c>
          <w:tcPr>
            <w:tcW w:w="417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976" w:hRule="atLeast"/>
        </w:trPr>
        <w:tc>
          <w:tcPr>
            <w:tcW w:w="15120" w:type="dxa"/>
            <w:gridSpan w:val="6"/>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r>
              <w:rPr>
                <w:rFonts w:hint="eastAsia" w:ascii="宋体" w:hAnsi="宋体" w:eastAsia="宋体" w:cs="宋体"/>
                <w:i w:val="0"/>
                <w:color w:val="000000"/>
                <w:kern w:val="0"/>
                <w:sz w:val="24"/>
                <w:szCs w:val="24"/>
                <w:u w:val="none"/>
                <w:lang w:val="en-US" w:eastAsia="zh-CN"/>
              </w:rPr>
              <w:t>注：本表反映部门本年度国有资本经营预算财政拨款支出情况。</w:t>
            </w:r>
          </w:p>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p>
          <w:p>
            <w:pPr>
              <w:keepNext w:val="0"/>
              <w:keepLines w:val="0"/>
              <w:widowControl/>
              <w:suppressLineNumbers w:val="0"/>
              <w:jc w:val="left"/>
              <w:textAlignment w:val="center"/>
              <w:rPr>
                <w:rFonts w:hint="eastAsia" w:ascii="宋体" w:hAnsi="宋体" w:eastAsia="宋体" w:cs="宋体"/>
                <w:i w:val="0"/>
                <w:color w:val="000000"/>
                <w:kern w:val="0"/>
                <w:sz w:val="24"/>
                <w:szCs w:val="24"/>
                <w:u w:val="none"/>
                <w:lang w:val="en-US" w:eastAsia="zh-CN"/>
              </w:rPr>
            </w:pPr>
            <w:r>
              <w:rPr>
                <w:rFonts w:hint="eastAsia" w:ascii="楷体" w:hAnsi="楷体" w:eastAsia="楷体" w:cs="楷体"/>
                <w:b/>
                <w:bCs/>
                <w:i w:val="0"/>
                <w:color w:val="auto"/>
                <w:kern w:val="0"/>
                <w:sz w:val="24"/>
                <w:szCs w:val="24"/>
                <w:u w:val="none"/>
                <w:lang w:val="en-US" w:eastAsia="zh-CN"/>
              </w:rPr>
              <w:t>说明：我单位没有使用国有资本经营预算安排的支出，故本表无数据。</w:t>
            </w:r>
          </w:p>
        </w:tc>
      </w:tr>
    </w:tbl>
    <w:p>
      <w:pPr>
        <w:widowControl/>
        <w:jc w:val="center"/>
        <w:rPr>
          <w:rFonts w:hint="eastAsia" w:ascii="Times New Roman" w:hAnsi="Times New Roman" w:eastAsia="方正小标宋_GBK" w:cs="Times New Roman"/>
          <w:color w:val="000000"/>
          <w:kern w:val="0"/>
          <w:sz w:val="36"/>
          <w:szCs w:val="36"/>
        </w:rPr>
      </w:pPr>
    </w:p>
    <w:tbl>
      <w:tblPr>
        <w:tblStyle w:val="8"/>
        <w:tblW w:w="1514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260"/>
        <w:gridCol w:w="1261"/>
        <w:gridCol w:w="1261"/>
        <w:gridCol w:w="1261"/>
        <w:gridCol w:w="1261"/>
        <w:gridCol w:w="1261"/>
        <w:gridCol w:w="1261"/>
        <w:gridCol w:w="1261"/>
        <w:gridCol w:w="1261"/>
        <w:gridCol w:w="1261"/>
        <w:gridCol w:w="1261"/>
        <w:gridCol w:w="127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840" w:hRule="atLeast"/>
        </w:trPr>
        <w:tc>
          <w:tcPr>
            <w:tcW w:w="15140" w:type="dxa"/>
            <w:gridSpan w:val="12"/>
            <w:tcBorders>
              <w:top w:val="nil"/>
              <w:left w:val="nil"/>
              <w:bottom w:val="nil"/>
              <w:right w:val="nil"/>
            </w:tcBorders>
            <w:shd w:val="clear" w:color="auto" w:fill="FFFFFF"/>
            <w:vAlign w:val="center"/>
          </w:tcPr>
          <w:p>
            <w:pPr>
              <w:keepNext w:val="0"/>
              <w:keepLines w:val="0"/>
              <w:widowControl/>
              <w:suppressLineNumbers w:val="0"/>
              <w:jc w:val="center"/>
              <w:textAlignment w:val="center"/>
              <w:rPr>
                <w:rFonts w:hint="eastAsia" w:ascii="华文中宋" w:hAnsi="华文中宋" w:eastAsia="华文中宋" w:cs="华文中宋"/>
                <w:i w:val="0"/>
                <w:color w:val="000000"/>
                <w:kern w:val="0"/>
                <w:sz w:val="32"/>
                <w:szCs w:val="32"/>
                <w:u w:val="none"/>
                <w:lang w:val="en-US" w:eastAsia="zh-CN"/>
              </w:rPr>
            </w:pPr>
          </w:p>
          <w:p>
            <w:pPr>
              <w:keepNext w:val="0"/>
              <w:keepLines w:val="0"/>
              <w:widowControl/>
              <w:suppressLineNumbers w:val="0"/>
              <w:jc w:val="center"/>
              <w:textAlignment w:val="center"/>
              <w:rPr>
                <w:rFonts w:ascii="华文中宋" w:hAnsi="华文中宋" w:eastAsia="华文中宋" w:cs="华文中宋"/>
                <w:i w:val="0"/>
                <w:color w:val="000000"/>
                <w:sz w:val="32"/>
                <w:szCs w:val="32"/>
                <w:u w:val="none"/>
              </w:rPr>
            </w:pPr>
            <w:r>
              <w:rPr>
                <w:rFonts w:hint="eastAsia" w:ascii="华文中宋" w:hAnsi="华文中宋" w:eastAsia="华文中宋" w:cs="华文中宋"/>
                <w:i w:val="0"/>
                <w:color w:val="000000"/>
                <w:kern w:val="0"/>
                <w:sz w:val="32"/>
                <w:szCs w:val="32"/>
                <w:u w:val="none"/>
                <w:lang w:val="en-US" w:eastAsia="zh-CN"/>
              </w:rPr>
              <w:t>财政拨款“三公”经费支出决算表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20" w:hRule="atLeast"/>
        </w:trPr>
        <w:tc>
          <w:tcPr>
            <w:tcW w:w="1260"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70"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公开09表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20" w:hRule="atLeast"/>
        </w:trPr>
        <w:tc>
          <w:tcPr>
            <w:tcW w:w="3782" w:type="dxa"/>
            <w:gridSpan w:val="3"/>
            <w:tcBorders>
              <w:top w:val="nil"/>
              <w:left w:val="nil"/>
              <w:bottom w:val="nil"/>
              <w:right w:val="nil"/>
            </w:tcBorders>
            <w:shd w:val="clear" w:color="auto" w:fill="FFFFFF"/>
            <w:noWrap/>
            <w:vAlign w:val="center"/>
          </w:tcPr>
          <w:p>
            <w:pP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部门：湖南省饲料工业办公室</w:t>
            </w: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61" w:type="dxa"/>
            <w:tcBorders>
              <w:top w:val="nil"/>
              <w:left w:val="nil"/>
              <w:bottom w:val="nil"/>
              <w:right w:val="nil"/>
            </w:tcBorders>
            <w:shd w:val="clear" w:color="auto" w:fill="FFFFFF"/>
            <w:vAlign w:val="center"/>
          </w:tcPr>
          <w:p>
            <w:pPr>
              <w:rPr>
                <w:rFonts w:hint="eastAsia" w:ascii="宋体" w:hAnsi="宋体" w:eastAsia="宋体" w:cs="宋体"/>
                <w:i w:val="0"/>
                <w:color w:val="000000"/>
                <w:sz w:val="20"/>
                <w:szCs w:val="20"/>
                <w:u w:val="none"/>
              </w:rPr>
            </w:pPr>
          </w:p>
        </w:tc>
        <w:tc>
          <w:tcPr>
            <w:tcW w:w="1270" w:type="dxa"/>
            <w:tcBorders>
              <w:top w:val="nil"/>
              <w:left w:val="nil"/>
              <w:bottom w:val="nil"/>
              <w:right w:val="nil"/>
            </w:tcBorders>
            <w:shd w:val="clear" w:color="auto" w:fill="FFFFFF"/>
            <w:noWrap/>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rPr>
              <w:t>单位：万元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766" w:hRule="atLeast"/>
        </w:trPr>
        <w:tc>
          <w:tcPr>
            <w:tcW w:w="756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预算数</w:t>
            </w:r>
          </w:p>
        </w:tc>
        <w:tc>
          <w:tcPr>
            <w:tcW w:w="757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决算数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822" w:hRule="atLeast"/>
        </w:trPr>
        <w:tc>
          <w:tcPr>
            <w:tcW w:w="12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合计</w:t>
            </w:r>
          </w:p>
        </w:tc>
        <w:tc>
          <w:tcPr>
            <w:tcW w:w="12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因公出国（境）费</w:t>
            </w:r>
          </w:p>
        </w:tc>
        <w:tc>
          <w:tcPr>
            <w:tcW w:w="37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公务用车购置及运行维护费</w:t>
            </w:r>
          </w:p>
        </w:tc>
        <w:tc>
          <w:tcPr>
            <w:tcW w:w="12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公务接待费</w:t>
            </w:r>
          </w:p>
        </w:tc>
        <w:tc>
          <w:tcPr>
            <w:tcW w:w="12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合计</w:t>
            </w:r>
          </w:p>
        </w:tc>
        <w:tc>
          <w:tcPr>
            <w:tcW w:w="12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因公出国（境）费</w:t>
            </w:r>
          </w:p>
        </w:tc>
        <w:tc>
          <w:tcPr>
            <w:tcW w:w="378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公务用车购置及运行维护费</w:t>
            </w:r>
          </w:p>
        </w:tc>
        <w:tc>
          <w:tcPr>
            <w:tcW w:w="12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公务接待费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1274" w:hRule="atLeast"/>
        </w:trPr>
        <w:tc>
          <w:tcPr>
            <w:tcW w:w="12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c>
          <w:tcPr>
            <w:tcW w:w="12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小计</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w:t>
            </w:r>
            <w:r>
              <w:rPr>
                <w:rFonts w:hint="eastAsia" w:ascii="宋体" w:hAnsi="宋体" w:eastAsia="宋体" w:cs="宋体"/>
                <w:i w:val="0"/>
                <w:color w:val="000000"/>
                <w:kern w:val="0"/>
                <w:sz w:val="22"/>
                <w:szCs w:val="22"/>
                <w:u w:val="none"/>
                <w:lang w:val="en-US" w:eastAsia="zh-CN"/>
              </w:rPr>
              <w:br w:type="textWrapping"/>
            </w:r>
            <w:r>
              <w:rPr>
                <w:rFonts w:hint="eastAsia" w:ascii="宋体" w:hAnsi="宋体" w:eastAsia="宋体" w:cs="宋体"/>
                <w:i w:val="0"/>
                <w:color w:val="000000"/>
                <w:kern w:val="0"/>
                <w:sz w:val="22"/>
                <w:szCs w:val="22"/>
                <w:u w:val="none"/>
                <w:lang w:val="en-US" w:eastAsia="zh-CN"/>
              </w:rPr>
              <w:t>购置费</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w:t>
            </w:r>
            <w:r>
              <w:rPr>
                <w:rFonts w:hint="eastAsia" w:ascii="宋体" w:hAnsi="宋体" w:eastAsia="宋体" w:cs="宋体"/>
                <w:i w:val="0"/>
                <w:color w:val="000000"/>
                <w:kern w:val="0"/>
                <w:sz w:val="22"/>
                <w:szCs w:val="22"/>
                <w:u w:val="none"/>
                <w:lang w:val="en-US" w:eastAsia="zh-CN"/>
              </w:rPr>
              <w:br w:type="textWrapping"/>
            </w:r>
            <w:r>
              <w:rPr>
                <w:rFonts w:hint="eastAsia" w:ascii="宋体" w:hAnsi="宋体" w:eastAsia="宋体" w:cs="宋体"/>
                <w:i w:val="0"/>
                <w:color w:val="000000"/>
                <w:kern w:val="0"/>
                <w:sz w:val="22"/>
                <w:szCs w:val="22"/>
                <w:u w:val="none"/>
                <w:lang w:val="en-US" w:eastAsia="zh-CN"/>
              </w:rPr>
              <w:t>运行维护费</w:t>
            </w:r>
          </w:p>
        </w:tc>
        <w:tc>
          <w:tcPr>
            <w:tcW w:w="12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c>
          <w:tcPr>
            <w:tcW w:w="12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c>
          <w:tcPr>
            <w:tcW w:w="12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小计</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w:t>
            </w:r>
            <w:r>
              <w:rPr>
                <w:rFonts w:hint="eastAsia" w:ascii="宋体" w:hAnsi="宋体" w:eastAsia="宋体" w:cs="宋体"/>
                <w:i w:val="0"/>
                <w:color w:val="000000"/>
                <w:kern w:val="0"/>
                <w:sz w:val="22"/>
                <w:szCs w:val="22"/>
                <w:u w:val="none"/>
                <w:lang w:val="en-US" w:eastAsia="zh-CN"/>
              </w:rPr>
              <w:br w:type="textWrapping"/>
            </w:r>
            <w:r>
              <w:rPr>
                <w:rFonts w:hint="eastAsia" w:ascii="宋体" w:hAnsi="宋体" w:eastAsia="宋体" w:cs="宋体"/>
                <w:i w:val="0"/>
                <w:color w:val="000000"/>
                <w:kern w:val="0"/>
                <w:sz w:val="22"/>
                <w:szCs w:val="22"/>
                <w:u w:val="none"/>
                <w:lang w:val="en-US" w:eastAsia="zh-CN"/>
              </w:rPr>
              <w:t>购置费</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公务用车</w:t>
            </w:r>
            <w:r>
              <w:rPr>
                <w:rFonts w:hint="eastAsia" w:ascii="宋体" w:hAnsi="宋体" w:eastAsia="宋体" w:cs="宋体"/>
                <w:i w:val="0"/>
                <w:color w:val="000000"/>
                <w:kern w:val="0"/>
                <w:sz w:val="22"/>
                <w:szCs w:val="22"/>
                <w:u w:val="none"/>
                <w:lang w:val="en-US" w:eastAsia="zh-CN"/>
              </w:rPr>
              <w:br w:type="textWrapping"/>
            </w:r>
            <w:r>
              <w:rPr>
                <w:rFonts w:hint="eastAsia" w:ascii="宋体" w:hAnsi="宋体" w:eastAsia="宋体" w:cs="宋体"/>
                <w:i w:val="0"/>
                <w:color w:val="000000"/>
                <w:kern w:val="0"/>
                <w:sz w:val="22"/>
                <w:szCs w:val="22"/>
                <w:u w:val="none"/>
                <w:lang w:val="en-US" w:eastAsia="zh-CN"/>
              </w:rPr>
              <w:t>运行维护费</w:t>
            </w:r>
          </w:p>
        </w:tc>
        <w:tc>
          <w:tcPr>
            <w:tcW w:w="12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766" w:hRule="atLeast"/>
        </w:trPr>
        <w:tc>
          <w:tcPr>
            <w:tcW w:w="1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3</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4</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5</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6</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7</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8</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9</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10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11</w:t>
            </w:r>
          </w:p>
        </w:tc>
        <w:tc>
          <w:tcPr>
            <w:tcW w:w="127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rPr>
              <w:t>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1165" w:hRule="atLeast"/>
        </w:trPr>
        <w:tc>
          <w:tcPr>
            <w:tcW w:w="12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6.50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5.00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5.00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1.50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0.56</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0.48</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0.00</w:t>
            </w:r>
          </w:p>
        </w:tc>
        <w:tc>
          <w:tcPr>
            <w:tcW w:w="126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0.48</w:t>
            </w:r>
          </w:p>
        </w:tc>
        <w:tc>
          <w:tcPr>
            <w:tcW w:w="127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2"/>
                <w:szCs w:val="22"/>
                <w:u w:val="none"/>
              </w:rPr>
            </w:pPr>
            <w:r>
              <w:rPr>
                <w:rFonts w:hint="eastAsia" w:ascii="宋体" w:hAnsi="宋体" w:eastAsia="宋体" w:cs="宋体"/>
                <w:i w:val="0"/>
                <w:color w:val="000000"/>
                <w:kern w:val="0"/>
                <w:sz w:val="22"/>
                <w:szCs w:val="22"/>
                <w:u w:val="none"/>
                <w:lang w:val="en-US" w:eastAsia="zh-CN" w:bidi="ar"/>
              </w:rPr>
              <w:t>0.08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1226" w:hRule="atLeast"/>
        </w:trPr>
        <w:tc>
          <w:tcPr>
            <w:tcW w:w="15140" w:type="dxa"/>
            <w:gridSpan w:val="12"/>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kern w:val="0"/>
                <w:sz w:val="24"/>
                <w:szCs w:val="24"/>
                <w:u w:val="none"/>
                <w:lang w:val="en-US" w:eastAsia="zh-CN"/>
              </w:rPr>
              <w:t>注：本表反映部门本年度财政拨款“三公”经费支出预决算情况。其中，预算数为“三公”经费全年预算数，反映按规定程序调整后的预算数；决算数是包括当年财政拨款和以前年度结转资金安排的实际支出。</w:t>
            </w:r>
          </w:p>
        </w:tc>
      </w:tr>
    </w:tbl>
    <w:p>
      <w:pPr>
        <w:autoSpaceDE w:val="0"/>
        <w:autoSpaceDN w:val="0"/>
        <w:adjustRightInd w:val="0"/>
        <w:ind w:left="315" w:leftChars="150"/>
        <w:jc w:val="left"/>
        <w:rPr>
          <w:rFonts w:ascii="宋体" w:eastAsia="宋体" w:cs="宋体"/>
          <w:kern w:val="0"/>
          <w:sz w:val="24"/>
          <w:szCs w:val="24"/>
        </w:rPr>
      </w:pPr>
    </w:p>
    <w:p>
      <w:pPr>
        <w:autoSpaceDE w:val="0"/>
        <w:autoSpaceDN w:val="0"/>
        <w:adjustRightInd w:val="0"/>
        <w:ind w:left="315" w:leftChars="150"/>
        <w:jc w:val="left"/>
        <w:rPr>
          <w:rFonts w:ascii="宋体" w:eastAsia="宋体" w:cs="宋体"/>
          <w:kern w:val="0"/>
          <w:sz w:val="24"/>
          <w:szCs w:val="24"/>
        </w:rPr>
      </w:pPr>
    </w:p>
    <w:p>
      <w:pPr>
        <w:autoSpaceDE w:val="0"/>
        <w:autoSpaceDN w:val="0"/>
        <w:adjustRightInd w:val="0"/>
        <w:ind w:left="315" w:leftChars="150"/>
        <w:jc w:val="left"/>
        <w:rPr>
          <w:rFonts w:ascii="宋体" w:eastAsia="宋体" w:cs="宋体"/>
          <w:kern w:val="0"/>
          <w:sz w:val="24"/>
          <w:szCs w:val="24"/>
        </w:rPr>
      </w:pPr>
    </w:p>
    <w:p>
      <w:pPr>
        <w:autoSpaceDE w:val="0"/>
        <w:autoSpaceDN w:val="0"/>
        <w:adjustRightInd w:val="0"/>
        <w:ind w:left="315" w:leftChars="150"/>
        <w:jc w:val="left"/>
        <w:rPr>
          <w:rFonts w:ascii="宋体" w:eastAsia="宋体" w:cs="宋体"/>
          <w:kern w:val="0"/>
          <w:sz w:val="24"/>
          <w:szCs w:val="24"/>
        </w:rPr>
      </w:pPr>
    </w:p>
    <w:p>
      <w:pPr>
        <w:autoSpaceDE w:val="0"/>
        <w:autoSpaceDN w:val="0"/>
        <w:adjustRightInd w:val="0"/>
        <w:ind w:left="315" w:leftChars="150"/>
        <w:jc w:val="left"/>
        <w:rPr>
          <w:rFonts w:ascii="宋体" w:eastAsia="宋体" w:cs="宋体"/>
          <w:kern w:val="0"/>
          <w:sz w:val="24"/>
          <w:szCs w:val="24"/>
        </w:rPr>
      </w:pPr>
    </w:p>
    <w:p>
      <w:pPr>
        <w:widowControl/>
        <w:jc w:val="both"/>
        <w:rPr>
          <w:sz w:val="72"/>
          <w:szCs w:val="72"/>
        </w:rPr>
        <w:sectPr>
          <w:pgSz w:w="16838" w:h="11906" w:orient="landscape"/>
          <w:pgMar w:top="720" w:right="720" w:bottom="720" w:left="720" w:header="851" w:footer="992" w:gutter="0"/>
          <w:cols w:space="425" w:num="1"/>
          <w:docGrid w:type="lines" w:linePitch="312" w:charSpace="0"/>
        </w:sectPr>
      </w:pPr>
      <w:r>
        <w:br w:type="page"/>
      </w:r>
    </w:p>
    <w:p>
      <w:pPr>
        <w:pStyle w:val="13"/>
        <w:rPr>
          <w:sz w:val="72"/>
          <w:szCs w:val="72"/>
        </w:rPr>
      </w:pPr>
    </w:p>
    <w:p>
      <w:pPr>
        <w:pStyle w:val="13"/>
        <w:rPr>
          <w:sz w:val="72"/>
          <w:szCs w:val="72"/>
        </w:rPr>
      </w:pPr>
    </w:p>
    <w:p>
      <w:pPr>
        <w:pStyle w:val="13"/>
        <w:rPr>
          <w:sz w:val="72"/>
          <w:szCs w:val="72"/>
        </w:rPr>
      </w:pPr>
    </w:p>
    <w:p>
      <w:pPr>
        <w:pStyle w:val="13"/>
        <w:jc w:val="center"/>
        <w:rPr>
          <w:sz w:val="72"/>
          <w:szCs w:val="72"/>
        </w:rPr>
      </w:pPr>
    </w:p>
    <w:p>
      <w:pPr>
        <w:pStyle w:val="13"/>
        <w:jc w:val="center"/>
        <w:rPr>
          <w:rFonts w:hint="eastAsia" w:ascii="方正小标宋_GBK" w:hAnsi="方正小标宋_GBK" w:eastAsia="方正小标宋_GBK" w:cs="方正小标宋_GBK"/>
          <w:sz w:val="72"/>
          <w:szCs w:val="72"/>
        </w:rPr>
      </w:pPr>
    </w:p>
    <w:p>
      <w:pPr>
        <w:pStyle w:val="13"/>
        <w:jc w:val="center"/>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第三部分</w:t>
      </w:r>
    </w:p>
    <w:p>
      <w:pPr>
        <w:pStyle w:val="13"/>
        <w:jc w:val="center"/>
        <w:rPr>
          <w:rFonts w:hint="eastAsia" w:ascii="方正小标宋_GBK" w:hAnsi="方正小标宋_GBK" w:eastAsia="方正小标宋_GBK" w:cs="方正小标宋_GBK"/>
          <w:sz w:val="70"/>
          <w:szCs w:val="70"/>
        </w:rPr>
      </w:pPr>
    </w:p>
    <w:p>
      <w:pPr>
        <w:pStyle w:val="13"/>
        <w:jc w:val="center"/>
        <w:rPr>
          <w:rFonts w:hint="eastAsia" w:ascii="方正小标宋_GBK" w:hAnsi="方正小标宋_GBK" w:eastAsia="方正小标宋_GBK" w:cs="方正小标宋_GBK"/>
          <w:sz w:val="70"/>
          <w:szCs w:val="70"/>
        </w:rPr>
      </w:pPr>
      <w:r>
        <w:rPr>
          <w:rFonts w:hint="eastAsia" w:ascii="方正小标宋_GBK" w:hAnsi="方正小标宋_GBK" w:eastAsia="方正小标宋_GBK" w:cs="方正小标宋_GBK"/>
          <w:sz w:val="70"/>
          <w:szCs w:val="70"/>
        </w:rPr>
        <w:t>202</w:t>
      </w:r>
      <w:r>
        <w:rPr>
          <w:rFonts w:hint="eastAsia" w:ascii="方正小标宋_GBK" w:hAnsi="方正小标宋_GBK" w:eastAsia="方正小标宋_GBK" w:cs="方正小标宋_GBK"/>
          <w:sz w:val="70"/>
          <w:szCs w:val="70"/>
          <w:lang w:val="en-US" w:eastAsia="zh-CN"/>
        </w:rPr>
        <w:t>2</w:t>
      </w:r>
      <w:r>
        <w:rPr>
          <w:rFonts w:hint="eastAsia" w:ascii="方正小标宋_GBK" w:hAnsi="方正小标宋_GBK" w:eastAsia="方正小标宋_GBK" w:cs="方正小标宋_GBK"/>
          <w:sz w:val="70"/>
          <w:szCs w:val="70"/>
        </w:rPr>
        <w:t>年度部门决算情况说明</w:t>
      </w:r>
    </w:p>
    <w:p>
      <w:pPr>
        <w:widowControl/>
        <w:jc w:val="left"/>
        <w:rPr>
          <w:rFonts w:asciiTheme="minorEastAsia" w:hAnsiTheme="minorEastAsia" w:eastAsiaTheme="minorEastAsia"/>
          <w:sz w:val="32"/>
          <w:szCs w:val="32"/>
        </w:rPr>
      </w:pPr>
      <w:r>
        <w:br w:type="page"/>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一、收入支出决算总体情况说明</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default" w:ascii="Times New Roman" w:hAnsi="Times New Roman" w:eastAsia="仿宋_GB2312"/>
          <w:sz w:val="32"/>
          <w:szCs w:val="32"/>
          <w:lang w:val="en-US" w:eastAsia="zh-CN"/>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年度收、支总计</w:t>
      </w:r>
      <w:r>
        <w:rPr>
          <w:rFonts w:hint="eastAsia" w:ascii="Times New Roman" w:hAnsi="Times New Roman" w:eastAsia="仿宋_GB2312"/>
          <w:sz w:val="32"/>
          <w:szCs w:val="32"/>
          <w:lang w:val="en-US" w:eastAsia="zh-CN"/>
        </w:rPr>
        <w:t>423.70</w:t>
      </w:r>
      <w:r>
        <w:rPr>
          <w:rFonts w:hint="eastAsia" w:ascii="Times New Roman" w:hAnsi="Times New Roman" w:eastAsia="仿宋_GB2312"/>
          <w:sz w:val="32"/>
          <w:szCs w:val="32"/>
        </w:rPr>
        <w:t>万元。与上年相比，</w:t>
      </w:r>
      <w:r>
        <w:rPr>
          <w:rFonts w:hint="eastAsia" w:ascii="Times New Roman" w:hAnsi="Times New Roman" w:eastAsia="仿宋_GB2312"/>
          <w:sz w:val="32"/>
          <w:szCs w:val="32"/>
          <w:lang w:val="en-US" w:eastAsia="zh-CN"/>
        </w:rPr>
        <w:t>增加49.25</w:t>
      </w:r>
      <w:r>
        <w:rPr>
          <w:rFonts w:hint="eastAsia" w:ascii="Times New Roman" w:hAnsi="Times New Roman" w:eastAsia="仿宋_GB2312"/>
          <w:sz w:val="32"/>
          <w:szCs w:val="32"/>
        </w:rPr>
        <w:t>万元，</w:t>
      </w:r>
      <w:r>
        <w:rPr>
          <w:rFonts w:hint="eastAsia" w:ascii="Times New Roman" w:hAnsi="Times New Roman" w:eastAsia="仿宋_GB2312"/>
          <w:sz w:val="32"/>
          <w:szCs w:val="32"/>
          <w:lang w:val="en-US" w:eastAsia="zh-CN"/>
        </w:rPr>
        <w:t>增长12.15</w:t>
      </w:r>
      <w:r>
        <w:rPr>
          <w:rFonts w:hint="eastAsia" w:ascii="Times New Roman" w:hAnsi="Times New Roman" w:eastAsia="仿宋_GB2312"/>
          <w:sz w:val="32"/>
          <w:szCs w:val="32"/>
        </w:rPr>
        <w:t>%，主要是因为</w:t>
      </w:r>
      <w:r>
        <w:rPr>
          <w:rFonts w:hint="eastAsia" w:ascii="Times New Roman" w:hAnsi="Times New Roman" w:eastAsia="仿宋_GB2312"/>
          <w:sz w:val="32"/>
          <w:szCs w:val="32"/>
          <w:lang w:val="en-US" w:eastAsia="zh-CN"/>
        </w:rPr>
        <w:t>年初结转结余增加。</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二、收入决算情况说明</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年度收入合计</w:t>
      </w:r>
      <w:r>
        <w:rPr>
          <w:rFonts w:hint="eastAsia" w:ascii="Times New Roman" w:hAnsi="Times New Roman" w:eastAsia="仿宋_GB2312"/>
          <w:sz w:val="32"/>
          <w:szCs w:val="32"/>
          <w:lang w:val="en-US" w:eastAsia="zh-CN"/>
        </w:rPr>
        <w:t>300.54</w:t>
      </w:r>
      <w:r>
        <w:rPr>
          <w:rFonts w:hint="eastAsia" w:ascii="Times New Roman" w:hAnsi="Times New Roman" w:eastAsia="仿宋_GB2312"/>
          <w:sz w:val="32"/>
          <w:szCs w:val="32"/>
        </w:rPr>
        <w:t>万元，其中：财政拨款收入</w:t>
      </w:r>
      <w:r>
        <w:rPr>
          <w:rFonts w:hint="eastAsia" w:ascii="Times New Roman" w:hAnsi="Times New Roman" w:eastAsia="仿宋_GB2312"/>
          <w:sz w:val="32"/>
          <w:szCs w:val="32"/>
          <w:lang w:val="en-US" w:eastAsia="zh-CN"/>
        </w:rPr>
        <w:t>300.39</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99.95</w:t>
      </w:r>
      <w:r>
        <w:rPr>
          <w:rFonts w:hint="eastAsia" w:ascii="Times New Roman" w:hAnsi="Times New Roman" w:eastAsia="仿宋_GB2312"/>
          <w:sz w:val="32"/>
          <w:szCs w:val="32"/>
        </w:rPr>
        <w:t>%；上级补助收入</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%；事业收入</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%；经营收入</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%；附属单位上缴收入</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%；其他收入</w:t>
      </w:r>
      <w:r>
        <w:rPr>
          <w:rFonts w:hint="eastAsia" w:ascii="Times New Roman" w:hAnsi="Times New Roman" w:eastAsia="仿宋_GB2312"/>
          <w:sz w:val="32"/>
          <w:szCs w:val="32"/>
          <w:lang w:val="en-US" w:eastAsia="zh-CN"/>
        </w:rPr>
        <w:t>0.15</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0.05</w:t>
      </w:r>
      <w:r>
        <w:rPr>
          <w:rFonts w:hint="eastAsia" w:ascii="Times New Roman" w:hAnsi="Times New Roman" w:eastAsia="仿宋_GB2312"/>
          <w:sz w:val="32"/>
          <w:szCs w:val="32"/>
        </w:rPr>
        <w:t>%。</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三、支出决算情况说明</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年度支出合计</w:t>
      </w:r>
      <w:r>
        <w:rPr>
          <w:rFonts w:hint="eastAsia" w:ascii="Times New Roman" w:hAnsi="Times New Roman" w:eastAsia="仿宋_GB2312"/>
          <w:sz w:val="32"/>
          <w:szCs w:val="32"/>
          <w:lang w:val="en-US" w:eastAsia="zh-CN"/>
        </w:rPr>
        <w:t>284.49</w:t>
      </w:r>
      <w:r>
        <w:rPr>
          <w:rFonts w:hint="eastAsia" w:ascii="Times New Roman" w:hAnsi="Times New Roman" w:eastAsia="仿宋_GB2312"/>
          <w:sz w:val="32"/>
          <w:szCs w:val="32"/>
        </w:rPr>
        <w:t>万元，其中：基本支出</w:t>
      </w:r>
      <w:r>
        <w:rPr>
          <w:rFonts w:hint="eastAsia" w:ascii="Times New Roman" w:hAnsi="Times New Roman" w:eastAsia="仿宋_GB2312"/>
          <w:sz w:val="32"/>
          <w:szCs w:val="32"/>
          <w:lang w:val="en-US" w:eastAsia="zh-CN"/>
        </w:rPr>
        <w:t>235.08</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82.63</w:t>
      </w:r>
      <w:r>
        <w:rPr>
          <w:rFonts w:hint="eastAsia" w:ascii="Times New Roman" w:hAnsi="Times New Roman" w:eastAsia="仿宋_GB2312"/>
          <w:sz w:val="32"/>
          <w:szCs w:val="32"/>
        </w:rPr>
        <w:t>%；项目支出</w:t>
      </w:r>
      <w:r>
        <w:rPr>
          <w:rFonts w:hint="eastAsia" w:ascii="Times New Roman" w:hAnsi="Times New Roman" w:eastAsia="仿宋_GB2312"/>
          <w:sz w:val="32"/>
          <w:szCs w:val="32"/>
          <w:lang w:val="en-US" w:eastAsia="zh-CN"/>
        </w:rPr>
        <w:t>49.41</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17.37</w:t>
      </w:r>
      <w:r>
        <w:rPr>
          <w:rFonts w:hint="eastAsia" w:ascii="Times New Roman" w:hAnsi="Times New Roman" w:eastAsia="仿宋_GB2312"/>
          <w:sz w:val="32"/>
          <w:szCs w:val="32"/>
        </w:rPr>
        <w:t>%；上缴上级支出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%；经营支出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%；对附属单位补助支出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四、财政拨款收入支出决算总体情况说明</w:t>
      </w:r>
    </w:p>
    <w:p>
      <w:pPr>
        <w:pStyle w:val="13"/>
        <w:keepNext w:val="0"/>
        <w:keepLines w:val="0"/>
        <w:pageBreakBefore w:val="0"/>
        <w:widowControl w:val="0"/>
        <w:kinsoku/>
        <w:wordWrap/>
        <w:overflowPunct/>
        <w:topLinePunct w:val="0"/>
        <w:bidi w:val="0"/>
        <w:snapToGrid/>
        <w:spacing w:line="600" w:lineRule="exact"/>
        <w:textAlignment w:val="auto"/>
        <w:rPr>
          <w:rFonts w:ascii="Times New Roman" w:hAnsi="Times New Roman" w:eastAsia="仿宋_GB2312"/>
          <w:sz w:val="32"/>
          <w:szCs w:val="32"/>
        </w:rPr>
      </w:pPr>
      <w:r>
        <w:rPr>
          <w:rFonts w:hint="eastAsia" w:ascii="Times New Roman" w:hAnsi="Times New Roman" w:eastAsia="仿宋_GB2312"/>
          <w:sz w:val="32"/>
          <w:szCs w:val="32"/>
        </w:rPr>
        <w:t xml:space="preserve">    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年度财政拨款收、支总计</w:t>
      </w:r>
      <w:r>
        <w:rPr>
          <w:rFonts w:hint="eastAsia" w:ascii="Times New Roman" w:hAnsi="Times New Roman" w:eastAsia="仿宋_GB2312"/>
          <w:sz w:val="32"/>
          <w:szCs w:val="32"/>
          <w:lang w:val="en-US" w:eastAsia="zh-CN"/>
        </w:rPr>
        <w:t>372.05</w:t>
      </w:r>
      <w:r>
        <w:rPr>
          <w:rFonts w:hint="eastAsia" w:ascii="Times New Roman" w:hAnsi="Times New Roman" w:eastAsia="仿宋_GB2312"/>
          <w:sz w:val="32"/>
          <w:szCs w:val="32"/>
        </w:rPr>
        <w:t>万元，与上年相比，</w:t>
      </w:r>
      <w:r>
        <w:rPr>
          <w:rFonts w:hint="eastAsia" w:ascii="Times New Roman" w:hAnsi="Times New Roman" w:eastAsia="仿宋_GB2312"/>
          <w:sz w:val="32"/>
          <w:szCs w:val="32"/>
          <w:lang w:val="en-US" w:eastAsia="zh-CN"/>
        </w:rPr>
        <w:t>增加56.04</w:t>
      </w:r>
      <w:r>
        <w:rPr>
          <w:rFonts w:hint="eastAsia" w:ascii="Times New Roman" w:hAnsi="Times New Roman" w:eastAsia="仿宋_GB2312"/>
          <w:sz w:val="32"/>
          <w:szCs w:val="32"/>
        </w:rPr>
        <w:t>万元,</w:t>
      </w:r>
      <w:r>
        <w:rPr>
          <w:rFonts w:hint="eastAsia" w:ascii="Times New Roman" w:hAnsi="Times New Roman" w:eastAsia="仿宋_GB2312"/>
          <w:sz w:val="32"/>
          <w:szCs w:val="32"/>
          <w:lang w:val="en-US" w:eastAsia="zh-CN"/>
        </w:rPr>
        <w:t>增长17.73</w:t>
      </w:r>
      <w:r>
        <w:rPr>
          <w:rFonts w:hint="eastAsia" w:ascii="Times New Roman" w:hAnsi="Times New Roman" w:eastAsia="仿宋_GB2312"/>
          <w:sz w:val="32"/>
          <w:szCs w:val="32"/>
        </w:rPr>
        <w:t>%，主要是因为</w:t>
      </w:r>
      <w:r>
        <w:rPr>
          <w:rFonts w:hint="eastAsia" w:ascii="Times New Roman" w:hAnsi="Times New Roman" w:eastAsia="仿宋_GB2312"/>
          <w:sz w:val="32"/>
          <w:szCs w:val="32"/>
          <w:lang w:val="en-US" w:eastAsia="zh-CN"/>
        </w:rPr>
        <w:t>年初结转结余增加。</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五、一般公共预算财政拨款支出决算情况说明</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楷体" w:hAnsi="楷体" w:eastAsia="楷体" w:cs="楷体"/>
          <w:b w:val="0"/>
          <w:bCs/>
          <w:sz w:val="32"/>
          <w:szCs w:val="32"/>
        </w:rPr>
      </w:pPr>
      <w:r>
        <w:rPr>
          <w:rFonts w:hint="eastAsia" w:ascii="楷体" w:hAnsi="楷体" w:eastAsia="楷体" w:cs="楷体"/>
          <w:b w:val="0"/>
          <w:bCs/>
          <w:sz w:val="32"/>
          <w:szCs w:val="32"/>
        </w:rPr>
        <w:t>（一）财政拨款支出决算总体情况</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Times New Roman" w:hAnsi="Times New Roman" w:eastAsia="仿宋_GB2312"/>
          <w:sz w:val="32"/>
          <w:szCs w:val="32"/>
          <w:lang w:val="en-US" w:eastAsia="zh-CN"/>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年度财政拨款支出</w:t>
      </w:r>
      <w:r>
        <w:rPr>
          <w:rFonts w:hint="eastAsia" w:ascii="Times New Roman" w:hAnsi="Times New Roman" w:eastAsia="仿宋_GB2312"/>
          <w:sz w:val="32"/>
          <w:szCs w:val="32"/>
          <w:lang w:val="en-US" w:eastAsia="zh-CN"/>
        </w:rPr>
        <w:t>284.49</w:t>
      </w:r>
      <w:r>
        <w:rPr>
          <w:rFonts w:hint="eastAsia" w:ascii="Times New Roman" w:hAnsi="Times New Roman" w:eastAsia="仿宋_GB2312"/>
          <w:sz w:val="32"/>
          <w:szCs w:val="32"/>
        </w:rPr>
        <w:t>万元，占本年支出合计的</w:t>
      </w:r>
      <w:r>
        <w:rPr>
          <w:rFonts w:hint="eastAsia" w:ascii="Times New Roman" w:hAnsi="Times New Roman" w:eastAsia="仿宋_GB2312"/>
          <w:sz w:val="32"/>
          <w:szCs w:val="32"/>
          <w:lang w:val="en-US" w:eastAsia="zh-CN"/>
        </w:rPr>
        <w:t>100%</w:t>
      </w:r>
      <w:r>
        <w:rPr>
          <w:rFonts w:hint="eastAsia" w:ascii="Times New Roman" w:hAnsi="Times New Roman" w:eastAsia="仿宋_GB2312"/>
          <w:sz w:val="32"/>
          <w:szCs w:val="32"/>
        </w:rPr>
        <w:t>，与上年相比，财政拨款支出</w:t>
      </w:r>
      <w:r>
        <w:rPr>
          <w:rFonts w:hint="eastAsia" w:ascii="Times New Roman" w:hAnsi="Times New Roman" w:eastAsia="仿宋_GB2312"/>
          <w:sz w:val="32"/>
          <w:szCs w:val="32"/>
          <w:lang w:val="en-US" w:eastAsia="zh-CN"/>
        </w:rPr>
        <w:t>增加66.34</w:t>
      </w:r>
      <w:r>
        <w:rPr>
          <w:rFonts w:hint="eastAsia" w:ascii="Times New Roman" w:hAnsi="Times New Roman" w:eastAsia="仿宋_GB2312"/>
          <w:sz w:val="32"/>
          <w:szCs w:val="32"/>
        </w:rPr>
        <w:t>万元，</w:t>
      </w:r>
      <w:r>
        <w:rPr>
          <w:rFonts w:hint="eastAsia" w:ascii="Times New Roman" w:hAnsi="Times New Roman" w:eastAsia="仿宋_GB2312"/>
          <w:sz w:val="32"/>
          <w:szCs w:val="32"/>
          <w:lang w:val="en-US" w:eastAsia="zh-CN"/>
        </w:rPr>
        <w:t>增长30.41</w:t>
      </w:r>
      <w:r>
        <w:rPr>
          <w:rFonts w:hint="eastAsia" w:ascii="Times New Roman" w:hAnsi="Times New Roman" w:eastAsia="仿宋_GB2312"/>
          <w:sz w:val="32"/>
          <w:szCs w:val="32"/>
        </w:rPr>
        <w:t>%，主要是因为</w:t>
      </w:r>
      <w:r>
        <w:rPr>
          <w:rFonts w:hint="eastAsia" w:ascii="Times New Roman" w:hAnsi="Times New Roman" w:eastAsia="仿宋_GB2312"/>
          <w:sz w:val="32"/>
          <w:szCs w:val="32"/>
          <w:lang w:val="en-US" w:eastAsia="zh-CN"/>
        </w:rPr>
        <w:t>追加2021、2022年绩效奖金。</w:t>
      </w:r>
    </w:p>
    <w:p>
      <w:pPr>
        <w:pStyle w:val="13"/>
        <w:keepNext w:val="0"/>
        <w:keepLines w:val="0"/>
        <w:pageBreakBefore w:val="0"/>
        <w:widowControl w:val="0"/>
        <w:kinsoku/>
        <w:wordWrap/>
        <w:overflowPunct/>
        <w:topLinePunct w:val="0"/>
        <w:bidi w:val="0"/>
        <w:snapToGrid/>
        <w:spacing w:line="600" w:lineRule="exact"/>
        <w:ind w:firstLine="480" w:firstLineChars="150"/>
        <w:textAlignment w:val="auto"/>
        <w:rPr>
          <w:rFonts w:hint="eastAsia" w:ascii="楷体" w:hAnsi="楷体" w:eastAsia="楷体" w:cs="楷体"/>
          <w:b w:val="0"/>
          <w:bCs/>
          <w:sz w:val="32"/>
          <w:szCs w:val="32"/>
        </w:rPr>
      </w:pPr>
      <w:r>
        <w:rPr>
          <w:rFonts w:hint="eastAsia" w:ascii="楷体" w:hAnsi="楷体" w:eastAsia="楷体" w:cs="楷体"/>
          <w:b w:val="0"/>
          <w:bCs/>
          <w:sz w:val="32"/>
          <w:szCs w:val="32"/>
        </w:rPr>
        <w:t>（二）财政拨款支出决算结构情况</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年度财政拨款支出</w:t>
      </w:r>
      <w:r>
        <w:rPr>
          <w:rFonts w:hint="eastAsia" w:ascii="Times New Roman" w:hAnsi="Times New Roman" w:eastAsia="仿宋_GB2312"/>
          <w:sz w:val="32"/>
          <w:szCs w:val="32"/>
          <w:lang w:val="en-US" w:eastAsia="zh-CN"/>
        </w:rPr>
        <w:t>284.49</w:t>
      </w:r>
      <w:r>
        <w:rPr>
          <w:rFonts w:hint="eastAsia" w:ascii="Times New Roman" w:hAnsi="Times New Roman" w:eastAsia="仿宋_GB2312"/>
          <w:sz w:val="32"/>
          <w:szCs w:val="32"/>
        </w:rPr>
        <w:t>万元，主要用于以下方面：社会保障和就业（类）支出</w:t>
      </w:r>
      <w:r>
        <w:rPr>
          <w:rFonts w:hint="eastAsia" w:ascii="Times New Roman" w:hAnsi="Times New Roman" w:eastAsia="仿宋_GB2312"/>
          <w:sz w:val="32"/>
          <w:szCs w:val="32"/>
          <w:lang w:val="en-US" w:eastAsia="zh-CN"/>
        </w:rPr>
        <w:t>10.96</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3.85</w:t>
      </w:r>
      <w:r>
        <w:rPr>
          <w:rFonts w:hint="eastAsia" w:ascii="Times New Roman" w:hAnsi="Times New Roman" w:eastAsia="仿宋_GB2312"/>
          <w:sz w:val="32"/>
          <w:szCs w:val="32"/>
        </w:rPr>
        <w:t>%；农林水（类）支出</w:t>
      </w:r>
      <w:r>
        <w:rPr>
          <w:rFonts w:hint="eastAsia" w:ascii="Times New Roman" w:hAnsi="Times New Roman" w:eastAsia="仿宋_GB2312"/>
          <w:sz w:val="32"/>
          <w:szCs w:val="32"/>
          <w:lang w:val="en-US" w:eastAsia="zh-CN"/>
        </w:rPr>
        <w:t>273.53</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96.15</w:t>
      </w:r>
      <w:r>
        <w:rPr>
          <w:rFonts w:hint="eastAsia" w:ascii="Times New Roman" w:hAnsi="Times New Roman" w:eastAsia="仿宋_GB2312"/>
          <w:sz w:val="32"/>
          <w:szCs w:val="32"/>
        </w:rPr>
        <w:t>%</w:t>
      </w:r>
      <w:r>
        <w:rPr>
          <w:rFonts w:hint="eastAsia" w:ascii="Times New Roman" w:hAnsi="Times New Roman" w:eastAsia="仿宋_GB2312"/>
          <w:sz w:val="32"/>
          <w:szCs w:val="32"/>
          <w:lang w:eastAsia="zh-CN"/>
        </w:rPr>
        <w:t>。</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楷体" w:hAnsi="楷体" w:eastAsia="楷体" w:cs="楷体"/>
          <w:b w:val="0"/>
          <w:bCs/>
          <w:sz w:val="32"/>
          <w:szCs w:val="32"/>
        </w:rPr>
      </w:pPr>
      <w:r>
        <w:rPr>
          <w:rFonts w:hint="eastAsia" w:ascii="楷体" w:hAnsi="楷体" w:eastAsia="楷体" w:cs="楷体"/>
          <w:b w:val="0"/>
          <w:bCs/>
          <w:sz w:val="32"/>
          <w:szCs w:val="32"/>
        </w:rPr>
        <w:t>（三）财政拨款支出决算具体情况</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年度财政拨款支出年初预算数为</w:t>
      </w:r>
      <w:r>
        <w:rPr>
          <w:rFonts w:hint="eastAsia" w:ascii="Times New Roman" w:hAnsi="Times New Roman" w:eastAsia="仿宋_GB2312"/>
          <w:sz w:val="32"/>
          <w:szCs w:val="32"/>
          <w:lang w:val="en-US" w:eastAsia="zh-CN"/>
        </w:rPr>
        <w:t>283.36</w:t>
      </w:r>
      <w:r>
        <w:rPr>
          <w:rFonts w:hint="eastAsia" w:ascii="Times New Roman" w:hAnsi="Times New Roman" w:eastAsia="仿宋_GB2312"/>
          <w:sz w:val="32"/>
          <w:szCs w:val="32"/>
        </w:rPr>
        <w:t>万元，支出决算数为</w:t>
      </w:r>
      <w:r>
        <w:rPr>
          <w:rFonts w:hint="eastAsia" w:ascii="Times New Roman" w:hAnsi="Times New Roman" w:eastAsia="仿宋_GB2312"/>
          <w:sz w:val="32"/>
          <w:szCs w:val="32"/>
          <w:lang w:val="en-US" w:eastAsia="zh-CN"/>
        </w:rPr>
        <w:t>284.49</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100.40</w:t>
      </w:r>
      <w:r>
        <w:rPr>
          <w:rFonts w:hint="eastAsia" w:ascii="Times New Roman" w:hAnsi="Times New Roman" w:eastAsia="仿宋_GB2312"/>
          <w:sz w:val="32"/>
          <w:szCs w:val="32"/>
        </w:rPr>
        <w:t>%，其中：</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1、社会保障和就业（类）行政事业单位养老支出（款）机关事业单位基本养老保险缴费支出（项）。</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hint="default" w:ascii="Times New Roman" w:hAnsi="Times New Roman" w:eastAsia="仿宋_GB2312"/>
          <w:sz w:val="32"/>
          <w:szCs w:val="32"/>
          <w:lang w:val="en-US"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11.00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10.96</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99.63</w:t>
      </w:r>
      <w:r>
        <w:rPr>
          <w:rFonts w:hint="eastAsia" w:ascii="Times New Roman" w:hAnsi="Times New Roman" w:eastAsia="仿宋_GB2312"/>
          <w:sz w:val="32"/>
          <w:szCs w:val="32"/>
        </w:rPr>
        <w:t>%，决算数小于年初预算数的主要原因是：机关事业单位基本养老保险缴费支出</w:t>
      </w:r>
      <w:r>
        <w:rPr>
          <w:rFonts w:hint="eastAsia" w:ascii="Times New Roman" w:hAnsi="Times New Roman" w:eastAsia="仿宋_GB2312"/>
          <w:sz w:val="32"/>
          <w:szCs w:val="32"/>
          <w:lang w:val="en-US" w:eastAsia="zh-CN"/>
        </w:rPr>
        <w:t>年末有小额结余。</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2、农林水（类）农业农村（款）行政运行（项）。</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Times New Roman" w:hAnsi="Times New Roman" w:eastAsia="仿宋_GB2312"/>
          <w:sz w:val="32"/>
          <w:szCs w:val="32"/>
          <w:lang w:val="en-US"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140.70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224.12</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159.29</w:t>
      </w:r>
      <w:r>
        <w:rPr>
          <w:rFonts w:hint="eastAsia" w:ascii="Times New Roman" w:hAnsi="Times New Roman" w:eastAsia="仿宋_GB2312"/>
          <w:sz w:val="32"/>
          <w:szCs w:val="32"/>
        </w:rPr>
        <w:t>%，决算数大于年初预算数的主要原因是：</w:t>
      </w:r>
      <w:r>
        <w:rPr>
          <w:rFonts w:hint="eastAsia" w:ascii="Times New Roman" w:hAnsi="Times New Roman" w:eastAsia="仿宋_GB2312"/>
          <w:sz w:val="32"/>
          <w:szCs w:val="32"/>
          <w:lang w:val="en-US" w:eastAsia="zh-CN"/>
        </w:rPr>
        <w:t>年中追加绩效工资。</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lang w:val="en-US" w:eastAsia="zh-CN"/>
        </w:rPr>
        <w:t>3</w:t>
      </w:r>
      <w:r>
        <w:rPr>
          <w:rFonts w:hint="eastAsia" w:ascii="Times New Roman" w:hAnsi="Times New Roman" w:eastAsia="仿宋_GB2312"/>
          <w:sz w:val="32"/>
          <w:szCs w:val="32"/>
        </w:rPr>
        <w:t>、农林水（类）农业农村（款）农业生产发展（项）。</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default" w:ascii="Times New Roman" w:hAnsi="Times New Roman" w:eastAsia="仿宋_GB2312"/>
          <w:sz w:val="32"/>
          <w:szCs w:val="32"/>
          <w:lang w:val="en-US" w:eastAsia="zh-CN"/>
        </w:rPr>
      </w:pPr>
      <w:r>
        <w:rPr>
          <w:rFonts w:hint="eastAsia" w:ascii="Times New Roman" w:hAnsi="Times New Roman" w:eastAsia="仿宋_GB2312"/>
          <w:sz w:val="32"/>
          <w:szCs w:val="32"/>
        </w:rPr>
        <w:t>年初预算为</w:t>
      </w:r>
      <w:r>
        <w:rPr>
          <w:rFonts w:hint="eastAsia" w:ascii="Times New Roman" w:hAnsi="Times New Roman" w:eastAsia="仿宋_GB2312"/>
          <w:sz w:val="32"/>
          <w:szCs w:val="32"/>
          <w:lang w:val="en-US" w:eastAsia="zh-CN"/>
        </w:rPr>
        <w:t>131.66</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49.41</w:t>
      </w:r>
      <w:r>
        <w:rPr>
          <w:rFonts w:hint="eastAsia" w:ascii="Times New Roman" w:hAnsi="Times New Roman" w:eastAsia="仿宋_GB2312"/>
          <w:sz w:val="32"/>
          <w:szCs w:val="32"/>
        </w:rPr>
        <w:t>万元，完成年初预算的</w:t>
      </w:r>
      <w:r>
        <w:rPr>
          <w:rFonts w:hint="eastAsia" w:ascii="Times New Roman" w:hAnsi="Times New Roman" w:eastAsia="仿宋_GB2312"/>
          <w:sz w:val="32"/>
          <w:szCs w:val="32"/>
          <w:lang w:val="en-US" w:eastAsia="zh-CN"/>
        </w:rPr>
        <w:t>37.52</w:t>
      </w:r>
      <w:r>
        <w:rPr>
          <w:rFonts w:hint="eastAsia" w:ascii="Times New Roman" w:hAnsi="Times New Roman" w:eastAsia="仿宋_GB2312"/>
          <w:sz w:val="32"/>
          <w:szCs w:val="32"/>
        </w:rPr>
        <w:t>%，决算数小于年初预算数的主要原因是：</w:t>
      </w:r>
      <w:r>
        <w:rPr>
          <w:rFonts w:hint="eastAsia" w:ascii="Times New Roman" w:hAnsi="Times New Roman" w:eastAsia="仿宋_GB2312"/>
          <w:sz w:val="32"/>
          <w:szCs w:val="32"/>
          <w:lang w:val="en-US" w:eastAsia="zh-CN"/>
        </w:rPr>
        <w:t>由</w:t>
      </w:r>
      <w:r>
        <w:rPr>
          <w:rFonts w:hint="eastAsia" w:ascii="仿宋_GB2312" w:hAnsi="仿宋_GB2312" w:eastAsia="仿宋_GB2312" w:cs="仿宋_GB2312"/>
          <w:b w:val="0"/>
          <w:bCs w:val="0"/>
          <w:color w:val="000000"/>
          <w:kern w:val="2"/>
          <w:sz w:val="32"/>
          <w:szCs w:val="32"/>
          <w:lang w:val="en-US" w:eastAsia="zh-CN" w:bidi="ar-SA"/>
        </w:rPr>
        <w:t>于疫情原因培训班未如期举行</w:t>
      </w:r>
      <w:r>
        <w:rPr>
          <w:rFonts w:hint="eastAsia" w:ascii="Times New Roman" w:hAnsi="Times New Roman" w:eastAsia="仿宋_GB2312"/>
          <w:sz w:val="32"/>
          <w:szCs w:val="32"/>
          <w:lang w:val="en-US" w:eastAsia="zh-CN"/>
        </w:rPr>
        <w:t>。</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六、一般公共预算财政拨款基本支出决算情况说明</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年度财政拨款基本支出</w:t>
      </w:r>
      <w:r>
        <w:rPr>
          <w:rFonts w:hint="eastAsia" w:ascii="Times New Roman" w:hAnsi="Times New Roman" w:eastAsia="仿宋_GB2312"/>
          <w:sz w:val="32"/>
          <w:szCs w:val="32"/>
          <w:lang w:val="en-US" w:eastAsia="zh-CN"/>
        </w:rPr>
        <w:t>235.08</w:t>
      </w:r>
      <w:r>
        <w:rPr>
          <w:rFonts w:hint="eastAsia" w:ascii="Times New Roman" w:hAnsi="Times New Roman" w:eastAsia="仿宋_GB2312"/>
          <w:sz w:val="32"/>
          <w:szCs w:val="32"/>
        </w:rPr>
        <w:t>万元，其中：</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b/>
          <w:sz w:val="32"/>
          <w:szCs w:val="32"/>
        </w:rPr>
      </w:pPr>
      <w:r>
        <w:rPr>
          <w:rFonts w:hint="eastAsia" w:ascii="Times New Roman" w:hAnsi="Times New Roman" w:eastAsia="仿宋_GB2312"/>
          <w:b/>
          <w:bCs/>
          <w:sz w:val="32"/>
          <w:szCs w:val="32"/>
        </w:rPr>
        <w:t>人员经费</w:t>
      </w:r>
      <w:r>
        <w:rPr>
          <w:rFonts w:hint="eastAsia" w:ascii="Times New Roman" w:hAnsi="Times New Roman" w:eastAsia="仿宋_GB2312"/>
          <w:sz w:val="32"/>
          <w:szCs w:val="32"/>
          <w:lang w:val="en-US" w:eastAsia="zh-CN"/>
        </w:rPr>
        <w:t>221.95</w:t>
      </w:r>
      <w:r>
        <w:rPr>
          <w:rFonts w:hint="eastAsia" w:ascii="Times New Roman" w:hAnsi="Times New Roman" w:eastAsia="仿宋_GB2312"/>
          <w:sz w:val="32"/>
          <w:szCs w:val="32"/>
        </w:rPr>
        <w:t>万元，占基本支出的</w:t>
      </w:r>
      <w:r>
        <w:rPr>
          <w:rFonts w:hint="eastAsia" w:ascii="Times New Roman" w:hAnsi="Times New Roman" w:eastAsia="仿宋_GB2312"/>
          <w:sz w:val="32"/>
          <w:szCs w:val="32"/>
          <w:lang w:val="en-US" w:eastAsia="zh-CN"/>
        </w:rPr>
        <w:t>94.41</w:t>
      </w:r>
      <w:r>
        <w:rPr>
          <w:rFonts w:hint="eastAsia" w:ascii="Times New Roman" w:hAnsi="Times New Roman" w:eastAsia="仿宋_GB2312"/>
          <w:sz w:val="32"/>
          <w:szCs w:val="32"/>
        </w:rPr>
        <w:t>%,主要包括基本工资、津贴补贴、奖金、伙食补助费</w:t>
      </w:r>
      <w:r>
        <w:rPr>
          <w:rFonts w:hint="eastAsia" w:ascii="Times New Roman" w:hAnsi="Times New Roman" w:eastAsia="仿宋_GB2312"/>
          <w:sz w:val="32"/>
          <w:szCs w:val="32"/>
          <w:lang w:eastAsia="zh-CN"/>
        </w:rPr>
        <w:t>、机关事业单位基本养老保险缴费、职工基本医疗保险缴费、</w:t>
      </w:r>
      <w:r>
        <w:rPr>
          <w:rFonts w:hint="eastAsia" w:ascii="Times New Roman" w:hAnsi="Times New Roman" w:eastAsia="仿宋_GB2312"/>
          <w:sz w:val="32"/>
          <w:szCs w:val="32"/>
          <w:lang w:val="en-US" w:eastAsia="zh-CN"/>
        </w:rPr>
        <w:t>住房公积金、退休费、奖励金、其他对个人和家庭的补助</w:t>
      </w:r>
      <w:r>
        <w:rPr>
          <w:rFonts w:hint="eastAsia" w:ascii="Times New Roman" w:hAnsi="Times New Roman" w:eastAsia="仿宋_GB2312"/>
          <w:sz w:val="32"/>
          <w:szCs w:val="32"/>
        </w:rPr>
        <w:t>。</w:t>
      </w:r>
    </w:p>
    <w:p>
      <w:pPr>
        <w:pStyle w:val="13"/>
        <w:keepNext w:val="0"/>
        <w:keepLines w:val="0"/>
        <w:pageBreakBefore w:val="0"/>
        <w:widowControl w:val="0"/>
        <w:kinsoku/>
        <w:wordWrap/>
        <w:overflowPunct/>
        <w:topLinePunct w:val="0"/>
        <w:bidi w:val="0"/>
        <w:snapToGrid/>
        <w:spacing w:line="600" w:lineRule="exact"/>
        <w:ind w:left="319" w:leftChars="152" w:firstLine="320" w:firstLineChars="100"/>
        <w:textAlignment w:val="auto"/>
        <w:rPr>
          <w:rFonts w:hint="eastAsia" w:ascii="Times New Roman" w:hAnsi="Times New Roman" w:eastAsia="仿宋_GB2312"/>
          <w:sz w:val="32"/>
          <w:szCs w:val="32"/>
          <w:lang w:val="en-US" w:eastAsia="zh-CN"/>
        </w:rPr>
      </w:pPr>
      <w:r>
        <w:rPr>
          <w:rFonts w:hint="eastAsia" w:ascii="Times New Roman" w:hAnsi="Times New Roman" w:eastAsia="仿宋_GB2312"/>
          <w:b/>
          <w:bCs/>
          <w:sz w:val="32"/>
          <w:szCs w:val="32"/>
        </w:rPr>
        <w:t>公用经费</w:t>
      </w:r>
      <w:r>
        <w:rPr>
          <w:rFonts w:hint="eastAsia" w:ascii="Times New Roman" w:hAnsi="Times New Roman" w:eastAsia="仿宋_GB2312"/>
          <w:sz w:val="32"/>
          <w:szCs w:val="32"/>
          <w:lang w:val="en-US" w:eastAsia="zh-CN"/>
        </w:rPr>
        <w:t>13.13</w:t>
      </w:r>
      <w:r>
        <w:rPr>
          <w:rFonts w:hint="eastAsia" w:ascii="Times New Roman" w:hAnsi="Times New Roman" w:eastAsia="仿宋_GB2312"/>
          <w:sz w:val="32"/>
          <w:szCs w:val="32"/>
        </w:rPr>
        <w:t>万元，占基本支出的</w:t>
      </w:r>
      <w:r>
        <w:rPr>
          <w:rFonts w:hint="eastAsia" w:ascii="Times New Roman" w:hAnsi="Times New Roman" w:eastAsia="仿宋_GB2312"/>
          <w:sz w:val="32"/>
          <w:szCs w:val="32"/>
          <w:lang w:val="en-US" w:eastAsia="zh-CN"/>
        </w:rPr>
        <w:t>5.59</w:t>
      </w:r>
      <w:r>
        <w:rPr>
          <w:rFonts w:hint="eastAsia" w:ascii="Times New Roman" w:hAnsi="Times New Roman" w:eastAsia="仿宋_GB2312"/>
          <w:sz w:val="32"/>
          <w:szCs w:val="32"/>
        </w:rPr>
        <w:t>%，主要包括</w:t>
      </w:r>
      <w:r>
        <w:rPr>
          <w:rFonts w:hint="eastAsia" w:ascii="Times New Roman" w:hAnsi="Times New Roman" w:eastAsia="仿宋_GB2312"/>
          <w:sz w:val="32"/>
          <w:szCs w:val="32"/>
          <w:lang w:val="en-US" w:eastAsia="zh-CN"/>
        </w:rPr>
        <w:t>差旅费、工会经费、其他交通费用。</w:t>
      </w:r>
    </w:p>
    <w:p>
      <w:pPr>
        <w:pStyle w:val="13"/>
        <w:keepNext w:val="0"/>
        <w:keepLines w:val="0"/>
        <w:pageBreakBefore w:val="0"/>
        <w:widowControl w:val="0"/>
        <w:kinsoku/>
        <w:wordWrap/>
        <w:overflowPunct/>
        <w:topLinePunct w:val="0"/>
        <w:bidi w:val="0"/>
        <w:snapToGrid/>
        <w:spacing w:line="600" w:lineRule="exact"/>
        <w:ind w:left="319" w:leftChars="152" w:firstLine="320" w:firstLineChars="100"/>
        <w:textAlignment w:val="auto"/>
        <w:rPr>
          <w:rFonts w:ascii="Times New Roman" w:hAnsi="Times New Roman" w:eastAsia="仿宋_GB2312"/>
          <w:b/>
          <w:sz w:val="32"/>
          <w:szCs w:val="32"/>
        </w:rPr>
      </w:pPr>
      <w:r>
        <w:rPr>
          <w:rFonts w:hint="eastAsia" w:ascii="黑体" w:hAnsi="黑体" w:eastAsia="黑体" w:cs="黑体"/>
          <w:b w:val="0"/>
          <w:bCs/>
          <w:sz w:val="32"/>
          <w:szCs w:val="32"/>
        </w:rPr>
        <w:t>七、财政拨款三公经费支出决算情况说明</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楷体" w:hAnsi="楷体" w:eastAsia="楷体" w:cs="楷体"/>
          <w:b/>
          <w:bCs w:val="0"/>
          <w:sz w:val="32"/>
          <w:szCs w:val="32"/>
        </w:rPr>
      </w:pPr>
      <w:r>
        <w:rPr>
          <w:rFonts w:hint="eastAsia" w:ascii="楷体" w:hAnsi="楷体" w:eastAsia="楷体" w:cs="楷体"/>
          <w:b/>
          <w:bCs w:val="0"/>
          <w:sz w:val="32"/>
          <w:szCs w:val="32"/>
        </w:rPr>
        <w:t>（一）“三公”经费财政拨款支出决算总体情况说明</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“三公”经费财政拨款支出预算为</w:t>
      </w:r>
      <w:r>
        <w:rPr>
          <w:rFonts w:hint="eastAsia" w:ascii="Times New Roman" w:hAnsi="Times New Roman" w:eastAsia="仿宋_GB2312"/>
          <w:sz w:val="32"/>
          <w:szCs w:val="32"/>
          <w:lang w:val="en-US" w:eastAsia="zh-CN"/>
        </w:rPr>
        <w:t>6.50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0.56</w:t>
      </w:r>
      <w:r>
        <w:rPr>
          <w:rFonts w:hint="eastAsia" w:ascii="Times New Roman" w:hAnsi="Times New Roman" w:eastAsia="仿宋_GB2312"/>
          <w:sz w:val="32"/>
          <w:szCs w:val="32"/>
        </w:rPr>
        <w:t>万元，完成预算的</w:t>
      </w:r>
      <w:r>
        <w:rPr>
          <w:rFonts w:hint="eastAsia" w:ascii="Times New Roman" w:hAnsi="Times New Roman" w:eastAsia="仿宋_GB2312"/>
          <w:sz w:val="32"/>
          <w:szCs w:val="32"/>
          <w:lang w:val="en-US" w:eastAsia="zh-CN"/>
        </w:rPr>
        <w:t>8.62</w:t>
      </w:r>
      <w:r>
        <w:rPr>
          <w:rFonts w:hint="eastAsia" w:ascii="Times New Roman" w:hAnsi="Times New Roman" w:eastAsia="仿宋_GB2312"/>
          <w:sz w:val="32"/>
          <w:szCs w:val="32"/>
        </w:rPr>
        <w:t>%，其中：</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因公出国（境）费支出预算为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w:t>
      </w:r>
      <w:r>
        <w:rPr>
          <w:rFonts w:hint="eastAsia" w:ascii="Times New Roman" w:hAnsi="Times New Roman" w:eastAsia="仿宋_GB2312"/>
          <w:sz w:val="32"/>
          <w:szCs w:val="32"/>
          <w:lang w:val="en-US" w:eastAsia="zh-CN"/>
        </w:rPr>
        <w:t>与上年持平</w:t>
      </w:r>
      <w:r>
        <w:rPr>
          <w:rFonts w:hint="eastAsia" w:ascii="Times New Roman" w:hAnsi="Times New Roman" w:eastAsia="仿宋_GB2312"/>
          <w:sz w:val="32"/>
          <w:szCs w:val="32"/>
        </w:rPr>
        <w:t>。</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公务接待费支出预算为</w:t>
      </w:r>
      <w:r>
        <w:rPr>
          <w:rFonts w:hint="eastAsia" w:ascii="Times New Roman" w:hAnsi="Times New Roman" w:eastAsia="仿宋_GB2312"/>
          <w:sz w:val="32"/>
          <w:szCs w:val="32"/>
          <w:lang w:val="en-US" w:eastAsia="zh-CN"/>
        </w:rPr>
        <w:t>1.50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0.08</w:t>
      </w:r>
      <w:r>
        <w:rPr>
          <w:rFonts w:hint="eastAsia" w:ascii="Times New Roman" w:hAnsi="Times New Roman" w:eastAsia="仿宋_GB2312"/>
          <w:sz w:val="32"/>
          <w:szCs w:val="32"/>
        </w:rPr>
        <w:t>万元，完成预算的</w:t>
      </w:r>
      <w:r>
        <w:rPr>
          <w:rFonts w:hint="eastAsia" w:ascii="Times New Roman" w:hAnsi="Times New Roman" w:eastAsia="仿宋_GB2312"/>
          <w:sz w:val="32"/>
          <w:szCs w:val="32"/>
          <w:lang w:val="en-US" w:eastAsia="zh-CN"/>
        </w:rPr>
        <w:t>5.33</w:t>
      </w:r>
      <w:r>
        <w:rPr>
          <w:rFonts w:hint="eastAsia" w:ascii="Times New Roman" w:hAnsi="Times New Roman" w:eastAsia="仿宋_GB2312"/>
          <w:sz w:val="32"/>
          <w:szCs w:val="32"/>
        </w:rPr>
        <w:t>%，决算数小</w:t>
      </w:r>
      <w:r>
        <w:rPr>
          <w:rFonts w:hint="eastAsia" w:ascii="Times New Roman" w:hAnsi="Times New Roman" w:eastAsia="仿宋_GB2312"/>
          <w:sz w:val="32"/>
          <w:szCs w:val="32"/>
          <w:lang w:val="en-US" w:eastAsia="zh-CN"/>
        </w:rPr>
        <w:t>于</w:t>
      </w:r>
      <w:r>
        <w:rPr>
          <w:rFonts w:hint="eastAsia" w:ascii="Times New Roman" w:hAnsi="Times New Roman" w:eastAsia="仿宋_GB2312"/>
          <w:sz w:val="32"/>
          <w:szCs w:val="32"/>
        </w:rPr>
        <w:t>预算数的主要原因是</w:t>
      </w:r>
      <w:r>
        <w:rPr>
          <w:rFonts w:hint="eastAsia" w:ascii="Times New Roman" w:hAnsi="Times New Roman" w:eastAsia="仿宋_GB2312"/>
          <w:sz w:val="32"/>
          <w:szCs w:val="32"/>
          <w:lang w:eastAsia="zh-CN"/>
        </w:rPr>
        <w:t>我</w:t>
      </w:r>
      <w:r>
        <w:rPr>
          <w:rFonts w:hint="eastAsia" w:ascii="Times New Roman" w:hAnsi="Times New Roman" w:eastAsia="仿宋_GB2312"/>
          <w:sz w:val="32"/>
          <w:szCs w:val="32"/>
          <w:lang w:val="en-US" w:eastAsia="zh-CN"/>
        </w:rPr>
        <w:t>单位厉行节约，严控三公经费支出</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大力压减公用经费支出</w:t>
      </w:r>
      <w:r>
        <w:rPr>
          <w:rFonts w:hint="eastAsia" w:ascii="Times New Roman" w:hAnsi="Times New Roman" w:eastAsia="仿宋_GB2312"/>
          <w:sz w:val="32"/>
          <w:szCs w:val="32"/>
        </w:rPr>
        <w:t>，与上年相比减少</w:t>
      </w:r>
      <w:r>
        <w:rPr>
          <w:rFonts w:hint="eastAsia" w:ascii="Times New Roman" w:hAnsi="Times New Roman" w:eastAsia="仿宋_GB2312"/>
          <w:sz w:val="32"/>
          <w:szCs w:val="32"/>
          <w:lang w:val="en-US" w:eastAsia="zh-CN"/>
        </w:rPr>
        <w:t>0.11</w:t>
      </w:r>
      <w:r>
        <w:rPr>
          <w:rFonts w:hint="eastAsia" w:ascii="Times New Roman" w:hAnsi="Times New Roman" w:eastAsia="仿宋_GB2312"/>
          <w:sz w:val="32"/>
          <w:szCs w:val="32"/>
        </w:rPr>
        <w:t>万元，减少</w:t>
      </w:r>
      <w:r>
        <w:rPr>
          <w:rFonts w:hint="eastAsia" w:ascii="Times New Roman" w:hAnsi="Times New Roman" w:eastAsia="仿宋_GB2312"/>
          <w:sz w:val="32"/>
          <w:szCs w:val="32"/>
          <w:lang w:val="en-US" w:eastAsia="zh-CN"/>
        </w:rPr>
        <w:t>57.89</w:t>
      </w:r>
      <w:r>
        <w:rPr>
          <w:rFonts w:hint="eastAsia" w:ascii="Times New Roman" w:hAnsi="Times New Roman" w:eastAsia="仿宋_GB2312"/>
          <w:sz w:val="32"/>
          <w:szCs w:val="32"/>
        </w:rPr>
        <w:t>%,减少的主要原因是</w:t>
      </w:r>
      <w:r>
        <w:rPr>
          <w:rFonts w:hint="eastAsia" w:ascii="Times New Roman" w:hAnsi="Times New Roman" w:eastAsia="仿宋_GB2312"/>
          <w:sz w:val="32"/>
          <w:szCs w:val="32"/>
          <w:lang w:eastAsia="zh-CN"/>
        </w:rPr>
        <w:t>我</w:t>
      </w:r>
      <w:r>
        <w:rPr>
          <w:rFonts w:hint="eastAsia" w:ascii="Times New Roman" w:hAnsi="Times New Roman" w:eastAsia="仿宋_GB2312"/>
          <w:sz w:val="32"/>
          <w:szCs w:val="32"/>
          <w:lang w:val="en-US" w:eastAsia="zh-CN"/>
        </w:rPr>
        <w:t>单位厉行节约，严控三公经费支出</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因疫情原因公务接待活动减少</w:t>
      </w:r>
      <w:r>
        <w:rPr>
          <w:rFonts w:hint="eastAsia" w:ascii="Times New Roman" w:hAnsi="Times New Roman" w:eastAsia="仿宋_GB2312"/>
          <w:sz w:val="32"/>
          <w:szCs w:val="32"/>
        </w:rPr>
        <w:t>。</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公务用车购置费支出预算</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w:t>
      </w:r>
      <w:r>
        <w:rPr>
          <w:rFonts w:hint="eastAsia" w:ascii="Times New Roman" w:hAnsi="Times New Roman" w:eastAsia="仿宋_GB2312"/>
          <w:sz w:val="32"/>
          <w:szCs w:val="32"/>
          <w:lang w:val="en-US" w:eastAsia="zh-CN"/>
        </w:rPr>
        <w:t>与上年持平</w:t>
      </w:r>
      <w:r>
        <w:rPr>
          <w:rFonts w:hint="eastAsia" w:ascii="Times New Roman" w:hAnsi="Times New Roman" w:eastAsia="仿宋_GB2312"/>
          <w:sz w:val="32"/>
          <w:szCs w:val="32"/>
        </w:rPr>
        <w:t>。</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公务用车运行维护费支出预算为</w:t>
      </w:r>
      <w:r>
        <w:rPr>
          <w:rFonts w:hint="eastAsia" w:ascii="Times New Roman" w:hAnsi="Times New Roman" w:eastAsia="仿宋_GB2312"/>
          <w:sz w:val="32"/>
          <w:szCs w:val="32"/>
          <w:lang w:val="en-US" w:eastAsia="zh-CN"/>
        </w:rPr>
        <w:t>5.00</w:t>
      </w:r>
      <w:r>
        <w:rPr>
          <w:rFonts w:hint="eastAsia" w:ascii="Times New Roman" w:hAnsi="Times New Roman" w:eastAsia="仿宋_GB2312"/>
          <w:sz w:val="32"/>
          <w:szCs w:val="32"/>
        </w:rPr>
        <w:t>万元，支出决算为</w:t>
      </w:r>
      <w:r>
        <w:rPr>
          <w:rFonts w:hint="eastAsia" w:ascii="Times New Roman" w:hAnsi="Times New Roman" w:eastAsia="仿宋_GB2312"/>
          <w:sz w:val="32"/>
          <w:szCs w:val="32"/>
          <w:lang w:val="en-US" w:eastAsia="zh-CN"/>
        </w:rPr>
        <w:t>0.48</w:t>
      </w:r>
      <w:r>
        <w:rPr>
          <w:rFonts w:hint="eastAsia" w:ascii="Times New Roman" w:hAnsi="Times New Roman" w:eastAsia="仿宋_GB2312"/>
          <w:sz w:val="32"/>
          <w:szCs w:val="32"/>
        </w:rPr>
        <w:t>万元，完成预算的</w:t>
      </w:r>
      <w:r>
        <w:rPr>
          <w:rFonts w:hint="eastAsia" w:ascii="Times New Roman" w:hAnsi="Times New Roman" w:eastAsia="仿宋_GB2312"/>
          <w:sz w:val="32"/>
          <w:szCs w:val="32"/>
          <w:lang w:val="en-US" w:eastAsia="zh-CN"/>
        </w:rPr>
        <w:t>9.06</w:t>
      </w:r>
      <w:r>
        <w:rPr>
          <w:rFonts w:hint="eastAsia" w:ascii="Times New Roman" w:hAnsi="Times New Roman" w:eastAsia="仿宋_GB2312"/>
          <w:sz w:val="32"/>
          <w:szCs w:val="32"/>
        </w:rPr>
        <w:t>%，决算数小于预算数的主要原因是</w:t>
      </w:r>
      <w:r>
        <w:rPr>
          <w:rFonts w:hint="eastAsia" w:ascii="Times New Roman" w:hAnsi="Times New Roman" w:eastAsia="仿宋_GB2312"/>
          <w:sz w:val="32"/>
          <w:szCs w:val="32"/>
          <w:lang w:eastAsia="zh-CN"/>
        </w:rPr>
        <w:t>我</w:t>
      </w:r>
      <w:r>
        <w:rPr>
          <w:rFonts w:hint="eastAsia" w:ascii="Times New Roman" w:hAnsi="Times New Roman" w:eastAsia="仿宋_GB2312"/>
          <w:sz w:val="32"/>
          <w:szCs w:val="32"/>
          <w:lang w:val="en-US" w:eastAsia="zh-CN"/>
        </w:rPr>
        <w:t>单位厉行节约，严控三公经费支出</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大力压减公用经费支出</w:t>
      </w:r>
      <w:r>
        <w:rPr>
          <w:rFonts w:hint="eastAsia" w:ascii="Times New Roman" w:hAnsi="Times New Roman" w:eastAsia="仿宋_GB2312"/>
          <w:sz w:val="32"/>
          <w:szCs w:val="32"/>
        </w:rPr>
        <w:t>，与上年相比减少</w:t>
      </w:r>
      <w:r>
        <w:rPr>
          <w:rFonts w:hint="eastAsia" w:ascii="Times New Roman" w:hAnsi="Times New Roman" w:eastAsia="仿宋_GB2312"/>
          <w:sz w:val="32"/>
          <w:szCs w:val="32"/>
          <w:lang w:val="en-US" w:eastAsia="zh-CN"/>
        </w:rPr>
        <w:t>1.30</w:t>
      </w:r>
      <w:r>
        <w:rPr>
          <w:rFonts w:hint="eastAsia" w:ascii="Times New Roman" w:hAnsi="Times New Roman" w:eastAsia="仿宋_GB2312"/>
          <w:sz w:val="32"/>
          <w:szCs w:val="32"/>
        </w:rPr>
        <w:t>万元，减少</w:t>
      </w:r>
      <w:r>
        <w:rPr>
          <w:rFonts w:hint="eastAsia" w:ascii="Times New Roman" w:hAnsi="Times New Roman" w:eastAsia="仿宋_GB2312"/>
          <w:sz w:val="32"/>
          <w:szCs w:val="32"/>
          <w:lang w:val="en-US" w:eastAsia="zh-CN"/>
        </w:rPr>
        <w:t>73.03</w:t>
      </w:r>
      <w:r>
        <w:rPr>
          <w:rFonts w:hint="eastAsia" w:ascii="Times New Roman" w:hAnsi="Times New Roman" w:eastAsia="仿宋_GB2312"/>
          <w:sz w:val="32"/>
          <w:szCs w:val="32"/>
        </w:rPr>
        <w:t>%,减少的主要原因是</w:t>
      </w:r>
      <w:r>
        <w:rPr>
          <w:rFonts w:hint="eastAsia" w:ascii="Times New Roman" w:hAnsi="Times New Roman" w:eastAsia="仿宋_GB2312"/>
          <w:sz w:val="32"/>
          <w:szCs w:val="32"/>
          <w:lang w:eastAsia="zh-CN"/>
        </w:rPr>
        <w:t>我</w:t>
      </w:r>
      <w:r>
        <w:rPr>
          <w:rFonts w:hint="eastAsia" w:ascii="Times New Roman" w:hAnsi="Times New Roman" w:eastAsia="仿宋_GB2312"/>
          <w:sz w:val="32"/>
          <w:szCs w:val="32"/>
          <w:lang w:val="en-US" w:eastAsia="zh-CN"/>
        </w:rPr>
        <w:t>单位厉行节约，严控三公经费支出</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大力压减公用经费支出。</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楷体" w:hAnsi="楷体" w:eastAsia="楷体" w:cs="楷体"/>
          <w:b/>
          <w:bCs w:val="0"/>
          <w:sz w:val="32"/>
          <w:szCs w:val="32"/>
        </w:rPr>
      </w:pPr>
      <w:r>
        <w:rPr>
          <w:rFonts w:hint="eastAsia" w:ascii="楷体" w:hAnsi="楷体" w:eastAsia="楷体" w:cs="楷体"/>
          <w:b/>
          <w:bCs w:val="0"/>
          <w:sz w:val="32"/>
          <w:szCs w:val="32"/>
        </w:rPr>
        <w:t>（二）“三公”经费财政拨款支出决算具体情况说明</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年度“三公”经费财政拨款支出决算中，公务接待费支出决算</w:t>
      </w:r>
      <w:r>
        <w:rPr>
          <w:rFonts w:hint="eastAsia" w:ascii="Times New Roman" w:hAnsi="Times New Roman" w:eastAsia="仿宋_GB2312"/>
          <w:sz w:val="32"/>
          <w:szCs w:val="32"/>
          <w:lang w:val="en-US" w:eastAsia="zh-CN"/>
        </w:rPr>
        <w:t>0.08</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14.29</w:t>
      </w:r>
      <w:r>
        <w:rPr>
          <w:rFonts w:hint="eastAsia" w:ascii="Times New Roman" w:hAnsi="Times New Roman" w:eastAsia="仿宋_GB2312"/>
          <w:sz w:val="32"/>
          <w:szCs w:val="32"/>
        </w:rPr>
        <w:t>%,因公出国（境）费支出决算</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%,公务用车购置费及运行维护费支出决算</w:t>
      </w:r>
      <w:r>
        <w:rPr>
          <w:rFonts w:hint="eastAsia" w:ascii="Times New Roman" w:hAnsi="Times New Roman" w:eastAsia="仿宋_GB2312"/>
          <w:sz w:val="32"/>
          <w:szCs w:val="32"/>
          <w:lang w:val="en-US" w:eastAsia="zh-CN"/>
        </w:rPr>
        <w:t>0.48</w:t>
      </w:r>
      <w:r>
        <w:rPr>
          <w:rFonts w:hint="eastAsia" w:ascii="Times New Roman" w:hAnsi="Times New Roman" w:eastAsia="仿宋_GB2312"/>
          <w:sz w:val="32"/>
          <w:szCs w:val="32"/>
        </w:rPr>
        <w:t>万元，占</w:t>
      </w:r>
      <w:r>
        <w:rPr>
          <w:rFonts w:hint="eastAsia" w:ascii="Times New Roman" w:hAnsi="Times New Roman" w:eastAsia="仿宋_GB2312"/>
          <w:sz w:val="32"/>
          <w:szCs w:val="32"/>
          <w:lang w:val="en-US" w:eastAsia="zh-CN"/>
        </w:rPr>
        <w:t>85.71</w:t>
      </w:r>
      <w:r>
        <w:rPr>
          <w:rFonts w:hint="eastAsia" w:ascii="Times New Roman" w:hAnsi="Times New Roman" w:eastAsia="仿宋_GB2312"/>
          <w:sz w:val="32"/>
          <w:szCs w:val="32"/>
        </w:rPr>
        <w:t>%。其中：</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Times New Roman" w:hAnsi="Times New Roman" w:eastAsia="仿宋_GB2312"/>
          <w:sz w:val="32"/>
          <w:szCs w:val="32"/>
          <w:lang w:eastAsia="zh-CN"/>
        </w:rPr>
      </w:pP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因公出国（境）费支出决算为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万元，全年安排因公出国（境）团组0个，累计0人次</w:t>
      </w:r>
      <w:r>
        <w:rPr>
          <w:rFonts w:hint="eastAsia" w:ascii="Times New Roman" w:hAnsi="Times New Roman" w:eastAsia="仿宋_GB2312"/>
          <w:sz w:val="32"/>
          <w:szCs w:val="32"/>
          <w:lang w:eastAsia="zh-CN"/>
        </w:rPr>
        <w:t>。</w:t>
      </w:r>
    </w:p>
    <w:p>
      <w:pPr>
        <w:pStyle w:val="13"/>
        <w:keepNext w:val="0"/>
        <w:keepLines w:val="0"/>
        <w:pageBreakBefore w:val="0"/>
        <w:widowControl w:val="0"/>
        <w:kinsoku/>
        <w:wordWrap/>
        <w:overflowPunct/>
        <w:topLinePunct w:val="0"/>
        <w:bidi w:val="0"/>
        <w:snapToGrid/>
        <w:spacing w:line="600" w:lineRule="exact"/>
        <w:ind w:firstLine="800" w:firstLineChars="250"/>
        <w:textAlignment w:val="auto"/>
        <w:rPr>
          <w:rFonts w:ascii="Times New Roman" w:hAnsi="Times New Roman" w:eastAsia="仿宋_GB2312"/>
          <w:sz w:val="32"/>
          <w:szCs w:val="32"/>
        </w:rPr>
      </w:pPr>
      <w:r>
        <w:rPr>
          <w:rFonts w:hint="eastAsia" w:ascii="Times New Roman" w:hAnsi="Times New Roman" w:eastAsia="仿宋_GB2312"/>
          <w:sz w:val="32"/>
          <w:szCs w:val="32"/>
        </w:rPr>
        <w:t>2、公务接待费支出决算为</w:t>
      </w:r>
      <w:r>
        <w:rPr>
          <w:rFonts w:hint="eastAsia" w:ascii="Times New Roman" w:hAnsi="Times New Roman" w:eastAsia="仿宋_GB2312"/>
          <w:sz w:val="32"/>
          <w:szCs w:val="32"/>
          <w:lang w:val="en-US" w:eastAsia="zh-CN"/>
        </w:rPr>
        <w:t>0.08</w:t>
      </w:r>
      <w:r>
        <w:rPr>
          <w:rFonts w:hint="eastAsia" w:ascii="Times New Roman" w:hAnsi="Times New Roman" w:eastAsia="仿宋_GB2312"/>
          <w:sz w:val="32"/>
          <w:szCs w:val="32"/>
        </w:rPr>
        <w:t>万元，全年共接待来访团组</w:t>
      </w: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个、来宾</w:t>
      </w:r>
      <w:r>
        <w:rPr>
          <w:rFonts w:hint="eastAsia" w:ascii="Times New Roman" w:hAnsi="Times New Roman" w:eastAsia="仿宋_GB2312"/>
          <w:sz w:val="32"/>
          <w:szCs w:val="32"/>
          <w:lang w:val="en-US" w:eastAsia="zh-CN"/>
        </w:rPr>
        <w:t>4</w:t>
      </w:r>
      <w:r>
        <w:rPr>
          <w:rFonts w:hint="eastAsia" w:ascii="Times New Roman" w:hAnsi="Times New Roman" w:eastAsia="仿宋_GB2312"/>
          <w:sz w:val="32"/>
          <w:szCs w:val="32"/>
        </w:rPr>
        <w:t>人次，主要</w:t>
      </w:r>
      <w:r>
        <w:rPr>
          <w:rFonts w:hint="eastAsia" w:ascii="Times New Roman" w:hAnsi="Times New Roman" w:eastAsia="仿宋_GB2312"/>
          <w:sz w:val="32"/>
          <w:szCs w:val="32"/>
          <w:lang w:val="en-US" w:eastAsia="zh-CN"/>
        </w:rPr>
        <w:t>是中央部委抽样工作</w:t>
      </w:r>
      <w:r>
        <w:rPr>
          <w:rFonts w:hint="eastAsia" w:ascii="Times New Roman" w:hAnsi="Times New Roman" w:eastAsia="仿宋_GB2312"/>
          <w:sz w:val="32"/>
          <w:szCs w:val="32"/>
        </w:rPr>
        <w:t>发生的接待支出。</w:t>
      </w:r>
    </w:p>
    <w:p>
      <w:pPr>
        <w:keepNext w:val="0"/>
        <w:keepLines w:val="0"/>
        <w:pageBreakBefore w:val="0"/>
        <w:widowControl w:val="0"/>
        <w:kinsoku/>
        <w:wordWrap/>
        <w:overflowPunct/>
        <w:topLinePunct w:val="0"/>
        <w:bidi w:val="0"/>
        <w:snapToGrid/>
        <w:spacing w:line="600" w:lineRule="exact"/>
        <w:ind w:firstLine="800" w:firstLineChars="250"/>
        <w:textAlignment w:val="auto"/>
        <w:rPr>
          <w:rFonts w:hint="eastAsia" w:ascii="楷体" w:hAnsi="楷体" w:eastAsia="楷体" w:cs="楷体"/>
          <w:b/>
          <w:bCs/>
          <w:i/>
          <w:color w:val="auto"/>
          <w:kern w:val="0"/>
          <w:sz w:val="32"/>
          <w:szCs w:val="32"/>
          <w:lang w:val="en-US" w:eastAsia="zh-CN" w:bidi="ar-SA"/>
        </w:rPr>
      </w:pPr>
      <w:r>
        <w:rPr>
          <w:rFonts w:hint="eastAsia" w:ascii="Times New Roman" w:hAnsi="Times New Roman" w:eastAsia="仿宋_GB2312"/>
          <w:sz w:val="32"/>
          <w:szCs w:val="32"/>
        </w:rPr>
        <w:t>3、公务用车购置费及运行维护费支出决算为</w:t>
      </w:r>
      <w:r>
        <w:rPr>
          <w:rFonts w:hint="eastAsia" w:ascii="Times New Roman" w:hAnsi="Times New Roman" w:eastAsia="仿宋_GB2312"/>
          <w:sz w:val="32"/>
          <w:szCs w:val="32"/>
          <w:lang w:val="en-US" w:eastAsia="zh-CN"/>
        </w:rPr>
        <w:t>0.48</w:t>
      </w:r>
      <w:r>
        <w:rPr>
          <w:rFonts w:hint="eastAsia" w:ascii="Times New Roman" w:hAnsi="Times New Roman" w:eastAsia="仿宋_GB2312"/>
          <w:sz w:val="32"/>
          <w:szCs w:val="32"/>
        </w:rPr>
        <w:t>万元，其中：公务用车购置费</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w:t>
      </w:r>
      <w:r>
        <w:rPr>
          <w:rFonts w:hint="eastAsia" w:ascii="Times New Roman" w:hAnsi="Times New Roman" w:eastAsia="仿宋_GB2312"/>
          <w:sz w:val="32"/>
          <w:szCs w:val="32"/>
          <w:lang w:eastAsia="zh-CN"/>
        </w:rPr>
        <w:t>，更新公务用车</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lang w:eastAsia="zh-CN"/>
        </w:rPr>
        <w:t>辆</w:t>
      </w:r>
      <w:r>
        <w:rPr>
          <w:rFonts w:hint="eastAsia" w:ascii="Times New Roman" w:hAnsi="Times New Roman" w:eastAsia="仿宋_GB2312"/>
          <w:color w:val="000000" w:themeColor="text1"/>
          <w:sz w:val="32"/>
          <w:szCs w:val="32"/>
          <w14:textFill>
            <w14:solidFill>
              <w14:schemeClr w14:val="tx1"/>
            </w14:solidFill>
          </w14:textFill>
        </w:rPr>
        <w:t>。</w:t>
      </w:r>
      <w:r>
        <w:rPr>
          <w:rFonts w:hint="eastAsia" w:ascii="Times New Roman" w:hAnsi="Times New Roman" w:eastAsia="仿宋_GB2312"/>
          <w:sz w:val="32"/>
          <w:szCs w:val="32"/>
        </w:rPr>
        <w:t>公务用车运行维护费</w:t>
      </w:r>
      <w:r>
        <w:rPr>
          <w:rFonts w:hint="eastAsia" w:ascii="Times New Roman" w:hAnsi="Times New Roman" w:eastAsia="仿宋_GB2312"/>
          <w:sz w:val="32"/>
          <w:szCs w:val="32"/>
          <w:lang w:val="en-US" w:eastAsia="zh-CN"/>
        </w:rPr>
        <w:t>0.48</w:t>
      </w:r>
      <w:r>
        <w:rPr>
          <w:rFonts w:hint="eastAsia" w:ascii="Times New Roman" w:hAnsi="Times New Roman" w:eastAsia="仿宋_GB2312"/>
          <w:sz w:val="32"/>
          <w:szCs w:val="32"/>
        </w:rPr>
        <w:t>万元，主要是</w:t>
      </w:r>
      <w:r>
        <w:rPr>
          <w:rFonts w:hint="eastAsia" w:ascii="Times New Roman" w:hAnsi="Times New Roman" w:eastAsia="仿宋_GB2312"/>
          <w:sz w:val="32"/>
          <w:szCs w:val="32"/>
          <w:lang w:val="en-US" w:eastAsia="zh-CN"/>
        </w:rPr>
        <w:t>公务用车加油、保险费</w:t>
      </w:r>
      <w:r>
        <w:rPr>
          <w:rFonts w:hint="eastAsia" w:ascii="Times New Roman" w:hAnsi="Times New Roman" w:eastAsia="仿宋_GB2312"/>
          <w:sz w:val="32"/>
          <w:szCs w:val="32"/>
        </w:rPr>
        <w:t>支出，截止202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年12月31日，我单位开支财政拨款的公务用车保有量为</w:t>
      </w: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辆。</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八、政府性基金预算收入支出决算情况</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cstheme="minorBidi"/>
          <w:color w:val="auto"/>
          <w:kern w:val="2"/>
          <w:sz w:val="32"/>
          <w:szCs w:val="32"/>
          <w:lang w:val="en-US" w:eastAsia="zh-CN" w:bidi="ar-SA"/>
        </w:rPr>
      </w:pPr>
      <w:r>
        <w:rPr>
          <w:rFonts w:hint="eastAsia" w:ascii="Times New Roman" w:hAnsi="Times New Roman" w:eastAsia="仿宋_GB2312" w:cstheme="minorBidi"/>
          <w:color w:val="auto"/>
          <w:kern w:val="2"/>
          <w:sz w:val="32"/>
          <w:szCs w:val="32"/>
          <w:lang w:val="en-US" w:eastAsia="zh-CN" w:bidi="ar-SA"/>
        </w:rPr>
        <w:t>本单位无政府性基金收支。</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b/>
          <w:sz w:val="32"/>
          <w:szCs w:val="32"/>
        </w:rPr>
      </w:pPr>
      <w:r>
        <w:rPr>
          <w:rFonts w:hint="eastAsia" w:ascii="Times New Roman" w:hAnsi="Times New Roman" w:eastAsia="仿宋_GB2312"/>
          <w:b/>
          <w:sz w:val="32"/>
          <w:szCs w:val="32"/>
        </w:rPr>
        <w:t>九、关于机关运行经费支出说明</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rPr>
      </w:pP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本部门202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年度机关运行经费支出</w:t>
      </w:r>
      <w:r>
        <w:rPr>
          <w:rFonts w:hint="eastAsia" w:ascii="Times New Roman" w:hAnsi="Times New Roman" w:eastAsia="仿宋_GB2312"/>
          <w:sz w:val="32"/>
          <w:szCs w:val="32"/>
          <w:lang w:val="en-US" w:eastAsia="zh-CN"/>
        </w:rPr>
        <w:t>13.13</w:t>
      </w:r>
      <w:r>
        <w:rPr>
          <w:rFonts w:hint="eastAsia" w:ascii="Times New Roman" w:hAnsi="Times New Roman" w:eastAsia="仿宋_GB2312"/>
          <w:sz w:val="32"/>
          <w:szCs w:val="32"/>
        </w:rPr>
        <w:t>万元</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比上年决算数减少</w:t>
      </w:r>
      <w:r>
        <w:rPr>
          <w:rFonts w:hint="eastAsia" w:ascii="Times New Roman" w:hAnsi="Times New Roman" w:eastAsia="仿宋_GB2312"/>
          <w:sz w:val="32"/>
          <w:szCs w:val="32"/>
          <w:lang w:val="en-US" w:eastAsia="zh-CN"/>
        </w:rPr>
        <w:t>1.12</w:t>
      </w:r>
      <w:r>
        <w:rPr>
          <w:rFonts w:hint="eastAsia" w:ascii="Times New Roman" w:hAnsi="Times New Roman" w:eastAsia="仿宋_GB2312"/>
          <w:sz w:val="32"/>
          <w:szCs w:val="32"/>
        </w:rPr>
        <w:t>万元，降低</w:t>
      </w:r>
      <w:r>
        <w:rPr>
          <w:rFonts w:hint="eastAsia" w:ascii="Times New Roman" w:hAnsi="Times New Roman" w:eastAsia="仿宋_GB2312"/>
          <w:sz w:val="32"/>
          <w:szCs w:val="32"/>
          <w:lang w:val="en-US" w:eastAsia="zh-CN"/>
        </w:rPr>
        <w:t>7.85</w:t>
      </w:r>
      <w:r>
        <w:rPr>
          <w:rFonts w:hint="eastAsia" w:ascii="Times New Roman" w:hAnsi="Times New Roman" w:eastAsia="仿宋_GB2312"/>
          <w:sz w:val="32"/>
          <w:szCs w:val="32"/>
        </w:rPr>
        <w:t>%。主要原因是：</w:t>
      </w:r>
      <w:r>
        <w:rPr>
          <w:rFonts w:hint="eastAsia" w:ascii="Times New Roman" w:hAnsi="Times New Roman" w:eastAsia="仿宋_GB2312"/>
          <w:sz w:val="32"/>
          <w:szCs w:val="32"/>
          <w:lang w:eastAsia="zh-CN"/>
        </w:rPr>
        <w:t>我</w:t>
      </w:r>
      <w:r>
        <w:rPr>
          <w:rFonts w:hint="eastAsia" w:ascii="Times New Roman" w:hAnsi="Times New Roman" w:eastAsia="仿宋_GB2312"/>
          <w:sz w:val="32"/>
          <w:szCs w:val="32"/>
          <w:lang w:val="en-US" w:eastAsia="zh-CN"/>
        </w:rPr>
        <w:t>单位厉行节约，大力压减公用经费支出</w:t>
      </w:r>
      <w:r>
        <w:rPr>
          <w:rFonts w:hint="eastAsia" w:ascii="Times New Roman" w:hAnsi="Times New Roman" w:eastAsia="仿宋_GB2312"/>
          <w:sz w:val="32"/>
          <w:szCs w:val="32"/>
        </w:rPr>
        <w:t>。</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十、一般性支出情况说明</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年本部门开支会议费</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万元；开支培训费</w:t>
      </w:r>
      <w:r>
        <w:rPr>
          <w:rFonts w:hint="eastAsia" w:ascii="Times New Roman" w:hAnsi="Times New Roman" w:eastAsia="仿宋_GB2312"/>
          <w:sz w:val="32"/>
          <w:szCs w:val="32"/>
          <w:lang w:val="en-US" w:eastAsia="zh-CN"/>
        </w:rPr>
        <w:t>0.03</w:t>
      </w:r>
      <w:r>
        <w:rPr>
          <w:rFonts w:hint="eastAsia" w:ascii="Times New Roman" w:hAnsi="Times New Roman" w:eastAsia="仿宋_GB2312"/>
          <w:sz w:val="32"/>
          <w:szCs w:val="32"/>
        </w:rPr>
        <w:t>万元，用于开展</w:t>
      </w:r>
      <w:r>
        <w:rPr>
          <w:rFonts w:hint="eastAsia" w:ascii="Times New Roman" w:hAnsi="Times New Roman" w:eastAsia="仿宋_GB2312"/>
          <w:sz w:val="32"/>
          <w:szCs w:val="32"/>
          <w:lang w:val="en-US" w:eastAsia="zh-CN"/>
        </w:rPr>
        <w:t>事业单位人员</w:t>
      </w:r>
      <w:r>
        <w:rPr>
          <w:rFonts w:hint="eastAsia" w:ascii="Times New Roman" w:hAnsi="Times New Roman" w:eastAsia="仿宋_GB2312"/>
          <w:sz w:val="32"/>
          <w:szCs w:val="32"/>
        </w:rPr>
        <w:t>培训，人数</w:t>
      </w: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人，内容为</w:t>
      </w:r>
      <w:r>
        <w:rPr>
          <w:rFonts w:hint="eastAsia" w:ascii="Times New Roman" w:hAnsi="Times New Roman" w:eastAsia="仿宋_GB2312"/>
          <w:sz w:val="32"/>
          <w:szCs w:val="32"/>
          <w:lang w:val="en-US" w:eastAsia="zh-CN"/>
        </w:rPr>
        <w:t>事业单位人员培训</w:t>
      </w:r>
      <w:r>
        <w:rPr>
          <w:rFonts w:hint="eastAsia" w:ascii="Times New Roman" w:hAnsi="Times New Roman" w:eastAsia="仿宋_GB2312"/>
          <w:sz w:val="32"/>
          <w:szCs w:val="32"/>
        </w:rPr>
        <w:t>；</w:t>
      </w:r>
      <w:r>
        <w:rPr>
          <w:rFonts w:hint="eastAsia" w:ascii="Times New Roman" w:hAnsi="Times New Roman" w:eastAsia="仿宋_GB2312"/>
          <w:sz w:val="32"/>
          <w:szCs w:val="32"/>
          <w:lang w:val="en-US" w:eastAsia="zh-CN"/>
        </w:rPr>
        <w:t>未</w:t>
      </w:r>
      <w:r>
        <w:rPr>
          <w:rFonts w:hint="eastAsia" w:ascii="Times New Roman" w:hAnsi="Times New Roman" w:eastAsia="仿宋_GB2312"/>
          <w:sz w:val="32"/>
          <w:szCs w:val="32"/>
        </w:rPr>
        <w:t>举办节庆、晚会、论坛、赛事活动。</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十一、关于政府采购支出说明</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Times New Roman" w:hAnsi="Times New Roman" w:eastAsia="仿宋_GB2312"/>
          <w:sz w:val="32"/>
          <w:szCs w:val="32"/>
        </w:rPr>
      </w:pPr>
      <w:r>
        <w:rPr>
          <w:rFonts w:hint="eastAsia" w:ascii="Times New Roman" w:hAnsi="Times New Roman" w:eastAsia="仿宋_GB2312"/>
          <w:sz w:val="32"/>
          <w:szCs w:val="32"/>
        </w:rPr>
        <w:t>本部门202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年度政府采购支出总额</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万元，其中：政府采购货物支出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 xml:space="preserve"> 万元、政府采购工程支出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万元、政府采购服务支出</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万元。授予中小企业合同金额0万元，占政府采购支出总额的百分比无法计算，原因是政府采购支出总额为0万元，其中：授予小微企业合同金额0万元，占政府采购支出总额的百分比无法计算，原因是政府采购支出总额0万元</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bookmarkStart w:id="1" w:name="_GoBack"/>
      <w:bookmarkEnd w:id="1"/>
      <w:r>
        <w:rPr>
          <w:rFonts w:hint="eastAsia" w:ascii="黑体" w:hAnsi="黑体" w:eastAsia="黑体" w:cs="黑体"/>
          <w:b w:val="0"/>
          <w:bCs/>
          <w:sz w:val="32"/>
          <w:szCs w:val="32"/>
        </w:rPr>
        <w:t>十二、关于国有资产占用情况说明</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ascii="Times New Roman" w:hAnsi="Times New Roman" w:eastAsia="仿宋_GB2312"/>
          <w:sz w:val="32"/>
          <w:szCs w:val="32"/>
        </w:rPr>
      </w:pPr>
      <w:r>
        <w:rPr>
          <w:rFonts w:hint="eastAsia" w:ascii="Times New Roman" w:hAnsi="Times New Roman" w:eastAsia="仿宋_GB2312"/>
          <w:sz w:val="32"/>
          <w:szCs w:val="32"/>
        </w:rPr>
        <w:t>截至202</w:t>
      </w:r>
      <w:r>
        <w:rPr>
          <w:rFonts w:hint="eastAsia" w:ascii="Times New Roman" w:hAnsi="Times New Roman" w:eastAsia="仿宋_GB2312"/>
          <w:sz w:val="32"/>
          <w:szCs w:val="32"/>
          <w:lang w:val="en-US" w:eastAsia="zh-CN"/>
        </w:rPr>
        <w:t>2</w:t>
      </w:r>
      <w:r>
        <w:rPr>
          <w:rFonts w:hint="eastAsia" w:ascii="Times New Roman" w:hAnsi="Times New Roman" w:eastAsia="仿宋_GB2312"/>
          <w:sz w:val="32"/>
          <w:szCs w:val="32"/>
        </w:rPr>
        <w:t>年12月31日，本单位共有车辆</w:t>
      </w: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辆，其中，主要领导干部用车</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辆，机要通信用车</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辆、应急保障用车</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辆、执法执勤用车</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辆、特种专业技术用车</w:t>
      </w:r>
      <w:r>
        <w:rPr>
          <w:rFonts w:hint="eastAsia" w:ascii="Times New Roman" w:hAnsi="Times New Roman" w:eastAsia="仿宋_GB2312"/>
          <w:sz w:val="32"/>
          <w:szCs w:val="32"/>
          <w:lang w:val="en-US" w:eastAsia="zh-CN"/>
        </w:rPr>
        <w:t>1</w:t>
      </w:r>
      <w:r>
        <w:rPr>
          <w:rFonts w:hint="eastAsia" w:ascii="Times New Roman" w:hAnsi="Times New Roman" w:eastAsia="仿宋_GB2312"/>
          <w:sz w:val="32"/>
          <w:szCs w:val="32"/>
        </w:rPr>
        <w:t>辆、其他用车</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辆；单位价值50万元以上通用设备</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台（套）；单位价值100万元以上专用设备</w:t>
      </w:r>
      <w:r>
        <w:rPr>
          <w:rFonts w:hint="eastAsia" w:ascii="Times New Roman" w:hAnsi="Times New Roman" w:eastAsia="仿宋_GB2312"/>
          <w:sz w:val="32"/>
          <w:szCs w:val="32"/>
          <w:lang w:val="en-US" w:eastAsia="zh-CN"/>
        </w:rPr>
        <w:t>0</w:t>
      </w:r>
      <w:r>
        <w:rPr>
          <w:rFonts w:hint="eastAsia" w:ascii="Times New Roman" w:hAnsi="Times New Roman" w:eastAsia="仿宋_GB2312"/>
          <w:sz w:val="32"/>
          <w:szCs w:val="32"/>
        </w:rPr>
        <w:t>台（套）。</w:t>
      </w:r>
    </w:p>
    <w:p>
      <w:pPr>
        <w:pStyle w:val="13"/>
        <w:keepNext w:val="0"/>
        <w:keepLines w:val="0"/>
        <w:pageBreakBefore w:val="0"/>
        <w:widowControl w:val="0"/>
        <w:kinsoku/>
        <w:wordWrap/>
        <w:overflowPunct/>
        <w:topLinePunct w:val="0"/>
        <w:bidi w:val="0"/>
        <w:snapToGrid/>
        <w:spacing w:line="600" w:lineRule="exact"/>
        <w:ind w:firstLine="640" w:firstLineChars="200"/>
        <w:textAlignment w:val="auto"/>
        <w:rPr>
          <w:rFonts w:hint="eastAsia" w:ascii="黑体" w:hAnsi="黑体" w:eastAsia="黑体" w:cs="黑体"/>
          <w:b w:val="0"/>
          <w:bCs/>
          <w:sz w:val="32"/>
          <w:szCs w:val="32"/>
        </w:rPr>
      </w:pPr>
      <w:r>
        <w:rPr>
          <w:rFonts w:hint="eastAsia" w:ascii="黑体" w:hAnsi="黑体" w:eastAsia="黑体" w:cs="黑体"/>
          <w:b w:val="0"/>
          <w:bCs/>
          <w:sz w:val="32"/>
          <w:szCs w:val="32"/>
        </w:rPr>
        <w:t>十三、关于</w:t>
      </w:r>
      <w:r>
        <w:rPr>
          <w:rFonts w:hint="eastAsia" w:ascii="Times New Roman" w:hAnsi="Times New Roman" w:eastAsia="仿宋_GB2312"/>
          <w:sz w:val="32"/>
          <w:szCs w:val="32"/>
        </w:rPr>
        <w:t>202</w:t>
      </w:r>
      <w:r>
        <w:rPr>
          <w:rFonts w:hint="eastAsia" w:ascii="Times New Roman" w:hAnsi="Times New Roman" w:eastAsia="仿宋_GB2312"/>
          <w:sz w:val="32"/>
          <w:szCs w:val="32"/>
          <w:lang w:val="en-US" w:eastAsia="zh-CN"/>
        </w:rPr>
        <w:t>2</w:t>
      </w:r>
      <w:r>
        <w:rPr>
          <w:rFonts w:hint="eastAsia" w:ascii="黑体" w:hAnsi="黑体" w:eastAsia="黑体" w:cs="黑体"/>
          <w:b w:val="0"/>
          <w:bCs/>
          <w:sz w:val="32"/>
          <w:szCs w:val="32"/>
        </w:rPr>
        <w:t>年度预算绩效情况的说明</w:t>
      </w:r>
    </w:p>
    <w:p>
      <w:pPr>
        <w:numPr>
          <w:ilvl w:val="0"/>
          <w:numId w:val="0"/>
        </w:numPr>
        <w:ind w:firstLine="640" w:firstLineChars="200"/>
        <w:rPr>
          <w:rFonts w:hint="eastAsia" w:ascii="Times New Roman" w:hAnsi="Times New Roman" w:eastAsia="仿宋_GB2312" w:cs="黑体"/>
          <w:color w:val="000000"/>
          <w:kern w:val="0"/>
          <w:sz w:val="32"/>
          <w:szCs w:val="32"/>
          <w:lang w:val="en-US" w:eastAsia="zh-CN" w:bidi="ar-SA"/>
        </w:rPr>
      </w:pPr>
      <w:r>
        <w:rPr>
          <w:rFonts w:hint="eastAsia" w:ascii="Times New Roman" w:hAnsi="Times New Roman" w:eastAsia="仿宋_GB2312" w:cs="黑体"/>
          <w:color w:val="000000"/>
          <w:kern w:val="0"/>
          <w:sz w:val="32"/>
          <w:szCs w:val="32"/>
          <w:lang w:val="en-US" w:eastAsia="zh-CN" w:bidi="ar-SA"/>
        </w:rPr>
        <w:t>2022年，我办在厅党组的关心支持下，坚持党建引领，做到党建与业务工作有机融合。按照年初工作计划，配合厅畜牧兽医处切实做好饲料行业监督管理与服务工作。</w:t>
      </w:r>
    </w:p>
    <w:p>
      <w:pPr>
        <w:spacing w:line="360" w:lineRule="auto"/>
        <w:ind w:firstLine="640" w:firstLineChars="200"/>
        <w:rPr>
          <w:rFonts w:hint="eastAsia" w:ascii="Times New Roman" w:hAnsi="Times New Roman" w:eastAsia="仿宋_GB2312" w:cs="黑体"/>
          <w:color w:val="000000"/>
          <w:kern w:val="0"/>
          <w:sz w:val="32"/>
          <w:szCs w:val="32"/>
          <w:lang w:val="en-US" w:eastAsia="zh-CN" w:bidi="ar-SA"/>
        </w:rPr>
      </w:pPr>
      <w:r>
        <w:rPr>
          <w:rFonts w:hint="eastAsia" w:ascii="Times New Roman" w:hAnsi="Times New Roman" w:eastAsia="仿宋_GB2312" w:cs="黑体"/>
          <w:color w:val="000000"/>
          <w:kern w:val="0"/>
          <w:sz w:val="32"/>
          <w:szCs w:val="32"/>
          <w:lang w:val="en-US" w:eastAsia="zh-CN" w:bidi="ar-SA"/>
        </w:rPr>
        <w:t>1、运行成本方面</w:t>
      </w:r>
    </w:p>
    <w:p>
      <w:pPr>
        <w:spacing w:line="360" w:lineRule="auto"/>
        <w:ind w:firstLine="640" w:firstLineChars="200"/>
        <w:rPr>
          <w:rFonts w:hint="eastAsia" w:ascii="Times New Roman" w:hAnsi="Times New Roman" w:eastAsia="仿宋_GB2312" w:cs="黑体"/>
          <w:color w:val="000000"/>
          <w:kern w:val="0"/>
          <w:sz w:val="32"/>
          <w:szCs w:val="32"/>
          <w:lang w:val="en-US" w:eastAsia="zh-CN" w:bidi="ar-SA"/>
        </w:rPr>
      </w:pPr>
      <w:r>
        <w:rPr>
          <w:rFonts w:hint="eastAsia" w:ascii="Times New Roman" w:hAnsi="Times New Roman" w:eastAsia="仿宋_GB2312" w:cs="黑体"/>
          <w:color w:val="000000"/>
          <w:kern w:val="0"/>
          <w:sz w:val="32"/>
          <w:szCs w:val="32"/>
          <w:lang w:val="en-US" w:eastAsia="zh-CN" w:bidi="ar-SA"/>
        </w:rPr>
        <w:t>2022年部门财政拨款收入300.54万元，支出284.49万元，预算执行率为94.66%。其中：2022年“三公”经费支出0.5635万元。包括公务接待费0.0826万元、公务用车运行维护费0.4809万元、因公出国(境)费支出0万元,较年初预算6.5万元节约5.9365万元，节约比为91.33%。2022年我办各项支出均合理控制在预算范围内。</w:t>
      </w:r>
    </w:p>
    <w:p>
      <w:pPr>
        <w:numPr>
          <w:ilvl w:val="0"/>
          <w:numId w:val="2"/>
        </w:numPr>
        <w:spacing w:line="360" w:lineRule="auto"/>
        <w:ind w:firstLine="640" w:firstLineChars="200"/>
        <w:rPr>
          <w:rFonts w:hint="eastAsia" w:ascii="Times New Roman" w:hAnsi="Times New Roman" w:eastAsia="仿宋_GB2312" w:cs="黑体"/>
          <w:color w:val="000000"/>
          <w:kern w:val="0"/>
          <w:sz w:val="32"/>
          <w:szCs w:val="32"/>
          <w:lang w:val="en-US" w:eastAsia="zh-CN" w:bidi="ar-SA"/>
        </w:rPr>
      </w:pPr>
      <w:r>
        <w:rPr>
          <w:rFonts w:hint="eastAsia" w:ascii="Times New Roman" w:hAnsi="Times New Roman" w:eastAsia="仿宋_GB2312" w:cs="黑体"/>
          <w:color w:val="000000"/>
          <w:kern w:val="0"/>
          <w:sz w:val="32"/>
          <w:szCs w:val="32"/>
          <w:lang w:val="en-US" w:eastAsia="zh-CN" w:bidi="ar-SA"/>
        </w:rPr>
        <w:t>管理效率方面</w:t>
      </w:r>
    </w:p>
    <w:p>
      <w:pPr>
        <w:pStyle w:val="2"/>
        <w:numPr>
          <w:ilvl w:val="0"/>
          <w:numId w:val="0"/>
        </w:numPr>
        <w:ind w:right="0" w:rightChars="0" w:firstLine="640" w:firstLineChars="200"/>
        <w:rPr>
          <w:rFonts w:hint="default"/>
          <w:lang w:val="en-US" w:eastAsia="zh-CN"/>
        </w:rPr>
      </w:pPr>
      <w:r>
        <w:rPr>
          <w:rFonts w:hint="eastAsia" w:ascii="Times New Roman" w:hAnsi="Times New Roman" w:eastAsia="仿宋_GB2312" w:cs="黑体"/>
          <w:color w:val="000000"/>
          <w:kern w:val="0"/>
          <w:sz w:val="32"/>
          <w:szCs w:val="32"/>
          <w:lang w:val="en-US" w:eastAsia="zh-CN" w:bidi="ar-SA"/>
        </w:rPr>
        <w:t>一是产品质量稳步提升。</w:t>
      </w:r>
      <w:r>
        <w:rPr>
          <w:rFonts w:hint="eastAsia" w:eastAsia="仿宋_GB2312"/>
          <w:sz w:val="32"/>
          <w:szCs w:val="32"/>
          <w:lang w:val="en-US" w:eastAsia="zh-CN"/>
        </w:rPr>
        <w:t>各级饲料行业主管部门持续强化监管、优化服务，健全风险监测、监督抽查、现场检查等监管举措，在全行业形成了遵规守法的良好氛围。在国家、省组织开展的各项饲料质量安全监督抽查中，产品检测合格率长年保持在98%以上。多年没发生一起饲料产品质量安全事故，有效守护了全省畜禽水产品质量安全。二是</w:t>
      </w:r>
      <w:r>
        <w:rPr>
          <w:rFonts w:hint="eastAsia" w:ascii="Times New Roman" w:hAnsi="Times New Roman" w:eastAsia="仿宋_GB2312" w:cs="黑体"/>
          <w:color w:val="000000"/>
          <w:kern w:val="0"/>
          <w:sz w:val="32"/>
          <w:szCs w:val="32"/>
          <w:lang w:val="en-US" w:eastAsia="zh-CN" w:bidi="ar-SA"/>
        </w:rPr>
        <w:t>产业转型步伐加快。</w:t>
      </w:r>
      <w:r>
        <w:rPr>
          <w:rFonts w:hint="eastAsia" w:eastAsia="仿宋_GB2312"/>
          <w:sz w:val="32"/>
          <w:szCs w:val="32"/>
          <w:lang w:val="en-US" w:eastAsia="zh-CN"/>
        </w:rPr>
        <w:t>截止目前，省域内年产量超100万吨的集团企业3家，其中唐人神集团全国年产量突破600万吨。有41家饲料生产厂年产量超10万吨，占全省饲料总产量的53.98%。三是产业地位日益凸显。立足国之大者，扎实推进豆粕玉米替代减量、地方饲料原料开发利用、低蛋白日粮技术研发推广，有力减少玉米、豆粕等大宗饲料原料对外依存度，全省饲用豆粕添加量低于全国平均水平约1个百分点。为保障国家粮食安全，促进粮食及副产物加工、转化与增值，推动养殖业降本增效，稳定农民增收作出了重要贡献。</w:t>
      </w:r>
    </w:p>
    <w:p>
      <w:pPr>
        <w:spacing w:line="360" w:lineRule="auto"/>
        <w:ind w:firstLine="640" w:firstLineChars="200"/>
        <w:rPr>
          <w:rFonts w:hint="default"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3、履职效能方面</w:t>
      </w:r>
    </w:p>
    <w:p>
      <w:pPr>
        <w:keepNext w:val="0"/>
        <w:keepLines w:val="0"/>
        <w:pageBreakBefore w:val="0"/>
        <w:widowControl/>
        <w:kinsoku/>
        <w:wordWrap/>
        <w:overflowPunct/>
        <w:topLinePunct w:val="0"/>
        <w:autoSpaceDN/>
        <w:bidi w:val="0"/>
        <w:spacing w:line="560" w:lineRule="exact"/>
        <w:ind w:firstLine="640" w:firstLineChars="200"/>
        <w:jc w:val="both"/>
        <w:textAlignment w:val="auto"/>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一是优化审批服务。2022年共办理饲料和饲料添加剂生产许可证153个，办理饲料添加剂产品批准文号16个，为20家企业办理饲料和饲料添加剂企业委托备案，为35家企业办理自由销售证明。审批事项均在3-10个工作日内办结，未发生“红黄牌”预警，及时准确推送“双公示”等信用信息，无迟报漏报现象。二是开展安全监督检查。配合厅畜牧兽医处制定下发了《2022年湖南省饲料质量安全监管工作方案》、《关于开展2022年上半年全省饲料质量安全监督抽查的通知》等文件，根据监管工作方案要求，组织开展饲料产品质量安全监督检查，全省各市、县农业行政执法部门共组织检查饲料和饲料添加剂生产企业582家次。组织对137家饲料添加剂、混合型饲料添加剂、预混合饲料企业、配合浓缩饲料、单一饲料企业，12家饲料经销门店、6家养殖场自配点进行监督抽样，完成监督抽样393批次。</w:t>
      </w:r>
    </w:p>
    <w:p>
      <w:pPr>
        <w:keepNext w:val="0"/>
        <w:keepLines w:val="0"/>
        <w:pageBreakBefore w:val="0"/>
        <w:widowControl/>
        <w:kinsoku/>
        <w:wordWrap/>
        <w:overflowPunct/>
        <w:topLinePunct w:val="0"/>
        <w:autoSpaceDN/>
        <w:bidi w:val="0"/>
        <w:spacing w:line="560" w:lineRule="exact"/>
        <w:ind w:firstLine="640" w:firstLineChars="200"/>
        <w:jc w:val="both"/>
        <w:textAlignment w:val="auto"/>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4、社会效益方面</w:t>
      </w:r>
    </w:p>
    <w:p>
      <w:pPr>
        <w:pStyle w:val="2"/>
        <w:ind w:left="0" w:leftChars="0" w:firstLine="640" w:firstLineChars="200"/>
        <w:rPr>
          <w:rFonts w:hint="eastAsia" w:ascii="仿宋" w:hAnsi="仿宋" w:eastAsia="仿宋" w:cs="仿宋"/>
          <w:sz w:val="32"/>
          <w:szCs w:val="32"/>
          <w:highlight w:val="none"/>
          <w:lang w:val="en-US" w:eastAsia="zh-CN"/>
        </w:rPr>
      </w:pPr>
      <w:r>
        <w:rPr>
          <w:rFonts w:hint="eastAsia" w:ascii="Times New Roman" w:hAnsi="Times New Roman" w:eastAsia="仿宋_GB2312" w:cs="黑体"/>
          <w:color w:val="000000"/>
          <w:kern w:val="0"/>
          <w:sz w:val="32"/>
          <w:szCs w:val="32"/>
          <w:lang w:val="en-US" w:eastAsia="zh-CN" w:bidi="ar-SA"/>
        </w:rPr>
        <w:t>202</w:t>
      </w:r>
      <w:r>
        <w:rPr>
          <w:rFonts w:hint="eastAsia" w:ascii="仿宋_GB2312" w:hAnsi="仿宋_GB2312" w:eastAsia="仿宋_GB2312" w:cs="仿宋_GB2312"/>
          <w:b w:val="0"/>
          <w:bCs w:val="0"/>
          <w:color w:val="000000"/>
          <w:sz w:val="32"/>
          <w:szCs w:val="32"/>
          <w:lang w:val="en-US" w:eastAsia="zh-CN"/>
        </w:rPr>
        <w:t>2年全省饲料总产量达1313.86万吨，同比增长5.2%</w:t>
      </w:r>
      <w:r>
        <w:rPr>
          <w:rFonts w:hint="eastAsia" w:eastAsia="仿宋_GB2312" w:cs="仿宋_GB2312"/>
          <w:b w:val="0"/>
          <w:bCs w:val="0"/>
          <w:color w:val="000000"/>
          <w:sz w:val="32"/>
          <w:szCs w:val="32"/>
          <w:lang w:val="en-US" w:eastAsia="zh-CN"/>
        </w:rPr>
        <w:t>，</w:t>
      </w:r>
      <w:r>
        <w:rPr>
          <w:rFonts w:hint="eastAsia" w:ascii="仿宋_GB2312" w:hAnsi="仿宋_GB2312" w:eastAsia="仿宋_GB2312" w:cs="仿宋_GB2312"/>
          <w:b w:val="0"/>
          <w:bCs w:val="0"/>
          <w:color w:val="000000"/>
          <w:sz w:val="32"/>
          <w:szCs w:val="32"/>
          <w:lang w:val="en-US" w:eastAsia="zh-CN"/>
        </w:rPr>
        <w:t>全省饲料工业总产值529.42亿，同比增长10.86%，</w:t>
      </w:r>
      <w:r>
        <w:rPr>
          <w:rFonts w:hint="eastAsia" w:eastAsia="仿宋_GB2312" w:cs="仿宋_GB2312"/>
          <w:b w:val="0"/>
          <w:bCs w:val="0"/>
          <w:color w:val="000000"/>
          <w:sz w:val="32"/>
          <w:szCs w:val="32"/>
          <w:lang w:val="en-US" w:eastAsia="zh-CN"/>
        </w:rPr>
        <w:t>产量产值均创历史新高。</w:t>
      </w:r>
      <w:r>
        <w:rPr>
          <w:rFonts w:hint="eastAsia" w:ascii="仿宋_GB2312" w:hAnsi="仿宋_GB2312" w:eastAsia="仿宋_GB2312" w:cs="仿宋_GB2312"/>
          <w:b w:val="0"/>
          <w:bCs w:val="0"/>
          <w:color w:val="000000"/>
          <w:sz w:val="32"/>
          <w:szCs w:val="32"/>
          <w:lang w:val="en-US" w:eastAsia="zh-CN"/>
        </w:rPr>
        <w:t>其中猪料862.69万吨，同比增长5.5%；蛋禽料132.44万吨，同比下降0.9%；肉禽饲料165.32万吨，同比增长2.5%；水产料150.59万吨，同比增长12.60%。</w:t>
      </w:r>
    </w:p>
    <w:p>
      <w:pPr>
        <w:numPr>
          <w:ilvl w:val="0"/>
          <w:numId w:val="0"/>
        </w:numPr>
        <w:pBdr>
          <w:bottom w:val="single" w:color="FFFFFF" w:sz="4" w:space="31"/>
        </w:pBdr>
        <w:tabs>
          <w:tab w:val="left" w:pos="1440"/>
        </w:tabs>
        <w:spacing w:line="580" w:lineRule="exact"/>
        <w:ind w:firstLine="640" w:firstLineChars="200"/>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5、可持续发展能力方面</w:t>
      </w:r>
    </w:p>
    <w:p>
      <w:pPr>
        <w:numPr>
          <w:ilvl w:val="0"/>
          <w:numId w:val="0"/>
        </w:numPr>
        <w:pBdr>
          <w:bottom w:val="single" w:color="FFFFFF" w:sz="4" w:space="31"/>
        </w:pBdr>
        <w:tabs>
          <w:tab w:val="left" w:pos="1440"/>
        </w:tabs>
        <w:spacing w:line="580" w:lineRule="exact"/>
        <w:ind w:firstLine="640" w:firstLineChars="200"/>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支持饲料企业、科研院所调整优化饲料配方，持续推进玉米、豆粕减量替代工作，据统计全省饲料企业使用小麦、政策性粮食等替代玉米102.94万吨；使用棉菜粕、牧草等等其他蛋白原料替代豆粕46.71万吨。支持饲料企业通过竞价采购政策性粮食、争取玉米进口配额，组织我省饲料加工企业参加政策性粮食定向邀标竞拍，全年共成交95.37万吨；在保证安全前提下，多渠道拓展饲料原料来源，增加稻谷、饲料桑叶、牧草、作物秸秆等自产原料开发利用。</w:t>
      </w:r>
    </w:p>
    <w:p>
      <w:pPr>
        <w:numPr>
          <w:ilvl w:val="0"/>
          <w:numId w:val="0"/>
        </w:numPr>
        <w:pBdr>
          <w:bottom w:val="single" w:color="FFFFFF" w:sz="4" w:space="31"/>
        </w:pBdr>
        <w:tabs>
          <w:tab w:val="left" w:pos="1440"/>
        </w:tabs>
        <w:spacing w:line="580" w:lineRule="exact"/>
        <w:ind w:firstLine="640" w:firstLineChars="200"/>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6、服务对象满意度方面</w:t>
      </w:r>
    </w:p>
    <w:p>
      <w:pPr>
        <w:numPr>
          <w:ilvl w:val="0"/>
          <w:numId w:val="0"/>
        </w:numPr>
        <w:pBdr>
          <w:bottom w:val="single" w:color="FFFFFF" w:sz="4" w:space="31"/>
        </w:pBdr>
        <w:tabs>
          <w:tab w:val="left" w:pos="1440"/>
        </w:tabs>
        <w:spacing w:line="580" w:lineRule="exact"/>
        <w:ind w:firstLine="640" w:firstLineChars="200"/>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通过线上满意度调查，部门整体服务对象的满意度为90%以上。</w:t>
      </w:r>
    </w:p>
    <w:p>
      <w:pPr>
        <w:numPr>
          <w:ilvl w:val="0"/>
          <w:numId w:val="0"/>
        </w:numPr>
        <w:pBdr>
          <w:bottom w:val="single" w:color="FFFFFF" w:sz="4" w:space="31"/>
        </w:pBdr>
        <w:tabs>
          <w:tab w:val="left" w:pos="1440"/>
        </w:tabs>
        <w:spacing w:line="580" w:lineRule="exact"/>
        <w:ind w:firstLine="640" w:firstLineChars="200"/>
        <w:rPr>
          <w:rFonts w:hint="eastAsia" w:ascii="楷体" w:hAnsi="楷体" w:eastAsia="楷体" w:cs="楷体"/>
          <w:b/>
          <w:bCs/>
          <w:sz w:val="32"/>
          <w:szCs w:val="32"/>
        </w:rPr>
      </w:pPr>
      <w:r>
        <w:rPr>
          <w:rFonts w:hint="eastAsia" w:ascii="楷体" w:hAnsi="楷体" w:eastAsia="楷体" w:cs="楷体"/>
          <w:b/>
          <w:bCs/>
          <w:sz w:val="32"/>
          <w:szCs w:val="32"/>
          <w:lang w:eastAsia="zh-CN"/>
        </w:rPr>
        <w:t>（二）</w:t>
      </w:r>
      <w:r>
        <w:rPr>
          <w:rFonts w:hint="eastAsia" w:ascii="楷体" w:hAnsi="楷体" w:eastAsia="楷体" w:cs="楷体"/>
          <w:b/>
          <w:bCs/>
          <w:sz w:val="32"/>
          <w:szCs w:val="32"/>
        </w:rPr>
        <w:t>存在的问题及原因分析</w:t>
      </w:r>
    </w:p>
    <w:p>
      <w:pPr>
        <w:numPr>
          <w:ilvl w:val="0"/>
          <w:numId w:val="0"/>
        </w:numPr>
        <w:pBdr>
          <w:bottom w:val="single" w:color="FFFFFF" w:sz="4" w:space="31"/>
        </w:pBdr>
        <w:tabs>
          <w:tab w:val="left" w:pos="1440"/>
        </w:tabs>
        <w:spacing w:line="580" w:lineRule="exact"/>
        <w:ind w:firstLine="640" w:firstLineChars="200"/>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2022年预算指标372.05万元，实际支付284.49万元，预算执行率为76.47%。由于疫情原因：1、原定开展的全省饲料质量安全及政策培训班（三期，共420人）未如期举行。2、行政审批现场评审工作实施进度减慢导致各项预算执行率低。</w:t>
      </w:r>
    </w:p>
    <w:p>
      <w:pPr>
        <w:numPr>
          <w:ilvl w:val="0"/>
          <w:numId w:val="0"/>
        </w:numPr>
        <w:pBdr>
          <w:bottom w:val="single" w:color="FFFFFF" w:sz="4" w:space="31"/>
        </w:pBdr>
        <w:tabs>
          <w:tab w:val="left" w:pos="1440"/>
        </w:tabs>
        <w:spacing w:line="580" w:lineRule="exact"/>
        <w:ind w:firstLine="640" w:firstLineChars="200"/>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下一步改进措施：一方面进一步提高预算编制的科学性、准确性和合理性，强化预算管理，提高预算执行力度。通过定期对项目实施和预算执行情况进行跟踪，及时掌握项目进度、发现问题和解决问题，按计划推进项目实施。</w:t>
      </w:r>
    </w:p>
    <w:p>
      <w:pPr>
        <w:pStyle w:val="2"/>
        <w:rPr>
          <w:rFonts w:hint="eastAsia"/>
        </w:rPr>
      </w:pPr>
    </w:p>
    <w:p>
      <w:pPr>
        <w:pStyle w:val="2"/>
        <w:numPr>
          <w:ilvl w:val="0"/>
          <w:numId w:val="0"/>
        </w:numPr>
        <w:ind w:leftChars="262" w:right="0" w:rightChars="0"/>
        <w:rPr>
          <w:rFonts w:hint="eastAsia"/>
        </w:rPr>
      </w:pPr>
    </w:p>
    <w:p>
      <w:pPr>
        <w:pStyle w:val="13"/>
        <w:jc w:val="center"/>
        <w:rPr>
          <w:sz w:val="72"/>
          <w:szCs w:val="72"/>
        </w:rPr>
      </w:pPr>
    </w:p>
    <w:p>
      <w:pPr>
        <w:pStyle w:val="13"/>
        <w:jc w:val="center"/>
        <w:rPr>
          <w:sz w:val="72"/>
          <w:szCs w:val="72"/>
        </w:rPr>
      </w:pPr>
    </w:p>
    <w:p>
      <w:pPr>
        <w:pStyle w:val="13"/>
        <w:jc w:val="center"/>
        <w:rPr>
          <w:sz w:val="72"/>
          <w:szCs w:val="72"/>
        </w:rPr>
      </w:pPr>
    </w:p>
    <w:p>
      <w:pPr>
        <w:pStyle w:val="13"/>
        <w:jc w:val="center"/>
        <w:rPr>
          <w:sz w:val="72"/>
          <w:szCs w:val="72"/>
        </w:rPr>
      </w:pPr>
    </w:p>
    <w:p>
      <w:pPr>
        <w:pStyle w:val="13"/>
        <w:jc w:val="center"/>
        <w:rPr>
          <w:sz w:val="72"/>
          <w:szCs w:val="72"/>
        </w:rPr>
      </w:pPr>
    </w:p>
    <w:p>
      <w:pPr>
        <w:pStyle w:val="13"/>
        <w:jc w:val="both"/>
        <w:rPr>
          <w:rFonts w:hint="eastAsia" w:ascii="方正小标宋_GBK" w:hAnsi="方正小标宋_GBK" w:eastAsia="方正小标宋_GBK" w:cs="方正小标宋_GBK"/>
          <w:sz w:val="72"/>
          <w:szCs w:val="72"/>
        </w:rPr>
      </w:pPr>
    </w:p>
    <w:p>
      <w:pPr>
        <w:pStyle w:val="13"/>
        <w:jc w:val="center"/>
        <w:rPr>
          <w:rFonts w:hint="eastAsia" w:ascii="方正小标宋_GBK" w:hAnsi="方正小标宋_GBK" w:eastAsia="方正小标宋_GBK" w:cs="方正小标宋_GBK"/>
          <w:sz w:val="72"/>
          <w:szCs w:val="72"/>
        </w:rPr>
      </w:pPr>
    </w:p>
    <w:p>
      <w:pPr>
        <w:pStyle w:val="13"/>
        <w:jc w:val="center"/>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第四部分</w:t>
      </w:r>
    </w:p>
    <w:p>
      <w:pPr>
        <w:jc w:val="center"/>
        <w:rPr>
          <w:rFonts w:hint="eastAsia" w:ascii="方正小标宋_GBK" w:hAnsi="方正小标宋_GBK" w:eastAsia="方正小标宋_GBK" w:cs="方正小标宋_GBK"/>
          <w:color w:val="000000"/>
          <w:kern w:val="0"/>
          <w:sz w:val="70"/>
          <w:szCs w:val="70"/>
        </w:rPr>
      </w:pPr>
    </w:p>
    <w:p>
      <w:pPr>
        <w:jc w:val="center"/>
        <w:rPr>
          <w:rFonts w:hint="eastAsia" w:ascii="方正小标宋_GBK" w:hAnsi="方正小标宋_GBK" w:eastAsia="方正小标宋_GBK" w:cs="方正小标宋_GBK"/>
          <w:color w:val="000000"/>
          <w:kern w:val="0"/>
          <w:sz w:val="70"/>
          <w:szCs w:val="70"/>
        </w:rPr>
      </w:pPr>
      <w:r>
        <w:rPr>
          <w:rFonts w:hint="eastAsia" w:ascii="方正小标宋_GBK" w:hAnsi="方正小标宋_GBK" w:eastAsia="方正小标宋_GBK" w:cs="方正小标宋_GBK"/>
          <w:color w:val="000000"/>
          <w:kern w:val="0"/>
          <w:sz w:val="70"/>
          <w:szCs w:val="70"/>
        </w:rPr>
        <w:t>名词解释</w:t>
      </w:r>
    </w:p>
    <w:p>
      <w:pPr>
        <w:widowControl/>
        <w:jc w:val="left"/>
        <w:rPr>
          <w:rFonts w:cs="黑体" w:asciiTheme="minorEastAsia" w:hAnsiTheme="minorEastAsia"/>
          <w:color w:val="000000"/>
          <w:kern w:val="0"/>
          <w:sz w:val="32"/>
          <w:szCs w:val="32"/>
        </w:rPr>
      </w:pPr>
      <w:r>
        <w:br w:type="page"/>
      </w:r>
    </w:p>
    <w:p>
      <w:pPr>
        <w:pStyle w:val="13"/>
        <w:ind w:firstLine="640" w:firstLineChars="200"/>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一、基本支出：指为保障机构正常运转、完成日常工作任务而发生的各项支出，包括人员支出和公用支出。</w:t>
      </w:r>
    </w:p>
    <w:p>
      <w:pPr>
        <w:pStyle w:val="13"/>
        <w:ind w:firstLine="320" w:firstLineChars="100"/>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 xml:space="preserve">  二、项目支出：指在基本支出以外为完成相关行政任务和事业发展目标所发生的各项支出。 </w:t>
      </w:r>
    </w:p>
    <w:p>
      <w:pPr>
        <w:pStyle w:val="13"/>
        <w:ind w:firstLine="480" w:firstLineChars="150"/>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 xml:space="preserve">三、“三公”经费：指通过财政拨款资金安排的因公出国（境）费、公务用车购置及运行费和公务接待费支出。 </w:t>
      </w:r>
    </w:p>
    <w:p>
      <w:pPr>
        <w:pStyle w:val="13"/>
        <w:ind w:firstLine="320" w:firstLineChars="100"/>
        <w:rPr>
          <w:rFonts w:hint="eastAsia" w:ascii="仿宋_GB2312" w:hAnsi="仿宋_GB2312" w:eastAsia="仿宋_GB2312" w:cs="仿宋_GB2312"/>
          <w:b w:val="0"/>
          <w:bCs w:val="0"/>
          <w:color w:val="000000"/>
          <w:kern w:val="2"/>
          <w:sz w:val="32"/>
          <w:szCs w:val="32"/>
          <w:lang w:val="en-US" w:eastAsia="zh-CN" w:bidi="ar-SA"/>
        </w:rPr>
      </w:pPr>
      <w:r>
        <w:rPr>
          <w:rFonts w:hint="eastAsia" w:ascii="仿宋_GB2312" w:hAnsi="仿宋_GB2312" w:eastAsia="仿宋_GB2312" w:cs="仿宋_GB2312"/>
          <w:b w:val="0"/>
          <w:bCs w:val="0"/>
          <w:color w:val="000000"/>
          <w:kern w:val="2"/>
          <w:sz w:val="32"/>
          <w:szCs w:val="32"/>
          <w:lang w:val="en-US" w:eastAsia="zh-CN" w:bidi="ar-SA"/>
        </w:rPr>
        <w:t xml:space="preserve"> 四、机关运行经费：是指各部门的公用经费，包括办公及印刷费、邮电费、差旅费、会议费、福利费、日常维修费、专用材料及一般设备购置费、办公用房水电费、办公用房取暖费、办公用房物业管理费、公务用车运行维护费以及其他费用。</w:t>
      </w:r>
    </w:p>
    <w:p>
      <w:pPr>
        <w:pStyle w:val="13"/>
        <w:jc w:val="center"/>
        <w:rPr>
          <w:sz w:val="72"/>
          <w:szCs w:val="72"/>
        </w:rPr>
      </w:pPr>
    </w:p>
    <w:p>
      <w:pPr>
        <w:pStyle w:val="13"/>
        <w:jc w:val="center"/>
        <w:rPr>
          <w:sz w:val="72"/>
          <w:szCs w:val="72"/>
        </w:rPr>
      </w:pPr>
    </w:p>
    <w:p>
      <w:pPr>
        <w:pStyle w:val="13"/>
        <w:jc w:val="center"/>
        <w:rPr>
          <w:sz w:val="72"/>
          <w:szCs w:val="72"/>
        </w:rPr>
      </w:pPr>
    </w:p>
    <w:p>
      <w:pPr>
        <w:pStyle w:val="13"/>
        <w:jc w:val="center"/>
        <w:rPr>
          <w:sz w:val="72"/>
          <w:szCs w:val="72"/>
        </w:rPr>
      </w:pPr>
    </w:p>
    <w:p>
      <w:pPr>
        <w:pStyle w:val="13"/>
        <w:jc w:val="center"/>
        <w:rPr>
          <w:sz w:val="72"/>
          <w:szCs w:val="72"/>
        </w:rPr>
      </w:pPr>
    </w:p>
    <w:p>
      <w:pPr>
        <w:pStyle w:val="13"/>
        <w:jc w:val="center"/>
        <w:rPr>
          <w:sz w:val="72"/>
          <w:szCs w:val="72"/>
        </w:rPr>
      </w:pPr>
    </w:p>
    <w:p>
      <w:pPr>
        <w:pStyle w:val="13"/>
        <w:jc w:val="center"/>
        <w:rPr>
          <w:sz w:val="72"/>
          <w:szCs w:val="72"/>
        </w:rPr>
      </w:pPr>
    </w:p>
    <w:p>
      <w:pPr>
        <w:pStyle w:val="13"/>
        <w:jc w:val="center"/>
        <w:rPr>
          <w:sz w:val="72"/>
          <w:szCs w:val="72"/>
        </w:rPr>
      </w:pPr>
    </w:p>
    <w:p>
      <w:pPr>
        <w:pStyle w:val="13"/>
        <w:jc w:val="center"/>
        <w:rPr>
          <w:sz w:val="72"/>
          <w:szCs w:val="72"/>
        </w:rPr>
      </w:pPr>
    </w:p>
    <w:p>
      <w:pPr>
        <w:pStyle w:val="13"/>
        <w:jc w:val="center"/>
        <w:rPr>
          <w:sz w:val="72"/>
          <w:szCs w:val="72"/>
        </w:rPr>
      </w:pPr>
    </w:p>
    <w:p>
      <w:pPr>
        <w:pStyle w:val="13"/>
        <w:jc w:val="center"/>
        <w:rPr>
          <w:sz w:val="72"/>
          <w:szCs w:val="72"/>
        </w:rPr>
      </w:pPr>
    </w:p>
    <w:p>
      <w:pPr>
        <w:jc w:val="left"/>
        <w:rPr>
          <w:rFonts w:cs="黑体" w:asciiTheme="minorEastAsia" w:hAnsiTheme="minorEastAsia"/>
          <w:color w:val="000000"/>
          <w:kern w:val="0"/>
          <w:sz w:val="32"/>
          <w:szCs w:val="32"/>
        </w:rPr>
      </w:pPr>
    </w:p>
    <w:sectPr>
      <w:pgSz w:w="11906" w:h="16838"/>
      <w:pgMar w:top="720" w:right="720" w:bottom="720" w:left="720" w:header="851" w:footer="992"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B0C5ABA-DD12-4EC1-92D6-E9B5A065FD3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A1F78D5A-4476-4CA5-BC29-825A1A09B0CE}"/>
  </w:font>
  <w:font w:name="仿宋_GB2312">
    <w:panose1 w:val="02010609030101010101"/>
    <w:charset w:val="86"/>
    <w:family w:val="auto"/>
    <w:pitch w:val="default"/>
    <w:sig w:usb0="00000000" w:usb1="00000000" w:usb2="00000000" w:usb3="00000000" w:csb0="00000000" w:csb1="00000000"/>
    <w:embedRegular r:id="rId3" w:fontKey="{05C9FAF0-1C1C-486D-9BD6-F44C8CCBE492}"/>
  </w:font>
  <w:font w:name="仿宋">
    <w:panose1 w:val="02010609060101010101"/>
    <w:charset w:val="86"/>
    <w:family w:val="auto"/>
    <w:pitch w:val="default"/>
    <w:sig w:usb0="800002BF" w:usb1="38CF7CFA" w:usb2="00000016" w:usb3="00000000" w:csb0="00040001" w:csb1="00000000"/>
    <w:embedRegular r:id="rId4" w:fontKey="{63FF9527-2C11-45D9-855A-A226CBEE61D5}"/>
  </w:font>
  <w:font w:name="方正小标宋_GBK">
    <w:panose1 w:val="02000000000000000000"/>
    <w:charset w:val="86"/>
    <w:family w:val="auto"/>
    <w:pitch w:val="default"/>
    <w:sig w:usb0="00000000" w:usb1="00000000" w:usb2="00000000" w:usb3="00000000" w:csb0="00000000" w:csb1="00000000"/>
    <w:embedRegular r:id="rId5" w:fontKey="{59E549A7-F714-411F-8D4E-78575D377484}"/>
  </w:font>
  <w:font w:name="华文中宋">
    <w:panose1 w:val="02010600040101010101"/>
    <w:charset w:val="86"/>
    <w:family w:val="auto"/>
    <w:pitch w:val="default"/>
    <w:sig w:usb0="00000287" w:usb1="080F0000" w:usb2="00000000" w:usb3="00000000" w:csb0="0004009F" w:csb1="DFD70000"/>
    <w:embedRegular r:id="rId6" w:fontKey="{6BCE2FAE-E2ED-4EEC-9914-DC3C000EBA8E}"/>
  </w:font>
  <w:font w:name="楷体">
    <w:panose1 w:val="02010609060101010101"/>
    <w:charset w:val="86"/>
    <w:family w:val="auto"/>
    <w:pitch w:val="default"/>
    <w:sig w:usb0="800002BF" w:usb1="38CF7CFA" w:usb2="00000016" w:usb3="00000000" w:csb0="00040001" w:csb1="00000000"/>
    <w:embedRegular r:id="rId7" w:fontKey="{8D276BB8-FDFB-462F-ACA6-C6E0E2089C71}"/>
  </w:font>
  <w:font w:name="Arial">
    <w:panose1 w:val="020B0604020202020204"/>
    <w:charset w:val="00"/>
    <w:family w:val="auto"/>
    <w:pitch w:val="default"/>
    <w:sig w:usb0="E0002EFF" w:usb1="C000785B" w:usb2="00000009" w:usb3="00000000" w:csb0="400001FF" w:csb1="FFFF0000"/>
    <w:embedRegular r:id="rId8" w:fontKey="{81F5E187-A997-4E36-9DDD-471CC21BCB4F}"/>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205925"/>
    <w:multiLevelType w:val="multilevel"/>
    <w:tmpl w:val="BF205925"/>
    <w:lvl w:ilvl="0" w:tentative="0">
      <w:start w:val="1"/>
      <w:numFmt w:val="none"/>
      <w:lvlText w:val="一、"/>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F54C3BDC"/>
    <w:multiLevelType w:val="singleLevel"/>
    <w:tmpl w:val="F54C3BDC"/>
    <w:lvl w:ilvl="0" w:tentative="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oNotDisplayPageBoundaries w:val="1"/>
  <w:embedTrueTypeFonts/>
  <w:saveSubsetFonts/>
  <w:bordersDoNotSurroundHeader w:val="0"/>
  <w:bordersDoNotSurroundFooter w:val="0"/>
  <w:doNotTrackMove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U1YTczYTg3YjllOTU1OTUyNmI0ZWUzYmRiM2FjYWMifQ=="/>
  </w:docVars>
  <w:rsids>
    <w:rsidRoot w:val="00000000"/>
    <w:rsid w:val="034F65A7"/>
    <w:rsid w:val="03CF07E7"/>
    <w:rsid w:val="0ED034C5"/>
    <w:rsid w:val="0EEC4FD8"/>
    <w:rsid w:val="13CB78D6"/>
    <w:rsid w:val="14511F44"/>
    <w:rsid w:val="15A91F63"/>
    <w:rsid w:val="177A16F8"/>
    <w:rsid w:val="18C7014D"/>
    <w:rsid w:val="1A5B175B"/>
    <w:rsid w:val="1BA92BA2"/>
    <w:rsid w:val="227F27A2"/>
    <w:rsid w:val="26D854CF"/>
    <w:rsid w:val="2B3E16CC"/>
    <w:rsid w:val="2C92725E"/>
    <w:rsid w:val="36744505"/>
    <w:rsid w:val="3B272CD2"/>
    <w:rsid w:val="3D3F3B9E"/>
    <w:rsid w:val="48390E49"/>
    <w:rsid w:val="4A6C0C97"/>
    <w:rsid w:val="58953BEB"/>
    <w:rsid w:val="58A61C17"/>
    <w:rsid w:val="65232FA5"/>
    <w:rsid w:val="710226F8"/>
    <w:rsid w:val="733C304D"/>
  </w:rsids>
  <m:mathPr>
    <m:mathFont m:val="Cambria Math"/>
    <m:brkBin m:val="before"/>
    <m:brkBinSub m:val="--"/>
    <m:smallFrac m:val="0"/>
    <m:dispDef/>
    <m:lMargin m:val="0"/>
    <m:rMargin m:val="0"/>
    <m:defJc m:val="centerGroup"/>
    <m:wrapIndent m:val="1440"/>
    <m:intLim m:val="subSup"/>
    <m:naryLim m:val="undOvr"/>
    <m:interSp m:val="0"/>
    <m:intraSp m:val="0"/>
    <m:postSp m:val="0"/>
    <m:preSp m:val="0"/>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First Indent 2"/>
    <w:basedOn w:val="3"/>
    <w:next w:val="4"/>
    <w:qFormat/>
    <w:uiPriority w:val="0"/>
    <w:pPr>
      <w:spacing w:line="336" w:lineRule="auto"/>
      <w:ind w:left="200" w:firstLine="40"/>
    </w:pPr>
    <w:rPr>
      <w:rFonts w:ascii="仿宋_GB2312" w:hAnsi="仿宋_GB2312" w:eastAsia="仿宋" w:cs="仿宋_GB2312"/>
      <w:szCs w:val="32"/>
    </w:rPr>
  </w:style>
  <w:style w:type="paragraph" w:styleId="3">
    <w:name w:val="Body Text Indent"/>
    <w:basedOn w:val="1"/>
    <w:qFormat/>
    <w:uiPriority w:val="0"/>
    <w:pPr>
      <w:keepNext w:val="0"/>
      <w:keepLines w:val="0"/>
      <w:widowControl w:val="0"/>
      <w:suppressLineNumbers w:val="0"/>
      <w:spacing w:before="0" w:beforeLines="0" w:beforeAutospacing="0" w:after="0" w:afterLines="0" w:afterAutospacing="0"/>
      <w:ind w:left="0" w:right="0" w:firstLine="666" w:firstLineChars="262"/>
      <w:jc w:val="both"/>
    </w:pPr>
    <w:rPr>
      <w:rFonts w:hint="default" w:ascii="Calibri" w:hAnsi="Calibri" w:eastAsia="宋体" w:cs="黑体"/>
      <w:kern w:val="2"/>
      <w:sz w:val="24"/>
      <w:szCs w:val="24"/>
      <w:lang w:val="en-US" w:eastAsia="zh-CN" w:bidi="ar-SA"/>
    </w:rPr>
  </w:style>
  <w:style w:type="paragraph" w:styleId="4">
    <w:name w:val="index 6"/>
    <w:basedOn w:val="1"/>
    <w:next w:val="1"/>
    <w:qFormat/>
    <w:uiPriority w:val="0"/>
    <w:pPr>
      <w:widowControl w:val="0"/>
      <w:ind w:left="2100"/>
      <w:jc w:val="both"/>
    </w:pPr>
    <w:rPr>
      <w:rFonts w:ascii="Calibri" w:hAnsi="Calibri" w:eastAsia="宋体" w:cs="Times New Roman"/>
      <w:kern w:val="2"/>
      <w:sz w:val="21"/>
      <w:lang w:val="en-US" w:eastAsia="zh-CN" w:bidi="ar-SA"/>
    </w:rPr>
  </w:style>
  <w:style w:type="paragraph" w:styleId="5">
    <w:name w:val="Balloon Text"/>
    <w:basedOn w:val="1"/>
    <w:link w:val="15"/>
    <w:semiHidden/>
    <w:unhideWhenUsed/>
    <w:qFormat/>
    <w:uiPriority w:val="99"/>
    <w:rPr>
      <w:sz w:val="18"/>
      <w:szCs w:val="18"/>
    </w:rPr>
  </w:style>
  <w:style w:type="paragraph" w:styleId="6">
    <w:name w:val="footer"/>
    <w:basedOn w:val="1"/>
    <w:link w:val="12"/>
    <w:unhideWhenUsed/>
    <w:qFormat/>
    <w:uiPriority w:val="99"/>
    <w:pPr>
      <w:tabs>
        <w:tab w:val="center" w:pos="4153"/>
        <w:tab w:val="right" w:pos="8306"/>
      </w:tabs>
      <w:snapToGrid w:val="0"/>
      <w:jc w:val="left"/>
    </w:pPr>
    <w:rPr>
      <w:sz w:val="18"/>
      <w:szCs w:val="18"/>
    </w:rPr>
  </w:style>
  <w:style w:type="paragraph" w:styleId="7">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table" w:styleId="9">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
  </w:style>
  <w:style w:type="character" w:customStyle="1" w:styleId="11">
    <w:name w:val="页眉 Char"/>
    <w:basedOn w:val="10"/>
    <w:link w:val="7"/>
    <w:qFormat/>
    <w:uiPriority w:val="99"/>
    <w:rPr>
      <w:sz w:val="18"/>
      <w:szCs w:val="18"/>
    </w:rPr>
  </w:style>
  <w:style w:type="character" w:customStyle="1" w:styleId="12">
    <w:name w:val="页脚 Char"/>
    <w:basedOn w:val="10"/>
    <w:link w:val="6"/>
    <w:qFormat/>
    <w:uiPriority w:val="99"/>
    <w:rPr>
      <w:sz w:val="18"/>
      <w:szCs w:val="18"/>
    </w:rPr>
  </w:style>
  <w:style w:type="paragraph" w:customStyle="1" w:styleId="13">
    <w:name w:val="Default"/>
    <w:qFormat/>
    <w:uiPriority w:val="0"/>
    <w:pPr>
      <w:widowControl w:val="0"/>
      <w:autoSpaceDE w:val="0"/>
      <w:autoSpaceDN w:val="0"/>
      <w:adjustRightInd w:val="0"/>
    </w:pPr>
    <w:rPr>
      <w:rFonts w:ascii="黑体" w:eastAsia="黑体" w:cs="黑体" w:hAnsiTheme="minorHAnsi"/>
      <w:color w:val="000000"/>
      <w:kern w:val="0"/>
      <w:sz w:val="24"/>
      <w:szCs w:val="24"/>
      <w:lang w:val="en-US" w:eastAsia="zh-CN" w:bidi="ar-SA"/>
    </w:rPr>
  </w:style>
  <w:style w:type="paragraph" w:styleId="14">
    <w:name w:val="List Paragraph"/>
    <w:basedOn w:val="1"/>
    <w:qFormat/>
    <w:uiPriority w:val="34"/>
    <w:pPr>
      <w:ind w:firstLine="420" w:firstLineChars="200"/>
    </w:pPr>
  </w:style>
  <w:style w:type="character" w:customStyle="1" w:styleId="15">
    <w:name w:val="批注框文本 Char"/>
    <w:basedOn w:val="10"/>
    <w:link w:val="5"/>
    <w:semiHidden/>
    <w:qFormat/>
    <w:uiPriority w:val="99"/>
    <w:rPr>
      <w:sz w:val="18"/>
      <w:szCs w:val="18"/>
    </w:rPr>
  </w:style>
  <w:style w:type="character" w:customStyle="1" w:styleId="16">
    <w:name w:val="font01"/>
    <w:basedOn w:val="10"/>
    <w:qFormat/>
    <w:uiPriority w:val="0"/>
    <w:rPr>
      <w:rFonts w:hint="eastAsia" w:ascii="宋体" w:hAnsi="宋体" w:eastAsia="宋体" w:cs="宋体"/>
      <w:color w:val="000000"/>
      <w:sz w:val="22"/>
      <w:szCs w:val="22"/>
      <w:u w:val="none"/>
    </w:rPr>
  </w:style>
  <w:style w:type="character" w:customStyle="1" w:styleId="17">
    <w:name w:val="font21"/>
    <w:basedOn w:val="10"/>
    <w:qFormat/>
    <w:uiPriority w:val="0"/>
    <w:rPr>
      <w:rFonts w:hint="eastAsia" w:ascii="宋体" w:hAnsi="宋体" w:eastAsia="宋体" w:cs="宋体"/>
      <w:color w:val="000000"/>
      <w:sz w:val="24"/>
      <w:szCs w:val="24"/>
      <w:u w:val="none"/>
    </w:rPr>
  </w:style>
  <w:style w:type="character" w:customStyle="1" w:styleId="18">
    <w:name w:val="font11"/>
    <w:basedOn w:val="10"/>
    <w:qFormat/>
    <w:uiPriority w:val="0"/>
    <w:rPr>
      <w:rFonts w:hint="eastAsia" w:ascii="宋体" w:hAnsi="宋体" w:eastAsia="宋体" w:cs="宋体"/>
      <w:color w:val="000000"/>
      <w:sz w:val="24"/>
      <w:szCs w:val="24"/>
      <w:u w:val="none"/>
    </w:rPr>
  </w:style>
  <w:style w:type="paragraph" w:customStyle="1" w:styleId="19">
    <w:name w:val="PlainText"/>
    <w:basedOn w:val="1"/>
    <w:qFormat/>
    <w:uiPriority w:val="0"/>
    <w:pPr>
      <w:jc w:val="both"/>
      <w:textAlignment w:val="baseline"/>
    </w:pPr>
    <w:rPr>
      <w:rFonts w:ascii="宋体" w:hAnsi="Courier New"/>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1" Type="http://schemas.openxmlformats.org/officeDocument/2006/relationships/fontTable" Target="fontTable.xml"/><Relationship Id="rId20" Type="http://schemas.openxmlformats.org/officeDocument/2006/relationships/customXml" Target="../customXml/item10.xml"/><Relationship Id="rId2" Type="http://schemas.openxmlformats.org/officeDocument/2006/relationships/settings" Target="settings.xml"/><Relationship Id="rId19" Type="http://schemas.openxmlformats.org/officeDocument/2006/relationships/customXml" Target="../customXml/item9.xml"/><Relationship Id="rId18" Type="http://schemas.openxmlformats.org/officeDocument/2006/relationships/customXml" Target="../customXml/item8.xml"/><Relationship Id="rId17" Type="http://schemas.openxmlformats.org/officeDocument/2006/relationships/customXml" Target="../customXml/item7.xml"/><Relationship Id="rId16" Type="http://schemas.openxmlformats.org/officeDocument/2006/relationships/customXml" Target="../customXml/item6.xml"/><Relationship Id="rId15" Type="http://schemas.openxmlformats.org/officeDocument/2006/relationships/customXml" Target="../customXml/item5.xml"/><Relationship Id="rId14" Type="http://schemas.openxmlformats.org/officeDocument/2006/relationships/customXml" Target="../customXml/item4.xml"/><Relationship Id="rId13" Type="http://schemas.openxmlformats.org/officeDocument/2006/relationships/customXml" Target="../customXml/item3.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10.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2020-07-04T18:32:00Z</dcterms:created>
  <dc:creator>李航 null</dc:creator>
  <cp:lastModifiedBy>greatwall</cp:lastModifiedBy>
  <cp:lastPrinted>2023-08-15T09:28:45Z</cp:lastPrinted>
  <dcterms:modified xsi:type="dcterms:W3CDTF">2023-08-15T09:28:46Z</dcterms:modified>
  <cp:revision>67</cp:revision>
</cp:coreProperties>
</file>

<file path=customXml/item2.xml><?xml version="1.0" encoding="utf-8"?>
<Properties xmlns="http://schemas.openxmlformats.org/officeDocument/2006/extended-properties" xmlns:vt="http://schemas.openxmlformats.org/officeDocument/2006/docPropsVTypes">
  <Template>Normal</Template>
  <Company>Microsoft</Company>
  <Pages>24</Pages>
  <Words>1347</Words>
  <Characters>7679</Characters>
  <Lines>63</Lines>
  <Paragraphs>18</Paragraphs>
  <TotalTime>37</TotalTime>
  <ScaleCrop>false</ScaleCrop>
  <LinksUpToDate>false</LinksUpToDate>
  <CharactersWithSpaces>9008</CharactersWithSpaces>
  <Application>WPS Office_11.8.2.10125_F1E327BC-269C-435d-A152-05C5408002CA</Application>
  <DocSecurity>0</DocSecurity>
</Properties>
</file>

<file path=customXml/item3.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2020-07-04T18:32:00Z</dcterms:created>
  <dc:creator>李航 null</dc:creator>
  <cp:lastModifiedBy>greatwall</cp:lastModifiedBy>
  <cp:lastPrinted>2023-08-15T09:28:45Z</cp:lastPrinted>
  <dcterms:modified xsi:type="dcterms:W3CDTF">2023-08-15T09:28:46Z</dcterms:modified>
  <cp:revision>67</cp:revision>
</cp:coreProperties>
</file>

<file path=customXml/item4.xml><?xml version="1.0" encoding="utf-8"?>
<Properties xmlns:vt="http://schemas.openxmlformats.org/officeDocument/2006/docPropsVTypes" xmlns="http://schemas.openxmlformats.org/officeDocument/2006/custom-properties">
  <property fmtid="{D5CDD505-2E9C-101B-9397-08002B2CF9AE}" pid="2" name="KSOProductBuildVer">
    <vt:lpstr>2052-11.8.2.10125</vt:lpstr>
  </property>
</Properties>
</file>

<file path=customXml/item5.xml><?xml version="1.0" encoding="utf-8"?>
<Properties xmlns:vt="http://schemas.openxmlformats.org/officeDocument/2006/docPropsVTypes" xmlns="http://schemas.openxmlformats.org/officeDocument/2006/extended-properties">
  <Template>Normal</Template>
  <TotalTime>37</TotalTime>
  <Pages>24</Pages>
  <Words>1347</Words>
  <Characters>7679</Characters>
  <Application>WPS Office_11.8.2.10125_F1E327BC-269C-435d-A152-05C5408002CA</Application>
  <DocSecurity>0</DocSecurity>
  <Lines>63</Lines>
  <Paragraphs>18</Paragraphs>
  <Company>Microsoft</Company>
  <CharactersWithSpaces>9008</CharactersWithSpaces>
  <AppVersion>14.0000</AppVersion>
</Properties>
</file>

<file path=customXml/item6.xml><?xml version="1.0" encoding="utf-8"?>
<cp:coreProperties xmlns:cp="http://schemas.openxmlformats.org/package/2006/metadata/core-properties" xmlns:dc="http://purl.org/dc/elements/1.1/" xmlns:dcterms="http://purl.org/dc/terms/" xmlns:dcmitype="http://purl.org/dc/dcmitype/" xmlns:xsi="http://www.w3.org/2001/XMLSchema-instance">
  <dc:creator>李航 null</dc:creator>
  <cp:lastModifiedBy>greatwall</cp:lastModifiedBy>
  <cp:revision>67</cp:revision>
  <cp:lastPrinted>2023-08-15T09:28:45Z</cp:lastPrinted>
  <dcterms:created xsi:type="dcterms:W3CDTF">2020-07-04T18:32:00Z</dcterms:created>
  <dcterms:modified xsi:type="dcterms:W3CDTF">2023-08-15T09:28:46Z</dcterms:modified>
</cp:coreProperties>
</file>

<file path=customXml/item7.xml><?xml version="1.0" encoding="utf-8"?>
<Properties xmlns="http://schemas.openxmlformats.org/officeDocument/2006/custom-properties" xmlns:vt="http://schemas.openxmlformats.org/officeDocument/2006/docPropsVTypes">
  <property fmtid="{D5CDD505-2E9C-101B-9397-08002B2CF9AE}" pid="2" name="KSOProductBuildVer">
    <vt:lpwstr>2052-11.8.2.10125</vt:lpwstr>
  </property>
</Properties>
</file>

<file path=customXml/item8.xml><?xml version="1.0" encoding="utf-8"?>
<Properties xmlns="http://schemas.openxmlformats.org/officeDocument/2006/extended-properties" xmlns:vt="http://schemas.openxmlformats.org/officeDocument/2006/docPropsVTypes">
  <Template>Normal</Template>
  <Company>Microsoft</Company>
  <Pages>24</Pages>
  <Words>1347</Words>
  <Characters>7679</Characters>
  <Lines>63</Lines>
  <Paragraphs>18</Paragraphs>
  <TotalTime>37</TotalTime>
  <ScaleCrop>false</ScaleCrop>
  <LinksUpToDate>false</LinksUpToDate>
  <CharactersWithSpaces>9008</CharactersWithSpaces>
  <Application>WPS Office_11.8.2.10125_F1E327BC-269C-435d-A152-05C5408002CA</Application>
  <DocSecurity>0</DocSecurity>
</Properties>
</file>

<file path=customXml/item9.xml><?xml version="1.0" encoding="utf-8"?>
<Properties xmlns="http://schemas.openxmlformats.org/officeDocument/2006/custom-properties" xmlns:vt="http://schemas.openxmlformats.org/officeDocument/2006/docPropsVTypes">
  <property fmtid="{D5CDD505-2E9C-101B-9397-08002B2CF9AE}" pid="2" name="KSOProductBuildVer">
    <vt:lpwstr>2052-11.8.2.10125</vt:lpwstr>
  </property>
</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0.xml><?xml version="1.0" encoding="utf-8"?>
<ds:datastoreItem xmlns:ds="http://schemas.openxmlformats.org/officeDocument/2006/customXml" ds:itemID="{a6652ec0-d14b-417b-95ed-25698d08a984}">
  <ds:schemaRefs/>
</ds:datastoreItem>
</file>

<file path=customXml/itemProps2.xml><?xml version="1.0" encoding="utf-8"?>
<ds:datastoreItem xmlns:ds="http://schemas.openxmlformats.org/officeDocument/2006/customXml" ds:itemID="{de61f9b7-8fd7-4af2-ae03-92f7732164cd}">
  <ds:schemaRefs/>
</ds:datastoreItem>
</file>

<file path=customXml/itemProps3.xml><?xml version="1.0" encoding="utf-8"?>
<ds:datastoreItem xmlns:ds="http://schemas.openxmlformats.org/officeDocument/2006/customXml" ds:itemID="{ef0f39f0-6969-46a4-9c4b-90ae0ab482fb}">
  <ds:schemaRefs/>
</ds:datastoreItem>
</file>

<file path=customXml/itemProps4.xml><?xml version="1.0" encoding="utf-8"?>
<ds:datastoreItem xmlns:ds="http://schemas.openxmlformats.org/officeDocument/2006/customXml" ds:itemID="{25882342-7dd2-41e6-8fd9-46e5ae4dadc9}">
  <ds:schemaRefs/>
</ds:datastoreItem>
</file>

<file path=customXml/itemProps5.xml><?xml version="1.0" encoding="utf-8"?>
<ds:datastoreItem xmlns:ds="http://schemas.openxmlformats.org/officeDocument/2006/customXml" ds:itemID="{c2f6c4ca-bba4-4ef4-b269-4bd486b656d9}">
  <ds:schemaRefs/>
</ds:datastoreItem>
</file>

<file path=customXml/itemProps6.xml><?xml version="1.0" encoding="utf-8"?>
<ds:datastoreItem xmlns:ds="http://schemas.openxmlformats.org/officeDocument/2006/customXml" ds:itemID="{3d37d9b2-9055-4a19-a4ee-7dc4aad322f2}">
  <ds:schemaRefs/>
</ds:datastoreItem>
</file>

<file path=customXml/itemProps7.xml><?xml version="1.0" encoding="utf-8"?>
<ds:datastoreItem xmlns:ds="http://schemas.openxmlformats.org/officeDocument/2006/customXml" ds:itemID="{fac6b107-5047-4f5e-af83-bfbfe78209f5}">
  <ds:schemaRefs/>
</ds:datastoreItem>
</file>

<file path=customXml/itemProps8.xml><?xml version="1.0" encoding="utf-8"?>
<ds:datastoreItem xmlns:ds="http://schemas.openxmlformats.org/officeDocument/2006/customXml" ds:itemID="{8d23cad8-e7c8-4c22-9091-fb6d91804094}">
  <ds:schemaRefs/>
</ds:datastoreItem>
</file>

<file path=customXml/itemProps9.xml><?xml version="1.0" encoding="utf-8"?>
<ds:datastoreItem xmlns:ds="http://schemas.openxmlformats.org/officeDocument/2006/customXml" ds:itemID="{583b81d1-a53a-4778-847c-43db8e645ddd}">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24</Pages>
  <Words>5163</Words>
  <Characters>5747</Characters>
  <Lines>63</Lines>
  <Paragraphs>18</Paragraphs>
  <TotalTime>0</TotalTime>
  <ScaleCrop>false</ScaleCrop>
  <LinksUpToDate>false</LinksUpToDate>
  <CharactersWithSpaces>5776</CharactersWithSpaces>
  <Application>WPS Office_11.8.6.8556_F1E327BC-269C-435d-A152-05C5408002CA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2020-07-04T18:32:00Z</dcterms:created>
  <dc:creator>李航 null</dc:creator>
  <cp:lastModifiedBy>lenovo</cp:lastModifiedBy>
  <cp:lastPrinted>2023-08-15T09:28:00Z</cp:lastPrinted>
  <dcterms:modified xsi:type="dcterms:W3CDTF">2025-01-24T13:21:25Z</dcterms:modified>
  <cp:revision>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2052-11.8.6.8556</vt:lpwstr>
  </property>
  <property fmtid="{D5CDD505-2E9C-101B-9397-08002B2CF9AE}" pid="3" name="ICV">
    <vt:lpwstr>836CE96123204835A234D39A564568F3_13</vt:lpwstr>
  </property>
</Properties>
</file>