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  <w:highlight w:val="none"/>
        </w:rPr>
      </w:pPr>
    </w:p>
    <w:p>
      <w:pPr>
        <w:pStyle w:val="12"/>
        <w:jc w:val="center"/>
        <w:rPr>
          <w:sz w:val="56"/>
          <w:szCs w:val="56"/>
          <w:highlight w:val="none"/>
        </w:rPr>
      </w:pPr>
    </w:p>
    <w:p>
      <w:pPr>
        <w:pStyle w:val="12"/>
        <w:jc w:val="center"/>
        <w:rPr>
          <w:sz w:val="84"/>
          <w:szCs w:val="84"/>
          <w:highlight w:val="none"/>
        </w:rPr>
      </w:pPr>
    </w:p>
    <w:p>
      <w:pPr>
        <w:pStyle w:val="12"/>
        <w:jc w:val="center"/>
        <w:rPr>
          <w:sz w:val="84"/>
          <w:szCs w:val="84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>年度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  <w:lang w:eastAsia="zh-CN"/>
        </w:rPr>
        <w:t>湖南省畜牧兽医研究所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>部门决算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  <w:highlight w:val="none"/>
        </w:rPr>
      </w:pPr>
    </w:p>
    <w:p>
      <w:pPr>
        <w:pStyle w:val="12"/>
        <w:jc w:val="center"/>
        <w:rPr>
          <w:sz w:val="56"/>
          <w:szCs w:val="56"/>
          <w:highlight w:val="none"/>
        </w:rPr>
      </w:pPr>
    </w:p>
    <w:p>
      <w:pPr>
        <w:pStyle w:val="12"/>
        <w:jc w:val="center"/>
        <w:rPr>
          <w:sz w:val="56"/>
          <w:szCs w:val="56"/>
          <w:highlight w:val="none"/>
        </w:rPr>
      </w:pPr>
    </w:p>
    <w:p>
      <w:pPr>
        <w:pStyle w:val="12"/>
        <w:jc w:val="center"/>
        <w:rPr>
          <w:sz w:val="56"/>
          <w:szCs w:val="56"/>
          <w:highlight w:val="none"/>
        </w:rPr>
      </w:pPr>
    </w:p>
    <w:p>
      <w:pPr>
        <w:pStyle w:val="12"/>
        <w:jc w:val="center"/>
        <w:rPr>
          <w:sz w:val="32"/>
          <w:szCs w:val="32"/>
          <w:highlight w:val="none"/>
        </w:rPr>
      </w:pPr>
    </w:p>
    <w:p>
      <w:pPr>
        <w:pStyle w:val="12"/>
        <w:jc w:val="center"/>
        <w:rPr>
          <w:sz w:val="32"/>
          <w:szCs w:val="32"/>
          <w:highlight w:val="none"/>
        </w:rPr>
      </w:pPr>
    </w:p>
    <w:p>
      <w:pPr>
        <w:pStyle w:val="12"/>
        <w:jc w:val="center"/>
        <w:rPr>
          <w:sz w:val="32"/>
          <w:szCs w:val="32"/>
          <w:highlight w:val="none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  <w:highlight w:val="none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  <w:highlight w:val="none"/>
        </w:rPr>
      </w:pPr>
      <w:r>
        <w:rPr>
          <w:rFonts w:hint="eastAsia"/>
          <w:b/>
          <w:sz w:val="36"/>
          <w:szCs w:val="28"/>
          <w:highlight w:val="none"/>
        </w:rPr>
        <w:t>目录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highlight w:val="none"/>
          <w:lang w:eastAsia="zh-CN"/>
        </w:rPr>
        <w:t>湖南省畜牧兽医研究所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概况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二、机构设置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部门决算表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九、财政拨款“三公”经费支出决算表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部门决算情况说明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六、一般公共预算财政拨款基本支出决算情况说明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七、一般公共预算财政拨款三公经费支出决算情况说明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八、政府性基金预算收入支出决算情况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九、关于机关运行经费支出说明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十、一般性支出情况说明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十一、关于政府采购支出说明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十二、关于国有资产占用情况说明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十三、关于预算绩效情况的说明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  <w:highlight w:val="none"/>
        </w:rPr>
        <w:t>名词解释</w:t>
      </w: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 xml:space="preserve">第一部分 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  <w:lang w:eastAsia="zh-CN"/>
        </w:rPr>
        <w:t>湖南省畜牧兽医研究所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>概况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pStyle w:val="2"/>
        <w:rPr>
          <w:sz w:val="72"/>
          <w:szCs w:val="72"/>
          <w:highlight w:val="none"/>
        </w:rPr>
      </w:pPr>
    </w:p>
    <w:p>
      <w:pPr>
        <w:pStyle w:val="2"/>
        <w:rPr>
          <w:sz w:val="72"/>
          <w:szCs w:val="72"/>
          <w:highlight w:val="none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部门职责</w:t>
      </w:r>
    </w:p>
    <w:p>
      <w:pPr>
        <w:ind w:firstLine="640" w:firstLineChars="200"/>
        <w:jc w:val="left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湖南省畜牧兽医研究所位于长沙市芙蓉区远大二路，系湖南省农业农村厅下属一类公益事业单位，主要承担全省畜禽遗传育种、动物营养、兽医兽药、畜禽新品种、养殖新技术、畜禽产品加工等方面的工作。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highlight w:val="none"/>
        </w:rPr>
        <w:t>二、机构设置及决算单位构成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</w:rPr>
        <w:t>（一）内设机构设置。湖南省畜牧兽医研究所内设机构包括：办公室、人事科、计财科、后勤中心、养猪研究室、动物营养研究室、兽医兽药研究室、资源化利用研究室、草业与草食动物研究室、信息资料研究室、良种牛繁育中心、奶牛原种场、科技开发服务中心等13个科室、部门。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</w:rPr>
        <w:t>（二）决算单位构成。湖南省畜牧兽医研究所202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</w:rPr>
        <w:t>年部门决算汇总公开单位构成包括：湖南省畜牧兽医研究所本级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highlight w:val="none"/>
          <w:lang w:eastAsia="zh-CN"/>
        </w:rPr>
        <w:t>。</w:t>
      </w:r>
    </w:p>
    <w:p>
      <w:pPr>
        <w:jc w:val="left"/>
        <w:rPr>
          <w:rFonts w:ascii="仿宋_GB2312" w:eastAsia="仿宋_GB2312" w:hAnsiTheme="minorEastAsia"/>
          <w:sz w:val="28"/>
          <w:szCs w:val="32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rFonts w:ascii="黑体" w:hAnsi="黑体" w:eastAsia="黑体"/>
          <w:sz w:val="28"/>
          <w:szCs w:val="28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>第二部分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highlight w:val="none"/>
        </w:rPr>
        <w:t>部门决算表</w:t>
      </w: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center"/>
        <w:rPr>
          <w:sz w:val="72"/>
          <w:szCs w:val="72"/>
          <w:highlight w:val="none"/>
        </w:rPr>
      </w:pPr>
    </w:p>
    <w:p>
      <w:pPr>
        <w:jc w:val="left"/>
        <w:rPr>
          <w:sz w:val="32"/>
          <w:szCs w:val="32"/>
          <w:highlight w:val="none"/>
        </w:rPr>
      </w:pPr>
    </w:p>
    <w:p>
      <w:pPr>
        <w:jc w:val="left"/>
        <w:rPr>
          <w:rFonts w:asciiTheme="minorEastAsia" w:hAnsiTheme="minorEastAsia"/>
          <w:sz w:val="32"/>
          <w:szCs w:val="32"/>
          <w:highlight w:val="none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Times New Roman" w:hAnsi="Times New Roman" w:eastAsia="黑体" w:cs="Times New Roman"/>
          <w:bCs/>
          <w:kern w:val="0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  <w:highlight w:val="none"/>
        </w:rPr>
        <w:t xml:space="preserve"> </w:t>
      </w:r>
      <w:r>
        <w:drawing>
          <wp:inline distT="0" distB="0" distL="114300" distR="114300">
            <wp:extent cx="9775190" cy="5810250"/>
            <wp:effectExtent l="0" t="0" r="3810" b="6350"/>
            <wp:docPr id="7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5190" cy="581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br w:type="page"/>
      </w:r>
    </w:p>
    <w:p>
      <w:pPr>
        <w:widowControl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  <w:highlight w:val="none"/>
        </w:rPr>
      </w:pPr>
      <w:r>
        <w:rPr>
          <w:highlight w:val="none"/>
        </w:rPr>
        <w:drawing>
          <wp:inline distT="0" distB="0" distL="114300" distR="114300">
            <wp:extent cx="9769475" cy="5121910"/>
            <wp:effectExtent l="0" t="0" r="9525" b="8890"/>
            <wp:docPr id="2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69475" cy="512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drawing>
          <wp:inline distT="0" distB="0" distL="114300" distR="114300">
            <wp:extent cx="9150350" cy="5346700"/>
            <wp:effectExtent l="0" t="0" r="6350" b="0"/>
            <wp:docPr id="3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50350" cy="534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both"/>
        <w:rPr>
          <w:rFonts w:ascii="Times New Roman" w:hAnsi="Times New Roman" w:eastAsia="方正小标宋_GBK" w:cs="Times New Roman"/>
          <w:color w:val="000000"/>
          <w:kern w:val="0"/>
          <w:sz w:val="36"/>
          <w:szCs w:val="21"/>
          <w:highlight w:val="none"/>
        </w:rPr>
      </w:pPr>
    </w:p>
    <w:p>
      <w:pPr>
        <w:widowControl/>
        <w:jc w:val="center"/>
        <w:rPr>
          <w:rFonts w:ascii="Times New Roman" w:hAnsi="Times New Roman" w:eastAsia="方正小标宋_GBK" w:cs="Times New Roman"/>
          <w:kern w:val="0"/>
          <w:sz w:val="36"/>
          <w:szCs w:val="36"/>
          <w:highlight w:val="none"/>
        </w:rPr>
      </w:pPr>
      <w:bookmarkStart w:id="0" w:name="RANGE!A1:I22"/>
      <w:bookmarkEnd w:id="0"/>
      <w:bookmarkStart w:id="1" w:name="RANGE!A1:F16"/>
    </w:p>
    <w:p>
      <w:pPr>
        <w:widowControl/>
        <w:jc w:val="center"/>
        <w:rPr>
          <w:rFonts w:ascii="Times New Roman" w:hAnsi="Times New Roman" w:eastAsia="方正小标宋_GBK" w:cs="Times New Roman"/>
          <w:kern w:val="0"/>
          <w:sz w:val="36"/>
          <w:szCs w:val="36"/>
          <w:highlight w:val="none"/>
        </w:rPr>
      </w:pPr>
    </w:p>
    <w:bookmarkEnd w:id="1"/>
    <w:p>
      <w:pPr>
        <w:widowControl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8138160" cy="5675630"/>
            <wp:effectExtent l="0" t="0" r="2540" b="1270"/>
            <wp:docPr id="4" name="图片 4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38160" cy="567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drawing>
          <wp:inline distT="0" distB="0" distL="114300" distR="114300">
            <wp:extent cx="9467850" cy="5327650"/>
            <wp:effectExtent l="0" t="0" r="6350" b="6350"/>
            <wp:docPr id="5" name="图片 5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67850" cy="532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highlight w:val="none"/>
        </w:rPr>
      </w:pPr>
    </w:p>
    <w:p>
      <w:pPr>
        <w:widowControl/>
        <w:jc w:val="left"/>
        <w:rPr>
          <w:highlight w:val="none"/>
        </w:rPr>
      </w:pPr>
    </w:p>
    <w:p>
      <w:pPr>
        <w:widowControl/>
        <w:jc w:val="left"/>
        <w:rPr>
          <w:highlight w:val="none"/>
        </w:rPr>
      </w:pPr>
    </w:p>
    <w:p>
      <w:pPr>
        <w:widowControl/>
        <w:jc w:val="left"/>
        <w:rPr>
          <w:highlight w:val="none"/>
        </w:rPr>
      </w:pPr>
    </w:p>
    <w:p>
      <w:pPr>
        <w:widowControl/>
        <w:jc w:val="left"/>
        <w:rPr>
          <w:highlight w:val="none"/>
        </w:rPr>
      </w:pPr>
    </w:p>
    <w:p>
      <w:pPr>
        <w:widowControl/>
        <w:jc w:val="left"/>
        <w:rPr>
          <w:highlight w:val="none"/>
        </w:rPr>
      </w:pPr>
    </w:p>
    <w:p>
      <w:pPr>
        <w:widowControl/>
        <w:jc w:val="left"/>
        <w:rPr>
          <w:highlight w:val="none"/>
        </w:rPr>
      </w:pPr>
      <w:r>
        <w:rPr>
          <w:highlight w:val="none"/>
        </w:rPr>
        <w:drawing>
          <wp:inline distT="0" distB="0" distL="114300" distR="114300">
            <wp:extent cx="9768205" cy="6231890"/>
            <wp:effectExtent l="0" t="0" r="10795" b="3810"/>
            <wp:docPr id="6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68205" cy="623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153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240"/>
        <w:gridCol w:w="1402"/>
        <w:gridCol w:w="2119"/>
        <w:gridCol w:w="2119"/>
        <w:gridCol w:w="2119"/>
        <w:gridCol w:w="2119"/>
        <w:gridCol w:w="2119"/>
        <w:gridCol w:w="21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3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中宋" w:hAnsi="华文中宋" w:eastAsia="华文中宋" w:cs="华文中宋"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华文中宋" w:hAnsi="华文中宋" w:eastAsia="华文中宋" w:cs="华文中宋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政府性基金预算财政拨款收入支出决算表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公开07表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部门：湖南省畜牧兽医研究所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项 </w:t>
            </w:r>
            <w:r>
              <w:rPr>
                <w:rStyle w:val="15"/>
                <w:highlight w:val="none"/>
                <w:lang w:val="en-US" w:eastAsia="zh-CN"/>
              </w:rPr>
              <w:t xml:space="preserve">   </w:t>
            </w:r>
            <w:r>
              <w:rPr>
                <w:rStyle w:val="16"/>
                <w:highlight w:val="none"/>
                <w:lang w:val="en-US" w:eastAsia="zh-CN"/>
              </w:rPr>
              <w:t>目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年初结转和结余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本年收入</w:t>
            </w:r>
          </w:p>
        </w:tc>
        <w:tc>
          <w:tcPr>
            <w:tcW w:w="6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本年支出</w:t>
            </w:r>
          </w:p>
        </w:tc>
        <w:tc>
          <w:tcPr>
            <w:tcW w:w="21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年末结转和结余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科目代码</w:t>
            </w:r>
          </w:p>
        </w:tc>
        <w:tc>
          <w:tcPr>
            <w:tcW w:w="14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科目名称</w:t>
            </w: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小计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基本支出  </w:t>
            </w:r>
          </w:p>
        </w:tc>
        <w:tc>
          <w:tcPr>
            <w:tcW w:w="2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项目支出</w:t>
            </w: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栏次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53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注：本表反映部门本年度政府性基金预算财政拨款收入、支出及结转和结余情况。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说明：我单位没有政府性基金收入，也没有使用政府性基金安排的支出，故本表无数据。</w:t>
            </w:r>
          </w:p>
        </w:tc>
      </w:tr>
    </w:tbl>
    <w:p>
      <w:pPr>
        <w:widowControl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36"/>
          <w:szCs w:val="36"/>
          <w:highlight w:val="none"/>
        </w:rPr>
      </w:pPr>
    </w:p>
    <w:p>
      <w:pPr>
        <w:widowControl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36"/>
          <w:szCs w:val="36"/>
          <w:highlight w:val="none"/>
        </w:rPr>
      </w:pPr>
    </w:p>
    <w:tbl>
      <w:tblPr>
        <w:tblStyle w:val="7"/>
        <w:tblW w:w="151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701"/>
        <w:gridCol w:w="2292"/>
        <w:gridCol w:w="3315"/>
        <w:gridCol w:w="3315"/>
        <w:gridCol w:w="4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15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中宋" w:hAnsi="华文中宋" w:eastAsia="华文中宋" w:cs="华文中宋"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华文中宋" w:hAnsi="华文中宋" w:eastAsia="华文中宋" w:cs="华文中宋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国有资本经营预算财政拨款支出决算表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公开08表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部门：湖南省畜牧兽医研究所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项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</w:t>
            </w:r>
            <w:r>
              <w:rPr>
                <w:rStyle w:val="17"/>
                <w:highlight w:val="none"/>
                <w:lang w:val="en-US" w:eastAsia="zh-CN"/>
              </w:rPr>
              <w:t>目</w:t>
            </w:r>
          </w:p>
        </w:tc>
        <w:tc>
          <w:tcPr>
            <w:tcW w:w="108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本年支出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科目代码</w:t>
            </w:r>
          </w:p>
        </w:tc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科目名称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基本支出  </w:t>
            </w:r>
          </w:p>
        </w:tc>
        <w:tc>
          <w:tcPr>
            <w:tcW w:w="41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栏次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3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5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注：本表反映部门本年度国有资本经营预算财政拨款支出情况。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说明：我单位没有使用国有资本经营预算安排的支出，故本表无数据。</w:t>
            </w:r>
          </w:p>
        </w:tc>
      </w:tr>
    </w:tbl>
    <w:p>
      <w:pPr>
        <w:widowControl/>
        <w:jc w:val="center"/>
        <w:rPr>
          <w:rFonts w:hint="eastAsia" w:ascii="Times New Roman" w:hAnsi="Times New Roman" w:eastAsia="方正小标宋_GBK" w:cs="Times New Roman"/>
          <w:color w:val="000000"/>
          <w:kern w:val="0"/>
          <w:sz w:val="36"/>
          <w:szCs w:val="36"/>
          <w:highlight w:val="none"/>
        </w:rPr>
      </w:pPr>
    </w:p>
    <w:tbl>
      <w:tblPr>
        <w:tblStyle w:val="7"/>
        <w:tblW w:w="151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51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 w:cs="华文中宋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华文中宋" w:hAnsi="华文中宋" w:eastAsia="华文中宋" w:cs="华文中宋"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华文中宋" w:hAnsi="华文中宋" w:eastAsia="华文中宋" w:cs="华文中宋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财政拨款“三公”经费支出决算表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公开09表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部门：湖南省畜牧兽医研究所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5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预算数</w:t>
            </w:r>
          </w:p>
        </w:tc>
        <w:tc>
          <w:tcPr>
            <w:tcW w:w="75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决算数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因公出国（境）费</w:t>
            </w:r>
          </w:p>
        </w:tc>
        <w:tc>
          <w:tcPr>
            <w:tcW w:w="37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公务用车购置及运行维护费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公务接待费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12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因公出国（境）费</w:t>
            </w:r>
          </w:p>
        </w:tc>
        <w:tc>
          <w:tcPr>
            <w:tcW w:w="37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公务用车购置及运行维护费</w:t>
            </w:r>
          </w:p>
        </w:tc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公务接待费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小计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公务用车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购置费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公务用车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运行维护费</w:t>
            </w: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小计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公务用车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购置费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公务用车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运行维护费</w:t>
            </w: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0.39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0.00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51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注：本表反映部门本年度财政拨款“三公”经费支出预决算情况。其中，预算数为“三公”经费全年预算数，反映按规定程序调整后的预算数；决算数是包括当年财政拨款和以前年度结转资金安排的实际支出。</w:t>
            </w:r>
          </w:p>
        </w:tc>
      </w:tr>
    </w:tbl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ind w:left="315" w:leftChars="150"/>
        <w:jc w:val="left"/>
        <w:rPr>
          <w:rFonts w:ascii="宋体" w:eastAsia="宋体" w:cs="宋体"/>
          <w:kern w:val="0"/>
          <w:sz w:val="24"/>
          <w:szCs w:val="24"/>
          <w:highlight w:val="none"/>
        </w:rPr>
      </w:pPr>
    </w:p>
    <w:p>
      <w:pPr>
        <w:widowControl/>
        <w:jc w:val="both"/>
        <w:rPr>
          <w:sz w:val="72"/>
          <w:szCs w:val="72"/>
          <w:highlight w:val="none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highlight w:val="none"/>
        </w:rPr>
        <w:br w:type="page"/>
      </w:r>
    </w:p>
    <w:p>
      <w:pPr>
        <w:pStyle w:val="12"/>
        <w:rPr>
          <w:sz w:val="72"/>
          <w:szCs w:val="72"/>
          <w:highlight w:val="none"/>
        </w:rPr>
      </w:pPr>
    </w:p>
    <w:p>
      <w:pPr>
        <w:pStyle w:val="12"/>
        <w:rPr>
          <w:sz w:val="72"/>
          <w:szCs w:val="72"/>
          <w:highlight w:val="none"/>
        </w:rPr>
      </w:pPr>
    </w:p>
    <w:p>
      <w:pPr>
        <w:pStyle w:val="12"/>
        <w:rPr>
          <w:sz w:val="72"/>
          <w:szCs w:val="72"/>
          <w:highlight w:val="none"/>
        </w:rPr>
      </w:pPr>
    </w:p>
    <w:p>
      <w:pPr>
        <w:pStyle w:val="12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  <w:t>第三部分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highlight w:val="none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highlight w:val="none"/>
        </w:rPr>
        <w:t>年度部门决算情况说明</w:t>
      </w:r>
    </w:p>
    <w:p>
      <w:pPr>
        <w:widowControl/>
        <w:jc w:val="left"/>
        <w:rPr>
          <w:rFonts w:asciiTheme="minorEastAsia" w:hAnsiTheme="minorEastAsia" w:eastAsiaTheme="minorEastAsia"/>
          <w:sz w:val="32"/>
          <w:szCs w:val="32"/>
          <w:highlight w:val="none"/>
        </w:rPr>
      </w:pPr>
      <w:r>
        <w:rPr>
          <w:highlight w:val="none"/>
        </w:rPr>
        <w:br w:type="page"/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一、收入支出决算总体情况说明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年度收、支总计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4961.65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万元。与上年相比，减少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212.25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万元，减少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4.10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使用非财政拨款结余减少。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二、收入决算情况说明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年度收入合计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3126.63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万元，其中：财政拨款收入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2520.22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80.60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%；上级补助收入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%；事业收入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603.59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19.30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%；经营收入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%；附属单位上缴收入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%；其他收入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2.82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0.09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三、支出决算情况说明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年度支出合计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3773.32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万元，其中：基本支出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2419.42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64.12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%；项目支出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1353.90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35.88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%；上缴上级支出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%；经营支出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%；对附属单位补助支出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四、财政拨款收入支出决算总体情况说明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 xml:space="preserve">    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年度财政拨款收、支总计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3390.86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万元，与上年相比，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增加88.91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万元,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增加2.69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追加2021年绩效工资。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五、一般公共预算财政拨款支出决算情况说明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（一）财政拨款支出决算总体情况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80" w:firstLineChars="1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年度财政拨款支出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3076.62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万元，占本年支出合计的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81.54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%，与上年相比，财政拨款支出增加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973.74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46.31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一是追加2021、2022年绩效工资，二是增加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湖南湘猪产业集群建设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等项目支出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80" w:firstLineChars="15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（二）财政拨款支出决算结构情况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年度财政拨款支出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3076.62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万元，主要用于以下方面：一般公共服务（类）支出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21.00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0.68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%；科学技术（类）支出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17.62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1.58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%;农林水（类）支出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3037.80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98.47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占%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highlight w:val="none"/>
        </w:rPr>
        <w:t>（三）财政拨款支出决算具体情况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年度财政拨款支出年初预算数为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2660.94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万元，支出决算数为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3076.62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115.62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1、一般公共服务（类）市场监督管理事务（款）质量基础（项）。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21.00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万元，决算数大于年初预算数的主要原因是：年中追加市场监督管理专项。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2、科学技术（类）基础研究（款）自然科学基金（项）。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4.42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9.42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213.12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%，决算数大于年初预算数的主要原因是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年中追加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创新型省份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专项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、科学技术（类）科技重大项目（款）重点研发计划（项）。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8.40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万元，决算数大于年初预算数的主要原因是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年中追加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创新型省份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专项资金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、农林水（类）农业农村（款）行政运行（项）。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166.52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万元，决算数大于</w:t>
      </w:r>
      <w:bookmarkStart w:id="4" w:name="_GoBack"/>
      <w:bookmarkEnd w:id="4"/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年中追加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绩效奖金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、农林水（类）农业农村（款）事业运行（项）。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1690.30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1690.30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、农林水（类）农业农村（款）科技转化与推广服务（项）。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52.00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52.00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、农林水（类）农业农村（款）农业生产发展（项）。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863.91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863.91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.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、农林水（类）农业农村（款）农业资源保护修复与利用（项）。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52.17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万元，决算数大于年初预算数的主要原因是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年中追加2022年农业种质资源保护与利用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专项资金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、农林水（类）农业农村（款）其他农业农村支出（项）。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21.00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158.59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755.19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%，决算数大于年初预算数的主要原因是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年中追加优势特色产业集群建设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项目和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现代农业产业技术体系建设项目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资金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、农林水（类）其他农林水支出（款）其他农林水支出（项）。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29.31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54.31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185.30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%，决算数大于年初预算数的主要原因是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年中追加农业生产保障服务体系能力建设提升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项目资金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六、一般公共预算财政拨款基本支出决算情况说明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年度财政拨款基本支出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1856.82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highlight w:val="none"/>
        </w:rPr>
        <w:t>人员经费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1778.98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万元，占基本支出的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95.81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%,主要包括基本工资、津贴补贴、奖金、伙食补助费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绩效工资、机关事业单位基本养老保险缴费、职工基本医疗保险缴费、住房公积金、离休费、退休费等。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highlight w:val="none"/>
        </w:rPr>
        <w:t>公用经费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77.84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万元，占基本支出的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4.19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%，主要包括办公费、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工会经费、福利费、其他商品和服务支出。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财政拨款三公经费支出决算情况说明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highlight w:val="none"/>
        </w:rPr>
        <w:t>（一）“三公”经费财政拨款支出决算总体情况说明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“三公”经费财政拨款支出预算为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15.00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2.60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因公出国（境）费支出预算为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与上年持平。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公务接待费支出预算为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15.00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万元，完成预算的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2.60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%，决算数小于预算数的主要原因是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单位厉行节约，大力压着各项经费支出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，与上年相比增加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万元，增长主要原因是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本年因业务开展发生的接待支出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公务用车购置费支出预算为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与上年持平。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319" w:leftChars="152" w:firstLine="320" w:firstLineChars="1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公务用车运行维护费支出预算为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与上年持平。</w:t>
      </w:r>
      <w:r>
        <w:rPr>
          <w:rFonts w:hint="eastAsia" w:ascii="楷体" w:hAnsi="楷体" w:eastAsia="楷体" w:cs="楷体"/>
          <w:b/>
          <w:bCs w:val="0"/>
          <w:sz w:val="32"/>
          <w:szCs w:val="32"/>
          <w:highlight w:val="none"/>
        </w:rPr>
        <w:t>（二）“三公”经费财政拨款支出决算具体情况说明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年度“三公”经费财政拨款支出决算中，公务接待费支出决算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%,因公出国（境）费支出决算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%,公务用车购置费及运行维护费支出决算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%。其中：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因公出国（境）费支出决算为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万元，全年安排因公出国（境）团组0个，累计0人次。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2、公务接待费支出决算为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万元，全年共接待来访团组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个、来宾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人次，主要是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市县业务联系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发生的接待支出。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楷体" w:hAnsi="楷体" w:eastAsia="楷体" w:cs="楷体"/>
          <w:b/>
          <w:bCs/>
          <w:i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3、公务用车购置费及运行维护费支出决算为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万元，其中：公务用车购置费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</w:rPr>
        <w:t>，单位本级更新公务用车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公务用车运行维护费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万元，截止202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年12月31日，我单位开支财政拨款的公务用车保有量为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八、政府性基金预算收入支出决算情况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本单位无政府性基金收支。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sz w:val="32"/>
          <w:szCs w:val="32"/>
          <w:highlight w:val="none"/>
        </w:rPr>
        <w:t>九、关于机关运行经费支出说明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本部门202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年度机关运行经费支出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与上年持平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十、一般性支出情况说明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年本部门开支会议费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0.03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万元，用于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参加湖南省科技期刊编辑学会第八次会员代表大会会务费开支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，人数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人，内容为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湖南省科技期刊编辑学会第八次会员代表大会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；开支培训费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2.60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万元，用于开展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非学历教育和事业单位工作人员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培训，人数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人，内容为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非学历教育和事业单位工作人员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培训；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未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举办节庆、晚会、论坛、赛事活动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十一、关于政府采购支出说明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本部门202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年度政府采购支出总额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1085.16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万元，其中：政府采购货物支出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448.16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万元、政府采购工程支出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637.00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万元、政府采购服务支出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万元。授予中小企业合同金额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759.12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万元，占政府采购支出总额的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69.95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%，其中：授予小微企业合同金额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326.04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万元，占政府采购支出总额的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30.05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%。货物采购授予中小企业合同金额占货物支出金额的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%，工程采购授予中小企业合同金额占工程支出金额的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48.82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%，服务采购授予中小企业合同金额占服务支出金额的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十二、关于国有资产占用情况说明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截至202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年12月31日，本单位共有车辆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辆，其中，主要领导干部用车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辆，机要通信用车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辆、应急保障用车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辆、执法执勤用车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辆、特种专业技术用车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辆、其他用车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辆；单位价值50万元以上通用设备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台（套）；单位价值100万元以上专用设备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台（套）。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十三、关于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年度预算绩效情况的说明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部门整体支出绩效情况</w:t>
      </w:r>
    </w:p>
    <w:p>
      <w:pPr>
        <w:spacing w:line="560" w:lineRule="exact"/>
        <w:ind w:firstLine="640" w:firstLineChars="200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color w:val="000000"/>
          <w:sz w:val="32"/>
          <w:szCs w:val="32"/>
          <w:highlight w:val="none"/>
        </w:rPr>
        <w:t>2022年，</w:t>
      </w:r>
      <w:r>
        <w:rPr>
          <w:rFonts w:eastAsia="仿宋_GB2312"/>
          <w:color w:val="000000"/>
          <w:sz w:val="32"/>
          <w:szCs w:val="32"/>
          <w:highlight w:val="none"/>
        </w:rPr>
        <w:t>在厅</w:t>
      </w:r>
      <w:r>
        <w:rPr>
          <w:rFonts w:hint="eastAsia" w:eastAsia="仿宋_GB2312"/>
          <w:color w:val="000000"/>
          <w:sz w:val="32"/>
          <w:szCs w:val="32"/>
          <w:highlight w:val="none"/>
        </w:rPr>
        <w:t>党组</w:t>
      </w:r>
      <w:r>
        <w:rPr>
          <w:rFonts w:eastAsia="仿宋_GB2312"/>
          <w:color w:val="000000"/>
          <w:sz w:val="32"/>
          <w:szCs w:val="32"/>
          <w:highlight w:val="none"/>
        </w:rPr>
        <w:t>的正确领导</w:t>
      </w:r>
      <w:r>
        <w:rPr>
          <w:rFonts w:hint="eastAsia" w:eastAsia="仿宋_GB2312"/>
          <w:color w:val="000000"/>
          <w:sz w:val="32"/>
          <w:szCs w:val="32"/>
          <w:highlight w:val="none"/>
        </w:rPr>
        <w:t>下，在厅机关各处室和厅直各单位的</w:t>
      </w:r>
      <w:r>
        <w:rPr>
          <w:rFonts w:eastAsia="仿宋_GB2312"/>
          <w:color w:val="000000"/>
          <w:sz w:val="32"/>
          <w:szCs w:val="32"/>
          <w:highlight w:val="none"/>
        </w:rPr>
        <w:t>大力支持下，我所深入学习</w:t>
      </w:r>
      <w:r>
        <w:rPr>
          <w:rFonts w:hint="eastAsia" w:eastAsia="仿宋_GB2312"/>
          <w:color w:val="000000"/>
          <w:sz w:val="32"/>
          <w:szCs w:val="32"/>
          <w:highlight w:val="none"/>
        </w:rPr>
        <w:t>贯彻党的二十大精神和习近平新时代中国特色社会主义思想</w:t>
      </w:r>
      <w:r>
        <w:rPr>
          <w:rFonts w:eastAsia="仿宋_GB2312"/>
          <w:color w:val="000000"/>
          <w:sz w:val="32"/>
          <w:szCs w:val="32"/>
          <w:highlight w:val="none"/>
        </w:rPr>
        <w:t>，以党建工作统领业务工作，以推动畜牧科技创新为己任，以服务全省畜牧</w:t>
      </w:r>
      <w:r>
        <w:rPr>
          <w:rFonts w:hint="eastAsia" w:eastAsia="仿宋_GB2312"/>
          <w:color w:val="000000"/>
          <w:sz w:val="32"/>
          <w:szCs w:val="32"/>
          <w:highlight w:val="none"/>
        </w:rPr>
        <w:t>业高质量发展</w:t>
      </w:r>
      <w:r>
        <w:rPr>
          <w:rFonts w:eastAsia="仿宋_GB2312"/>
          <w:color w:val="000000"/>
          <w:sz w:val="32"/>
          <w:szCs w:val="32"/>
          <w:highlight w:val="none"/>
        </w:rPr>
        <w:t>为宗旨，立足科学研究、强化技术推广、夯实和谐基础，开拓创新，锐意进取，</w:t>
      </w:r>
      <w:r>
        <w:rPr>
          <w:rFonts w:hint="eastAsia" w:eastAsia="仿宋_GB2312"/>
          <w:color w:val="000000"/>
          <w:sz w:val="32"/>
          <w:szCs w:val="32"/>
          <w:highlight w:val="none"/>
        </w:rPr>
        <w:t>取得了科研工作成效显著、社会事业全面发展的好成绩</w:t>
      </w:r>
      <w:r>
        <w:rPr>
          <w:rFonts w:eastAsia="仿宋_GB2312"/>
          <w:color w:val="000000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运行成本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全年财政拨款支出预算数3390.86万元，决算数3076.62万元，执行率90.74%，我单位全年财政拨款整体支出控制在预算范围内。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人员经费预算数1778.98万元，决算数1778.98万元，公用经费数77.84万元，决算数77.84万元，均控制在预算范围内。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、管理效率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共申报国家级、省级科研项目32项，获立项支持15项，到位项目经费1100万元。获科技成果奖4项，其中主持项目</w:t>
      </w:r>
      <w:bookmarkStart w:id="2" w:name="_Hlk101345553"/>
      <w:r>
        <w:rPr>
          <w:rFonts w:hint="eastAsia" w:ascii="Times New Roman" w:hAnsi="Times New Roman" w:eastAsia="仿宋_GB2312"/>
          <w:sz w:val="32"/>
          <w:szCs w:val="32"/>
          <w:highlight w:val="none"/>
        </w:rPr>
        <w:t>“鸭离水低排高效养殖技术推广与应用”</w:t>
      </w:r>
      <w:bookmarkEnd w:id="2"/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“湖南地区桂牧1号杂交象草栽培与加工技术推广应用”分获全国农牧渔业丰收二等奖、三等奖，参与项目“基于数智化云平台的奶牛提质增效关键技术示范与推广”获全国农牧渔业丰收一等奖，参与项目“奶牛高效养殖关键技术创新与应用”获教育部科技进步奖二等奖。1人获全国农业技术推广贡献奖，1人获湖南省家畜繁殖员职业技能大赛第一名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bookmarkStart w:id="3" w:name="OLE_LINK1"/>
      <w:r>
        <w:rPr>
          <w:rFonts w:hint="eastAsia" w:ascii="Times New Roman" w:hAnsi="Times New Roman" w:eastAsia="仿宋_GB2312"/>
          <w:sz w:val="32"/>
          <w:szCs w:val="32"/>
          <w:highlight w:val="none"/>
        </w:rPr>
        <w:t>1人当选全国奶协育种委员会委员</w:t>
      </w:r>
      <w:bookmarkEnd w:id="3"/>
      <w:r>
        <w:rPr>
          <w:rFonts w:hint="eastAsia" w:ascii="Times New Roman" w:hAnsi="Times New Roman" w:eastAsia="仿宋_GB2312"/>
          <w:sz w:val="32"/>
          <w:szCs w:val="32"/>
          <w:highlight w:val="none"/>
        </w:rPr>
        <w:t>，23人入选省（市）科技特派员，19人入选“三区”科技人才；3人分别当选省家禽产业技术体系营养与饲料岗位、水禽遗传育种与繁殖岗位、疾病防控岗位专家；19人入选湖南省第一届畜禽遗传资源委员会委员；在国内外学术刊物发表学术论文50篇，其中SCI 18篇，CSCD9篇，出版专著5部；获授权专利11项，其中发明专利4项，实用新型专利7项；制定地方标准12项；获计算机软件著作权10项；出站博士后1名，联合培养博士研究生1名，硕士研究生10名；争取正高级专业技术职称职数1个、副高级5个。1名同志挂职城步县科技副县长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作为技术牵头的地方畜禽遗传资源普查工作全面推进，取得阶段性成果。推广优质肉牛品改冻精40万支，生产优质牧草180吨、优质鲜奶236吨、有机肥240吨；组织肉牛品改技术培训精品班2期，开展全省家畜繁殖员领军人才培训班2期，培养合格繁育员140余人，接受电话和上门技术咨询800余次；DHI测定奶牛66174头次，出具数据检测解读报告73份，上报中国奶牛数据中心各类数据82277条，有效数据率达80.4%；《湖南畜牧兽医》杂志出版杂志8000余册，向全省行业企业、贫困县赠送杂志2000余册，出版《生猪健康养殖》杂志3期；“湖南畜牧兽医科技网”发布科技信息与动态近100条，科普文章100多篇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履职效能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养猪研究在地方猪品种选育、基因库建设方面取得突破。完成了广益黑猪新品种第10个世代、湘岭猪新品种第3个世代、湘村黑猪壹号新品系第5个世代的选育，对打造生猪种业“华系芯片”，推动全省生猪产业高质量发展具有重要意义；完成了11个地方猪种（类群）697头核心群个体的SNP分型，对地方猪种的遗传多样性进行了充分挖掘；完成了8个地方猪种（类群）共410个样品的基因组DNA提取和建库，为湖南地方猪基因型精准鉴定评估、重要性状基因挖掘利用和基因组选择提供了更有效的平台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动物营养（家禽）研究在家禽饲料配方研发和冷冻精液保存方面保持领先。重点围绕国家水禽产业技术体系鸭饲养管理岗位，省家禽产业技术体系水禽遗传育种与繁殖、营养与饲料岗位的研发任务，持续开展地方家禽营养需要量和冷冻精液保存技术研究与推广，确定了营养参数7个，肉鸭和蛋鸭饲料颗粒硬度参数各1个，稻谷养分与生物学效价数据100余个，获改善应激条件下鸭肉品质、蛋鸭肠道健康和降低鸭粪水分含量的技术方案各1套，有效推动了全省家禽健康养殖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3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草业与草食动物研究创造性开展肉牛育种与性控技术研发。完成了湘西黄牛、湘南黄牛、湘中黑牛生长性能、产肉性能、繁殖性能、抗逆性和耐粗饲等方面的测定，挖掘出多个相关主效基因和SNP位点，为我省地方黄牛新品种选育的基因芯片制作打下基础；对肉牛性控技术进一步优化，首创了牛非创伤性、准确快速鉴定早期胎儿性别的方法，目前正在全省示范推广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eastAsia="zh-Hans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4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兽医兽药研究为全省非洲猪瘟等重大动物疫病防控提供理论支撑。持续开展非洲猪瘟检测，为全省非洲猪瘟监测提供数据支撑；开展了奶牛乳房炎源病原菌系列诊断技术研究，建立一种快速检测乳牛乳房炎的方法，为奶牛健康养殖和牛奶产业健康发展奠定了基础；省家禽产业技术体系疫病防控岗位团队赴全省10多个县区100多个养殖场开展禽病调研和采样工作，采集禽类拭子样品30余份，血清样品400余份，根据检测结果出具了疫病防控建议书，有效提升了养殖场疫病防控水平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5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资源化利用研究强化对畜禽废弃物资源化利用的技术保障。开展了高效复合微生物菌剂研制，获相关技术参数4个；进行了木霉菌和放线菌培养基配比方案研究，获优良培养基配方3个；开展了液体粪污处理参数研究，获液体粪污处理相关参数8个，为科学制定技术参数指标，集成粪污生态处理与高效利用技术，规范液体粪污处理方法提供理论依据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、社会效应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多次组织召开全省畜禽（蜂）遗传资源普查工作会议，安排部署普查工作。圆满完成了大围子猪、湘西黑猪、宁乡猪、沙子岭猪、东山猪、黔邵花猪共308头地方猪的耳组织样品采集工作；开展了湘西黄牛、滨湖水牛、湘东黑山羊和努比亚羊遗传物质精准采样和性能测定工作；完成了临武鸭所有性能测定任务，开展了酃县白鹅、道州灰鹅的体尺、生长性能和屠宰性能等指标测定；对发现新资源永顺凤头鸭、壶天石羊、湘南黄牛、武雪山羊进行了全基因组测序分析，为新品种审定奠定了坚实的基础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可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持续发展能力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技术服务和产学研结合卓有成效。持续与湘村高科、流沙河牧业、飞龙牧业、天府农牧、德农牧业、舜华鸭业、淳口农业以及国内知名大型企业鑫广安、唐人神、新五丰、湘佳、九鼎等保持紧密的产学研合作关系。其中：与广益集团、湘村高科等企业合作开展猪新品种培育；与长沙兴嘉生物合作，开展有机微量元素在家禽饲料中应用技术研究；与大北农集团合作，联合推广蛋鸭笼养、肉鸭发酵床养殖等离水清洁养殖和优质麻鸭肉蛋品质调控等新技术；与中国科学院亚热带农业生态研究所合作建立“奶牛智慧养殖与源头减排试验平台”，探究反刍家畜负能量下维持机体能量代谢的机制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存在的问题及原因分析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我单位财政拨款项目支出预算执行率为79.52%，项目支出预算执行率有待提高，项目支出预算执行率低的主要是因为疫情原因，一是项目资金拨付时间较晚，二是湘猪优势特色产业集群区域（种质资源基因库建设项目一期工程和肉质调控和猪场物联网研发）、2022年农业种质资源保护与利用项目尚未结题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改进措施：一是提高预算编制水平，合理地、精准地、科学的编制预算；二是通过定期对项目资金的执行情况进行分析，及时发现项目执行过程中的问题，督促项目早规划、早启动、早实施，项目完成后及时进行结算，以提高单位项目资金的执行效率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highlight w:val="none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  <w:highlight w:val="none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  <w:highlight w:val="none"/>
        </w:rPr>
        <w:t>名词解释</w:t>
      </w:r>
    </w:p>
    <w:p>
      <w:pPr>
        <w:widowControl/>
        <w:jc w:val="left"/>
        <w:rPr>
          <w:rFonts w:cs="黑体" w:asciiTheme="minorEastAsia" w:hAnsiTheme="minorEastAsia"/>
          <w:color w:val="000000"/>
          <w:kern w:val="0"/>
          <w:sz w:val="32"/>
          <w:szCs w:val="32"/>
          <w:highlight w:val="none"/>
        </w:rPr>
      </w:pPr>
      <w:r>
        <w:rPr>
          <w:highlight w:val="none"/>
        </w:rPr>
        <w:br w:type="page"/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一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pStyle w:val="12"/>
        <w:jc w:val="center"/>
        <w:rPr>
          <w:sz w:val="72"/>
          <w:szCs w:val="72"/>
          <w:highlight w:val="none"/>
        </w:rPr>
      </w:pPr>
    </w:p>
    <w:p>
      <w:pPr>
        <w:jc w:val="left"/>
        <w:rPr>
          <w:rFonts w:cs="黑体" w:asciiTheme="minorEastAsia" w:hAnsiTheme="minorEastAsia"/>
          <w:color w:val="000000"/>
          <w:kern w:val="0"/>
          <w:sz w:val="32"/>
          <w:szCs w:val="32"/>
          <w:highlight w:val="none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174233"/>
    <w:multiLevelType w:val="singleLevel"/>
    <w:tmpl w:val="8C174233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91051027"/>
    <w:multiLevelType w:val="singleLevel"/>
    <w:tmpl w:val="9105102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49D5A1E"/>
    <w:multiLevelType w:val="singleLevel"/>
    <w:tmpl w:val="C49D5A1E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AC10C80"/>
    <w:multiLevelType w:val="singleLevel"/>
    <w:tmpl w:val="7AC10C8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false"/>
  <w:bordersDoNotSurroundFooter w:val="false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67DB5"/>
    <w:rsid w:val="04173E72"/>
    <w:rsid w:val="17712BF3"/>
    <w:rsid w:val="178711E1"/>
    <w:rsid w:val="1C6777DD"/>
    <w:rsid w:val="1ED15A75"/>
    <w:rsid w:val="36FE500A"/>
    <w:rsid w:val="3C3E5397"/>
    <w:rsid w:val="4172785A"/>
    <w:rsid w:val="4C080B9E"/>
    <w:rsid w:val="518534FD"/>
    <w:rsid w:val="53D82AEE"/>
    <w:rsid w:val="582D4F78"/>
    <w:rsid w:val="65530A7C"/>
    <w:rsid w:val="68F837F6"/>
    <w:rsid w:val="763506E3"/>
    <w:rsid w:val="7E3E38C1"/>
    <w:rsid w:val="9A970737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</w:style>
  <w:style w:type="paragraph" w:styleId="3">
    <w:name w:val="endnote text"/>
    <w:basedOn w:val="1"/>
    <w:qFormat/>
    <w:uiPriority w:val="0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6873</Words>
  <Characters>7504</Characters>
  <Lines>63</Lines>
  <Paragraphs>18</Paragraphs>
  <TotalTime>7</TotalTime>
  <ScaleCrop>false</ScaleCrop>
  <LinksUpToDate>false</LinksUpToDate>
  <CharactersWithSpaces>7531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2020-07-05T02:32:00Z</dcterms:created>
  <dc:creator>李航 null</dc:creator>
  <cp:lastModifiedBy>greatwall</cp:lastModifiedBy>
  <cp:lastPrinted>2023-08-15T17:28:00Z</cp:lastPrinted>
  <dcterms:modified xsi:type="dcterms:W3CDTF">2025-05-07T09:38:07Z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