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2022年度</w:t>
      </w: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湖南省农业机械化高科技 示范园部门决算</w:t>
      </w:r>
    </w:p>
    <w:p>
      <w:pPr>
        <w:pStyle w:val="10"/>
        <w:jc w:val="center"/>
        <w:rPr>
          <w:rFonts w:ascii="方正小标宋_GBK" w:hAnsi="方正小标宋_GBK" w:eastAsia="方正小标宋_GBK" w:cs="方正小标宋_GBK"/>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spacing w:line="500" w:lineRule="exact"/>
        <w:jc w:val="both"/>
        <w:rPr>
          <w:b/>
          <w:sz w:val="36"/>
          <w:szCs w:val="28"/>
        </w:rPr>
      </w:pPr>
    </w:p>
    <w:p>
      <w:pPr>
        <w:pStyle w:val="10"/>
        <w:spacing w:line="500" w:lineRule="exact"/>
        <w:jc w:val="both"/>
        <w:rPr>
          <w:b/>
          <w:sz w:val="36"/>
          <w:szCs w:val="28"/>
        </w:rPr>
      </w:pPr>
    </w:p>
    <w:p>
      <w:pPr>
        <w:pStyle w:val="10"/>
        <w:spacing w:line="500" w:lineRule="exact"/>
        <w:jc w:val="both"/>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hAnsi="黑体"/>
          <w:bCs/>
          <w:sz w:val="28"/>
          <w:szCs w:val="28"/>
        </w:rPr>
      </w:pPr>
      <w:r>
        <w:rPr>
          <w:rFonts w:hint="eastAsia" w:hAnsi="黑体"/>
          <w:bCs/>
          <w:sz w:val="28"/>
          <w:szCs w:val="28"/>
        </w:rPr>
        <w:t>第一部分 湖南省农业机械化高科技示范园概况</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0"/>
        <w:spacing w:line="500" w:lineRule="exact"/>
        <w:rPr>
          <w:rFonts w:hAnsi="黑体"/>
          <w:bCs/>
          <w:sz w:val="28"/>
          <w:szCs w:val="28"/>
        </w:rPr>
      </w:pPr>
      <w:r>
        <w:rPr>
          <w:rFonts w:hint="eastAsia" w:hAnsi="黑体"/>
          <w:bCs/>
          <w:sz w:val="28"/>
          <w:szCs w:val="28"/>
        </w:rPr>
        <w:t>第二部分 部门决算表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0"/>
        <w:spacing w:line="500" w:lineRule="exact"/>
        <w:rPr>
          <w:rFonts w:hAnsi="黑体"/>
          <w:bCs/>
          <w:sz w:val="28"/>
          <w:szCs w:val="28"/>
        </w:rPr>
      </w:pPr>
      <w:r>
        <w:rPr>
          <w:rFonts w:hint="eastAsia" w:hAnsi="黑体"/>
          <w:bCs/>
          <w:sz w:val="28"/>
          <w:szCs w:val="28"/>
        </w:rPr>
        <w:t>第三部分 部门决算情况说明</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0"/>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0"/>
        <w:spacing w:line="500" w:lineRule="exact"/>
        <w:rPr>
          <w:rFonts w:hAnsi="黑体"/>
          <w:bCs/>
          <w:sz w:val="28"/>
          <w:szCs w:val="28"/>
        </w:rPr>
      </w:pPr>
      <w:r>
        <w:rPr>
          <w:rFonts w:hint="eastAsia" w:hAnsi="黑体"/>
          <w:bCs/>
          <w:sz w:val="28"/>
          <w:szCs w:val="28"/>
        </w:rPr>
        <w:t>第四部分 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湖南省农业机械化高科技 示范园概况</w:t>
      </w:r>
    </w:p>
    <w:p>
      <w:pPr>
        <w:jc w:val="center"/>
        <w:rPr>
          <w:rFonts w:ascii="方正小标宋_GBK" w:hAnsi="方正小标宋_GBK" w:eastAsia="方正小标宋_GBK" w:cs="方正小标宋_GBK"/>
          <w:sz w:val="72"/>
          <w:szCs w:val="72"/>
        </w:rPr>
      </w:pPr>
    </w:p>
    <w:p>
      <w:pPr>
        <w:rPr>
          <w:sz w:val="72"/>
          <w:szCs w:val="72"/>
        </w:rPr>
      </w:pPr>
    </w:p>
    <w:p>
      <w:pPr>
        <w:rPr>
          <w:sz w:val="72"/>
          <w:szCs w:val="72"/>
        </w:rPr>
      </w:pPr>
    </w:p>
    <w:p>
      <w:pPr>
        <w:rPr>
          <w:sz w:val="72"/>
          <w:szCs w:val="72"/>
        </w:rPr>
      </w:pPr>
    </w:p>
    <w:p>
      <w:pPr>
        <w:pStyle w:val="11"/>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widowControl/>
        <w:spacing w:line="600" w:lineRule="exact"/>
        <w:ind w:firstLine="320" w:firstLineChars="1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主要职能：我单位为财政补助公益二类事业单位，执行政府会计准则制度，宗旨和业务范围：</w:t>
      </w:r>
      <w:r>
        <w:rPr>
          <w:rFonts w:ascii="Times New Roman" w:hAnsi="Times New Roman" w:eastAsia="仿宋_GB2312" w:cs="仿宋_GB2312"/>
          <w:bCs/>
          <w:kern w:val="0"/>
          <w:sz w:val="32"/>
          <w:szCs w:val="32"/>
        </w:rPr>
        <w:t>推广农机新技术，促进农业发展。农业机械及农业工程技术试验示范</w:t>
      </w:r>
      <w:r>
        <w:rPr>
          <w:rFonts w:hint="eastAsia" w:ascii="Times New Roman" w:hAnsi="Times New Roman" w:eastAsia="仿宋_GB2312" w:cs="仿宋_GB2312"/>
          <w:bCs/>
          <w:kern w:val="0"/>
          <w:sz w:val="32"/>
          <w:szCs w:val="32"/>
          <w:lang w:eastAsia="zh-CN"/>
        </w:rPr>
        <w:t>、</w:t>
      </w:r>
      <w:r>
        <w:rPr>
          <w:rFonts w:ascii="Times New Roman" w:hAnsi="Times New Roman" w:eastAsia="仿宋_GB2312" w:cs="仿宋_GB2312"/>
          <w:bCs/>
          <w:kern w:val="0"/>
          <w:sz w:val="32"/>
          <w:szCs w:val="32"/>
        </w:rPr>
        <w:t>农机新机具、新设施、新技术推广、展示农机新产品新机具实验示范</w:t>
      </w:r>
      <w:r>
        <w:rPr>
          <w:rFonts w:hint="eastAsia" w:ascii="Times New Roman" w:hAnsi="Times New Roman" w:eastAsia="仿宋_GB2312" w:cs="仿宋_GB2312"/>
          <w:bCs/>
          <w:kern w:val="0"/>
          <w:sz w:val="32"/>
          <w:szCs w:val="32"/>
          <w:lang w:eastAsia="zh-CN"/>
        </w:rPr>
        <w:t>、</w:t>
      </w:r>
      <w:r>
        <w:rPr>
          <w:rFonts w:ascii="Times New Roman" w:hAnsi="Times New Roman" w:eastAsia="仿宋_GB2312" w:cs="仿宋_GB2312"/>
          <w:bCs/>
          <w:kern w:val="0"/>
          <w:sz w:val="32"/>
          <w:szCs w:val="32"/>
        </w:rPr>
        <w:t>相关技术服务、技术培训</w:t>
      </w:r>
      <w:r>
        <w:rPr>
          <w:rFonts w:hint="eastAsia" w:ascii="Times New Roman" w:hAnsi="Times New Roman" w:eastAsia="仿宋_GB2312" w:cs="仿宋_GB2312"/>
          <w:bCs/>
          <w:kern w:val="0"/>
          <w:sz w:val="32"/>
          <w:szCs w:val="32"/>
        </w:rPr>
        <w:t>。</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ind w:firstLine="320" w:firstLineChars="1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（一）内设机构设置：湖南省农业机械化高科技示范园</w:t>
      </w:r>
    </w:p>
    <w:p>
      <w:pPr>
        <w:widowControl/>
        <w:spacing w:line="600" w:lineRule="exact"/>
        <w:ind w:firstLine="320" w:firstLineChars="1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（二）决算单位构成：湖南省农业机械化高科技示范园</w:t>
      </w:r>
      <w:r>
        <w:rPr>
          <w:rFonts w:ascii="Times New Roman" w:hAnsi="Times New Roman" w:eastAsia="仿宋_GB2312" w:cs="仿宋_GB2312"/>
          <w:bCs/>
          <w:kern w:val="0"/>
          <w:sz w:val="32"/>
          <w:szCs w:val="32"/>
        </w:rPr>
        <w:t>20</w:t>
      </w:r>
      <w:r>
        <w:rPr>
          <w:rFonts w:hint="eastAsia" w:ascii="Times New Roman" w:hAnsi="Times New Roman" w:eastAsia="仿宋_GB2312" w:cs="仿宋_GB2312"/>
          <w:bCs/>
          <w:kern w:val="0"/>
          <w:sz w:val="32"/>
          <w:szCs w:val="32"/>
        </w:rPr>
        <w:t>22年部门决算汇总公开单位</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湖南省农业机械化高科技示范园</w:t>
      </w:r>
      <w:r>
        <w:rPr>
          <w:rFonts w:hint="eastAsia" w:ascii="Times New Roman" w:hAnsi="Times New Roman" w:eastAsia="仿宋_GB2312" w:cs="仿宋_GB2312"/>
          <w:bCs/>
          <w:kern w:val="0"/>
          <w:sz w:val="32"/>
          <w:szCs w:val="32"/>
          <w:lang w:val="en-US" w:eastAsia="zh-CN"/>
        </w:rPr>
        <w:t>本级</w:t>
      </w:r>
      <w:r>
        <w:rPr>
          <w:rFonts w:hint="eastAsia" w:ascii="Times New Roman" w:hAnsi="Times New Roman" w:eastAsia="仿宋_GB2312" w:cs="仿宋_GB2312"/>
          <w:bCs/>
          <w:kern w:val="0"/>
          <w:sz w:val="32"/>
          <w:szCs w:val="32"/>
        </w:rPr>
        <w:t>。</w:t>
      </w:r>
    </w:p>
    <w:p>
      <w:pPr>
        <w:widowControl/>
        <w:spacing w:line="600" w:lineRule="exact"/>
        <w:rPr>
          <w:rFonts w:ascii="Times New Roman" w:hAnsi="Times New Roman" w:eastAsia="仿宋_GB2312" w:cs="仿宋_GB2312"/>
          <w:bCs/>
          <w:kern w:val="0"/>
          <w:sz w:val="32"/>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0"/>
        <w:jc w:val="center"/>
        <w:rPr>
          <w:rFonts w:ascii="方正小标宋_GBK" w:hAnsi="方正小标宋_GBK" w:eastAsia="方正小标宋_GBK" w:cs="方正小标宋_GBK"/>
          <w:sz w:val="84"/>
          <w:szCs w:val="84"/>
        </w:rPr>
      </w:pPr>
    </w:p>
    <w:p>
      <w:pPr>
        <w:pStyle w:val="10"/>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5"/>
        <w:tblW w:w="15428" w:type="dxa"/>
        <w:tblInd w:w="0" w:type="dxa"/>
        <w:tblLayout w:type="fixed"/>
        <w:tblCellMar>
          <w:top w:w="0" w:type="dxa"/>
          <w:left w:w="0" w:type="dxa"/>
          <w:bottom w:w="0" w:type="dxa"/>
          <w:right w:w="0" w:type="dxa"/>
        </w:tblCellMar>
      </w:tblPr>
      <w:tblGrid>
        <w:gridCol w:w="306"/>
        <w:gridCol w:w="508"/>
        <w:gridCol w:w="2888"/>
        <w:gridCol w:w="828"/>
        <w:gridCol w:w="847"/>
        <w:gridCol w:w="620"/>
        <w:gridCol w:w="1055"/>
        <w:gridCol w:w="427"/>
        <w:gridCol w:w="1248"/>
        <w:gridCol w:w="550"/>
        <w:gridCol w:w="1125"/>
        <w:gridCol w:w="673"/>
        <w:gridCol w:w="1002"/>
        <w:gridCol w:w="796"/>
        <w:gridCol w:w="879"/>
        <w:gridCol w:w="1676"/>
      </w:tblGrid>
      <w:tr>
        <w:tblPrEx>
          <w:tblLayout w:type="fixed"/>
          <w:tblCellMar>
            <w:top w:w="0" w:type="dxa"/>
            <w:left w:w="0" w:type="dxa"/>
            <w:bottom w:w="0" w:type="dxa"/>
            <w:right w:w="0" w:type="dxa"/>
          </w:tblCellMar>
        </w:tblPrEx>
        <w:trPr>
          <w:trHeight w:val="435" w:hRule="atLeast"/>
        </w:trPr>
        <w:tc>
          <w:tcPr>
            <w:tcW w:w="15428" w:type="dxa"/>
            <w:gridSpan w:val="16"/>
            <w:tcBorders>
              <w:top w:val="nil"/>
              <w:left w:val="nil"/>
              <w:bottom w:val="nil"/>
              <w:right w:val="nil"/>
            </w:tcBorders>
            <w:shd w:val="clear" w:color="auto" w:fill="auto"/>
            <w:noWrap/>
            <w:tcMar>
              <w:top w:w="15" w:type="dxa"/>
              <w:left w:w="15" w:type="dxa"/>
              <w:bottom w:w="0" w:type="dxa"/>
              <w:right w:w="15" w:type="dxa"/>
            </w:tcMar>
            <w:vAlign w:val="center"/>
          </w:tcPr>
          <w:p>
            <w:pPr>
              <w:widowControl/>
              <w:jc w:val="center"/>
              <w:textAlignment w:val="center"/>
              <w:rPr>
                <w:rFonts w:hint="eastAsia" w:ascii="华文中宋" w:hAnsi="华文中宋" w:eastAsia="华文中宋" w:cs="华文中宋"/>
                <w:color w:val="000000"/>
                <w:kern w:val="0"/>
                <w:sz w:val="32"/>
                <w:szCs w:val="32"/>
              </w:rPr>
            </w:pPr>
            <w:r>
              <w:rPr>
                <w:rFonts w:hint="eastAsia" w:ascii="华文中宋" w:hAnsi="华文中宋" w:eastAsia="华文中宋" w:cs="华文中宋"/>
                <w:color w:val="000000"/>
                <w:kern w:val="0"/>
                <w:sz w:val="32"/>
                <w:szCs w:val="32"/>
              </w:rPr>
              <w:t>收入支出决算总表</w:t>
            </w:r>
          </w:p>
          <w:tbl>
            <w:tblPr>
              <w:tblStyle w:val="5"/>
              <w:tblW w:w="15416" w:type="dxa"/>
              <w:tblInd w:w="0" w:type="dxa"/>
              <w:tblLayout w:type="fixed"/>
              <w:tblCellMar>
                <w:top w:w="0" w:type="dxa"/>
                <w:left w:w="108" w:type="dxa"/>
                <w:bottom w:w="0" w:type="dxa"/>
                <w:right w:w="108" w:type="dxa"/>
              </w:tblCellMar>
            </w:tblPr>
            <w:tblGrid>
              <w:gridCol w:w="3970"/>
              <w:gridCol w:w="654"/>
              <w:gridCol w:w="2705"/>
              <w:gridCol w:w="5138"/>
              <w:gridCol w:w="617"/>
              <w:gridCol w:w="2332"/>
            </w:tblGrid>
            <w:tr>
              <w:tblPrEx>
                <w:tblLayout w:type="fixed"/>
                <w:tblCellMar>
                  <w:top w:w="0" w:type="dxa"/>
                  <w:left w:w="108" w:type="dxa"/>
                  <w:bottom w:w="0" w:type="dxa"/>
                  <w:right w:w="108" w:type="dxa"/>
                </w:tblCellMar>
              </w:tblPrEx>
              <w:trPr>
                <w:trHeight w:val="318" w:hRule="atLeast"/>
              </w:trPr>
              <w:tc>
                <w:tcPr>
                  <w:tcW w:w="3970"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654"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705"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5138"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617"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332"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公开01表</w:t>
                  </w:r>
                </w:p>
              </w:tc>
            </w:tr>
            <w:tr>
              <w:tblPrEx>
                <w:tblLayout w:type="fixed"/>
                <w:tblCellMar>
                  <w:top w:w="0" w:type="dxa"/>
                  <w:left w:w="108" w:type="dxa"/>
                  <w:bottom w:w="0" w:type="dxa"/>
                  <w:right w:w="108" w:type="dxa"/>
                </w:tblCellMar>
              </w:tblPrEx>
              <w:trPr>
                <w:trHeight w:val="318" w:hRule="atLeast"/>
              </w:trPr>
              <w:tc>
                <w:tcPr>
                  <w:tcW w:w="3970" w:type="dxa"/>
                  <w:tcBorders>
                    <w:top w:val="nil"/>
                    <w:left w:val="nil"/>
                    <w:bottom w:val="nil"/>
                    <w:right w:val="nil"/>
                  </w:tcBorders>
                  <w:shd w:val="clear" w:color="auto" w:fill="FFFFFF"/>
                  <w:noWrap/>
                  <w:vAlign w:val="center"/>
                </w:tcPr>
                <w:p>
                  <w:pPr>
                    <w:widowControl/>
                    <w:jc w:val="left"/>
                    <w:textAlignment w:val="center"/>
                    <w:rPr>
                      <w:rFonts w:hint="eastAsia" w:ascii="宋体" w:hAnsi="宋体" w:eastAsia="宋体" w:cs="宋体"/>
                      <w:color w:val="000000"/>
                      <w:sz w:val="20"/>
                      <w:szCs w:val="20"/>
                      <w:lang w:val="en-US" w:eastAsia="zh-CN"/>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湖南省农业机械化高科技示范园</w:t>
                  </w:r>
                </w:p>
              </w:tc>
              <w:tc>
                <w:tcPr>
                  <w:tcW w:w="654"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705"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5138"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617"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332"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278" w:hRule="exact"/>
              </w:trPr>
              <w:tc>
                <w:tcPr>
                  <w:tcW w:w="7329"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收入</w:t>
                  </w:r>
                </w:p>
              </w:tc>
              <w:tc>
                <w:tcPr>
                  <w:tcW w:w="808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支出</w:t>
                  </w: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    目</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2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决算数</w:t>
                  </w:r>
                </w:p>
              </w:tc>
              <w:tc>
                <w:tcPr>
                  <w:tcW w:w="51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    目</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2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决算数</w:t>
                  </w: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    次</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szCs w:val="24"/>
                    </w:rPr>
                  </w:pPr>
                </w:p>
              </w:tc>
              <w:tc>
                <w:tcPr>
                  <w:tcW w:w="2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51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    次</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szCs w:val="24"/>
                    </w:rPr>
                  </w:pPr>
                </w:p>
              </w:tc>
              <w:tc>
                <w:tcPr>
                  <w:tcW w:w="23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一、一般公共预算财政拨款收入</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1</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137.00</w:t>
                  </w:r>
                </w:p>
              </w:tc>
              <w:tc>
                <w:tcPr>
                  <w:tcW w:w="51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32</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二、政府性基金预算财政拨款收入</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二、外交支出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33</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三、国有资本经营预算财政拨款收入</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三、国防支出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34</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四、上级补助收入</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四、公共安全支出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35</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五、事业收入</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五、教育支出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36</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六、经营收入</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kern w:val="2"/>
                      <w:sz w:val="22"/>
                      <w:szCs w:val="22"/>
                      <w:lang w:val="en-US" w:eastAsia="zh-CN" w:bidi="ar-SA"/>
                    </w:rPr>
                  </w:pPr>
                  <w:r>
                    <w:rPr>
                      <w:rFonts w:hint="eastAsia" w:ascii="宋体" w:hAnsi="宋体" w:eastAsia="宋体" w:cs="宋体"/>
                      <w:b/>
                      <w:bCs/>
                      <w:color w:val="000000"/>
                      <w:sz w:val="22"/>
                    </w:rPr>
                    <w:t>137.11</w:t>
                  </w:r>
                </w:p>
              </w:tc>
              <w:tc>
                <w:tcPr>
                  <w:tcW w:w="51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六、科学技术支出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37</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七、附属单位上缴收入</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7</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kern w:val="2"/>
                      <w:sz w:val="22"/>
                      <w:szCs w:val="22"/>
                      <w:lang w:val="en-US" w:eastAsia="zh-CN" w:bidi="ar-SA"/>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4"/>
                      <w:szCs w:val="24"/>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38</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八、其他收入</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8</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ind w:firstLine="1100" w:firstLineChars="500"/>
                    <w:rPr>
                      <w:rFonts w:ascii="宋体" w:hAnsi="宋体" w:eastAsia="宋体" w:cs="宋体"/>
                      <w:color w:val="000000"/>
                      <w:sz w:val="22"/>
                    </w:rPr>
                  </w:pPr>
                  <w:r>
                    <w:rPr>
                      <w:rFonts w:hint="eastAsia" w:ascii="宋体" w:hAnsi="宋体" w:eastAsia="宋体" w:cs="宋体"/>
                      <w:color w:val="000000"/>
                      <w:sz w:val="22"/>
                    </w:rPr>
                    <w:t>0.11</w:t>
                  </w: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39</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14.56</w:t>
                  </w: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9</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0"/>
                      <w:szCs w:val="20"/>
                    </w:rPr>
                  </w:pPr>
                  <w:r>
                    <w:rPr>
                      <w:rFonts w:hint="eastAsia" w:ascii="宋体" w:hAnsi="宋体" w:eastAsia="宋体" w:cs="宋体"/>
                      <w:i w:val="0"/>
                      <w:iCs w:val="0"/>
                      <w:color w:val="000000"/>
                      <w:kern w:val="0"/>
                      <w:sz w:val="22"/>
                      <w:szCs w:val="22"/>
                      <w:u w:val="none"/>
                      <w:lang w:val="en-US" w:eastAsia="zh-CN" w:bidi="ar"/>
                    </w:rPr>
                    <w:t>九、卫生健康支出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40</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10</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十、节能环保支出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41</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11</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十一、城乡社区支出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42</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12</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十二、农林水支出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43</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r>
                    <w:rPr>
                      <w:rFonts w:hint="eastAsia" w:ascii="宋体" w:hAnsi="宋体" w:eastAsia="宋体" w:cs="宋体"/>
                      <w:bCs/>
                      <w:color w:val="000000"/>
                      <w:sz w:val="22"/>
                    </w:rPr>
                    <w:t>108.37</w:t>
                  </w: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13</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十三、交通运输支出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44</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14</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45</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15</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46</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16</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十六、金融支出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47</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17</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48</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18</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49</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19</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十九、住房保障支出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50</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20</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51</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color w:val="000000"/>
                      <w:kern w:val="0"/>
                      <w:sz w:val="22"/>
                      <w:lang w:val="en-US"/>
                    </w:rPr>
                  </w:pPr>
                  <w:r>
                    <w:rPr>
                      <w:rFonts w:hint="eastAsia" w:ascii="宋体" w:hAnsi="宋体" w:eastAsia="宋体" w:cs="宋体"/>
                      <w:i w:val="0"/>
                      <w:iCs w:val="0"/>
                      <w:color w:val="000000"/>
                      <w:kern w:val="0"/>
                      <w:sz w:val="22"/>
                      <w:szCs w:val="22"/>
                      <w:u w:val="none"/>
                      <w:lang w:val="en-US" w:eastAsia="zh-CN" w:bidi="ar"/>
                    </w:rPr>
                    <w:t>21</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52</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22</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53</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23</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二十三、其他支出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54</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24</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25</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56</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0"/>
                      <w:szCs w:val="20"/>
                      <w:u w:val="none"/>
                      <w:lang w:val="en-US" w:eastAsia="zh-CN" w:bidi="ar"/>
                    </w:rPr>
                    <w:t>26</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57</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0"/>
                      <w:szCs w:val="20"/>
                    </w:rPr>
                  </w:pP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27</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b/>
                      <w:bCs/>
                      <w:i w:val="0"/>
                      <w:iCs w:val="0"/>
                      <w:color w:val="000000"/>
                      <w:kern w:val="0"/>
                      <w:sz w:val="22"/>
                      <w:szCs w:val="22"/>
                      <w:u w:val="none"/>
                      <w:lang w:val="en-US" w:eastAsia="zh-CN" w:bidi="ar"/>
                    </w:rPr>
                    <w:t>本年支出合计</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58</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本年收入合计</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b/>
                      <w:color w:val="000000"/>
                      <w:sz w:val="22"/>
                    </w:rPr>
                  </w:pPr>
                  <w:r>
                    <w:rPr>
                      <w:rFonts w:hint="eastAsia" w:ascii="宋体" w:hAnsi="宋体" w:eastAsia="宋体" w:cs="宋体"/>
                      <w:i w:val="0"/>
                      <w:iCs w:val="0"/>
                      <w:color w:val="000000"/>
                      <w:kern w:val="0"/>
                      <w:sz w:val="22"/>
                      <w:szCs w:val="22"/>
                      <w:u w:val="none"/>
                      <w:lang w:val="en-US" w:eastAsia="zh-CN" w:bidi="ar"/>
                    </w:rPr>
                    <w:t>结余分配</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59</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b/>
                      <w:bCs/>
                      <w:color w:val="000000"/>
                      <w:sz w:val="22"/>
                    </w:rPr>
                    <w:t>122.93</w:t>
                  </w: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使用非财政拨款结余</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29</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年末结转和结余</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60</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年初结转和结余</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30</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10.00</w:t>
                  </w:r>
                </w:p>
              </w:tc>
              <w:tc>
                <w:tcPr>
                  <w:tcW w:w="51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2"/>
                    </w:rPr>
                  </w:pP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61</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24.13</w:t>
                  </w:r>
                </w:p>
              </w:tc>
            </w:tr>
            <w:tr>
              <w:tblPrEx>
                <w:tblLayout w:type="fixed"/>
                <w:tblCellMar>
                  <w:top w:w="0" w:type="dxa"/>
                  <w:left w:w="108" w:type="dxa"/>
                  <w:bottom w:w="0" w:type="dxa"/>
                  <w:right w:w="108" w:type="dxa"/>
                </w:tblCellMar>
              </w:tblPrEx>
              <w:trPr>
                <w:trHeight w:val="278" w:hRule="exact"/>
              </w:trPr>
              <w:tc>
                <w:tcPr>
                  <w:tcW w:w="397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6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宋体" w:hAnsi="宋体" w:eastAsia="宋体" w:cs="宋体"/>
                      <w:color w:val="000000"/>
                      <w:sz w:val="22"/>
                      <w:lang w:val="en-US"/>
                    </w:rPr>
                  </w:pPr>
                  <w:r>
                    <w:rPr>
                      <w:rFonts w:hint="eastAsia" w:ascii="宋体" w:hAnsi="宋体" w:eastAsia="宋体" w:cs="宋体"/>
                      <w:i w:val="0"/>
                      <w:iCs w:val="0"/>
                      <w:color w:val="000000"/>
                      <w:kern w:val="0"/>
                      <w:sz w:val="22"/>
                      <w:szCs w:val="22"/>
                      <w:u w:val="none"/>
                      <w:lang w:val="en-US" w:eastAsia="zh-CN" w:bidi="ar"/>
                    </w:rPr>
                    <w:t>31</w:t>
                  </w:r>
                </w:p>
              </w:tc>
              <w:tc>
                <w:tcPr>
                  <w:tcW w:w="2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b/>
                      <w:bCs/>
                      <w:color w:val="000000"/>
                      <w:sz w:val="22"/>
                    </w:rPr>
                    <w:t>147.11</w:t>
                  </w:r>
                </w:p>
              </w:tc>
              <w:tc>
                <w:tcPr>
                  <w:tcW w:w="51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b/>
                      <w:color w:val="000000"/>
                      <w:sz w:val="22"/>
                    </w:rPr>
                  </w:pPr>
                  <w:r>
                    <w:rPr>
                      <w:rFonts w:hint="eastAsia" w:ascii="宋体" w:hAnsi="宋体" w:eastAsia="宋体" w:cs="宋体"/>
                      <w:b/>
                      <w:bCs/>
                      <w:i w:val="0"/>
                      <w:iCs w:val="0"/>
                      <w:color w:val="000000"/>
                      <w:kern w:val="0"/>
                      <w:sz w:val="22"/>
                      <w:szCs w:val="22"/>
                      <w:u w:val="none"/>
                      <w:lang w:val="en-US" w:eastAsia="zh-CN" w:bidi="ar"/>
                    </w:rPr>
                    <w:t>总计</w:t>
                  </w:r>
                </w:p>
              </w:tc>
              <w:tc>
                <w:tcPr>
                  <w:tcW w:w="6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62</w:t>
                  </w:r>
                </w:p>
              </w:tc>
              <w:tc>
                <w:tcPr>
                  <w:tcW w:w="23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color w:val="000000"/>
                      <w:sz w:val="22"/>
                    </w:rPr>
                  </w:pPr>
                  <w:r>
                    <w:rPr>
                      <w:rFonts w:hint="eastAsia" w:ascii="宋体" w:hAnsi="宋体" w:eastAsia="宋体" w:cs="宋体"/>
                      <w:b/>
                      <w:color w:val="000000"/>
                      <w:sz w:val="22"/>
                    </w:rPr>
                    <w:t>147.11</w:t>
                  </w:r>
                </w:p>
              </w:tc>
            </w:tr>
            <w:tr>
              <w:tblPrEx>
                <w:tblLayout w:type="fixed"/>
                <w:tblCellMar>
                  <w:top w:w="0" w:type="dxa"/>
                  <w:left w:w="108" w:type="dxa"/>
                  <w:bottom w:w="0" w:type="dxa"/>
                  <w:right w:w="108" w:type="dxa"/>
                </w:tblCellMar>
              </w:tblPrEx>
              <w:trPr>
                <w:trHeight w:val="278" w:hRule="exact"/>
              </w:trPr>
              <w:tc>
                <w:tcPr>
                  <w:tcW w:w="15416"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注：1.本表反映部门本年度的总收支和年末结转结余情况。2.本套报表金额单位转换时可能存在尾数误差。</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 xml:space="preserve">    2.本套报表金额单位转换时可能存在尾数误差。</w:t>
                  </w:r>
                </w:p>
              </w:tc>
            </w:tr>
          </w:tbl>
          <w:p>
            <w:pPr>
              <w:jc w:val="center"/>
              <w:rPr>
                <w:rFonts w:hint="eastAsia" w:ascii="华文中宋" w:hAnsi="华文中宋" w:eastAsia="华文中宋"/>
                <w:color w:val="000000"/>
                <w:sz w:val="32"/>
                <w:szCs w:val="32"/>
              </w:rPr>
            </w:pPr>
          </w:p>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Layout w:type="fixed"/>
          <w:tblCellMar>
            <w:top w:w="0" w:type="dxa"/>
            <w:left w:w="0" w:type="dxa"/>
            <w:bottom w:w="0" w:type="dxa"/>
            <w:right w:w="0" w:type="dxa"/>
          </w:tblCellMar>
        </w:tblPrEx>
        <w:trPr>
          <w:trHeight w:val="285" w:hRule="atLeast"/>
        </w:trPr>
        <w:tc>
          <w:tcPr>
            <w:tcW w:w="30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50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88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82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67"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82"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98"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98"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98"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55"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Layout w:type="fixed"/>
          <w:tblCellMar>
            <w:top w:w="0" w:type="dxa"/>
            <w:left w:w="0" w:type="dxa"/>
            <w:bottom w:w="0" w:type="dxa"/>
            <w:right w:w="0" w:type="dxa"/>
          </w:tblCellMar>
        </w:tblPrEx>
        <w:trPr>
          <w:trHeight w:val="285" w:hRule="atLeast"/>
        </w:trPr>
        <w:tc>
          <w:tcPr>
            <w:tcW w:w="814"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p>
        </w:tc>
        <w:tc>
          <w:tcPr>
            <w:tcW w:w="2888" w:type="dxa"/>
            <w:tcBorders>
              <w:top w:val="nil"/>
              <w:left w:val="nil"/>
              <w:bottom w:val="nil"/>
              <w:right w:val="nil"/>
            </w:tcBorders>
            <w:shd w:val="clear" w:color="000000" w:fill="FFFFFF"/>
            <w:noWrap/>
            <w:tcMar>
              <w:top w:w="15" w:type="dxa"/>
              <w:left w:w="15" w:type="dxa"/>
              <w:bottom w:w="0" w:type="dxa"/>
              <w:right w:w="15" w:type="dxa"/>
            </w:tcMar>
            <w:vAlign w:val="center"/>
          </w:tcPr>
          <w:p>
            <w:pPr>
              <w:jc w:val="left"/>
              <w:rPr>
                <w:rFonts w:hint="default" w:ascii="宋体" w:hAnsi="宋体" w:cs="宋体" w:eastAsiaTheme="minorEastAsia"/>
                <w:sz w:val="24"/>
                <w:szCs w:val="24"/>
                <w:lang w:val="en-US" w:eastAsia="zh-CN"/>
              </w:rPr>
            </w:pPr>
            <w:r>
              <w:rPr>
                <w:rFonts w:hint="eastAsia" w:ascii="宋体" w:hAnsi="宋体" w:eastAsia="宋体" w:cs="宋体"/>
                <w:color w:val="000000"/>
                <w:kern w:val="0"/>
                <w:sz w:val="20"/>
                <w:szCs w:val="20"/>
                <w:lang w:eastAsia="zh-CN"/>
              </w:rPr>
              <w:t>湖南省农业机械化高科技示范园</w:t>
            </w:r>
            <w:r>
              <w:rPr>
                <w:rFonts w:hint="eastAsia"/>
                <w:lang w:val="en-US" w:eastAsia="zh-CN"/>
              </w:rPr>
              <w:t xml:space="preserve"> </w:t>
            </w:r>
          </w:p>
        </w:tc>
        <w:tc>
          <w:tcPr>
            <w:tcW w:w="82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67"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82"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798"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98"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798"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555"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Layout w:type="fixed"/>
          <w:tblCellMar>
            <w:top w:w="0" w:type="dxa"/>
            <w:left w:w="0" w:type="dxa"/>
            <w:bottom w:w="0" w:type="dxa"/>
            <w:right w:w="0" w:type="dxa"/>
          </w:tblCellMar>
        </w:tblPrEx>
        <w:trPr>
          <w:trHeight w:val="450" w:hRule="atLeast"/>
        </w:trPr>
        <w:tc>
          <w:tcPr>
            <w:tcW w:w="3702"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675"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本年收入合计</w:t>
            </w:r>
          </w:p>
        </w:tc>
        <w:tc>
          <w:tcPr>
            <w:tcW w:w="1675" w:type="dxa"/>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财政拨款收入</w:t>
            </w:r>
          </w:p>
        </w:tc>
        <w:tc>
          <w:tcPr>
            <w:tcW w:w="1675"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上级补助收入</w:t>
            </w:r>
          </w:p>
        </w:tc>
        <w:tc>
          <w:tcPr>
            <w:tcW w:w="1675"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事业收入</w:t>
            </w:r>
          </w:p>
        </w:tc>
        <w:tc>
          <w:tcPr>
            <w:tcW w:w="1675"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经营收入</w:t>
            </w:r>
          </w:p>
        </w:tc>
        <w:tc>
          <w:tcPr>
            <w:tcW w:w="1675"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附属单位</w:t>
            </w:r>
            <w:r>
              <w:rPr>
                <w:rFonts w:hint="eastAsia"/>
                <w:sz w:val="24"/>
                <w:szCs w:val="24"/>
                <w:lang w:val="en-US" w:eastAsia="zh-CN"/>
              </w:rPr>
              <w:t xml:space="preserve">     </w:t>
            </w:r>
            <w:r>
              <w:rPr>
                <w:rFonts w:hint="eastAsia"/>
                <w:sz w:val="24"/>
                <w:szCs w:val="24"/>
              </w:rPr>
              <w:t>上缴收入</w:t>
            </w:r>
          </w:p>
        </w:tc>
        <w:tc>
          <w:tcPr>
            <w:tcW w:w="167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其他收入</w:t>
            </w:r>
          </w:p>
        </w:tc>
      </w:tr>
      <w:tr>
        <w:tblPrEx>
          <w:tblLayout w:type="fixed"/>
          <w:tblCellMar>
            <w:top w:w="0" w:type="dxa"/>
            <w:left w:w="0" w:type="dxa"/>
            <w:bottom w:w="0" w:type="dxa"/>
            <w:right w:w="0" w:type="dxa"/>
          </w:tblCellMar>
        </w:tblPrEx>
        <w:trPr>
          <w:trHeight w:val="450" w:hRule="atLeast"/>
        </w:trPr>
        <w:tc>
          <w:tcPr>
            <w:tcW w:w="814"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2888"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81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88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5"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67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37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1</w:t>
            </w:r>
          </w:p>
        </w:tc>
        <w:tc>
          <w:tcPr>
            <w:tcW w:w="1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2</w:t>
            </w:r>
          </w:p>
        </w:tc>
        <w:tc>
          <w:tcPr>
            <w:tcW w:w="1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3</w:t>
            </w:r>
          </w:p>
        </w:tc>
        <w:tc>
          <w:tcPr>
            <w:tcW w:w="1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4</w:t>
            </w:r>
          </w:p>
        </w:tc>
        <w:tc>
          <w:tcPr>
            <w:tcW w:w="1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5</w:t>
            </w:r>
          </w:p>
        </w:tc>
        <w:tc>
          <w:tcPr>
            <w:tcW w:w="1675"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6</w:t>
            </w:r>
          </w:p>
        </w:tc>
        <w:tc>
          <w:tcPr>
            <w:tcW w:w="167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sz w:val="24"/>
                <w:szCs w:val="24"/>
              </w:rPr>
              <w:t>7</w:t>
            </w:r>
          </w:p>
        </w:tc>
      </w:tr>
      <w:tr>
        <w:tblPrEx>
          <w:tblLayout w:type="fixed"/>
          <w:tblCellMar>
            <w:top w:w="0" w:type="dxa"/>
            <w:left w:w="0" w:type="dxa"/>
            <w:bottom w:w="0" w:type="dxa"/>
            <w:right w:w="0" w:type="dxa"/>
          </w:tblCellMar>
        </w:tblPrEx>
        <w:trPr>
          <w:trHeight w:val="450" w:hRule="atLeast"/>
        </w:trPr>
        <w:tc>
          <w:tcPr>
            <w:tcW w:w="3702"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r>
              <w:rPr>
                <w:rFonts w:hint="eastAsia" w:ascii="宋体" w:hAnsi="宋体" w:eastAsia="宋体" w:cs="宋体"/>
                <w:b/>
                <w:bCs/>
                <w:sz w:val="24"/>
                <w:szCs w:val="24"/>
              </w:rPr>
              <w:t>137.11</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r>
              <w:rPr>
                <w:rFonts w:hint="eastAsia" w:ascii="宋体" w:hAnsi="宋体" w:eastAsia="宋体" w:cs="宋体"/>
                <w:b/>
                <w:bCs/>
                <w:sz w:val="24"/>
                <w:szCs w:val="24"/>
              </w:rPr>
              <w:t>137.00</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p>
        </w:tc>
        <w:tc>
          <w:tcPr>
            <w:tcW w:w="167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r>
              <w:rPr>
                <w:rFonts w:hint="eastAsia" w:ascii="宋体" w:hAnsi="宋体" w:eastAsia="宋体" w:cs="宋体"/>
                <w:b/>
                <w:bCs/>
                <w:sz w:val="24"/>
                <w:szCs w:val="24"/>
              </w:rPr>
              <w:t>0.11</w:t>
            </w:r>
          </w:p>
        </w:tc>
      </w:tr>
      <w:tr>
        <w:tblPrEx>
          <w:tblLayout w:type="fixed"/>
          <w:tblCellMar>
            <w:top w:w="0" w:type="dxa"/>
            <w:left w:w="0" w:type="dxa"/>
            <w:bottom w:w="0" w:type="dxa"/>
            <w:right w:w="0" w:type="dxa"/>
          </w:tblCellMar>
        </w:tblPrEx>
        <w:trPr>
          <w:trHeight w:val="450" w:hRule="atLeast"/>
        </w:trPr>
        <w:tc>
          <w:tcPr>
            <w:tcW w:w="81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cs="宋体"/>
                <w:szCs w:val="21"/>
              </w:rPr>
            </w:pPr>
            <w:r>
              <w:rPr>
                <w:rFonts w:hint="eastAsia"/>
                <w:szCs w:val="21"/>
              </w:rPr>
              <w:t>208</w:t>
            </w:r>
          </w:p>
        </w:tc>
        <w:tc>
          <w:tcPr>
            <w:tcW w:w="288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eastAsia="宋体" w:cs="宋体"/>
                <w:szCs w:val="21"/>
              </w:rPr>
            </w:pPr>
            <w:r>
              <w:rPr>
                <w:rFonts w:hint="eastAsia"/>
                <w:szCs w:val="21"/>
              </w:rPr>
              <w:t>社会保障和就业支出</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19.72</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b/>
                <w:bCs/>
                <w:sz w:val="24"/>
                <w:szCs w:val="24"/>
              </w:rPr>
            </w:pPr>
            <w:r>
              <w:rPr>
                <w:rFonts w:hint="eastAsia" w:ascii="宋体" w:hAnsi="宋体" w:eastAsia="宋体" w:cs="宋体"/>
                <w:b/>
                <w:bCs/>
                <w:sz w:val="24"/>
                <w:szCs w:val="24"/>
              </w:rPr>
              <w:t>19.72</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81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cs="宋体"/>
                <w:szCs w:val="21"/>
              </w:rPr>
            </w:pPr>
            <w:r>
              <w:rPr>
                <w:rFonts w:hint="eastAsia"/>
                <w:szCs w:val="21"/>
              </w:rPr>
              <w:t>20805</w:t>
            </w:r>
          </w:p>
        </w:tc>
        <w:tc>
          <w:tcPr>
            <w:tcW w:w="288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cs="宋体"/>
                <w:szCs w:val="21"/>
              </w:rPr>
            </w:pPr>
            <w:r>
              <w:rPr>
                <w:rFonts w:hint="eastAsia" w:ascii="宋体" w:hAnsi="宋体" w:cs="宋体"/>
                <w:szCs w:val="21"/>
              </w:rPr>
              <w:t>行政事业单位养老支出</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19.72</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19.72</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81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cs="宋体"/>
                <w:szCs w:val="21"/>
              </w:rPr>
            </w:pPr>
            <w:r>
              <w:rPr>
                <w:rFonts w:hint="eastAsia"/>
                <w:szCs w:val="21"/>
              </w:rPr>
              <w:t>2080505</w:t>
            </w:r>
          </w:p>
        </w:tc>
        <w:tc>
          <w:tcPr>
            <w:tcW w:w="288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eastAsia="宋体" w:cs="宋体"/>
                <w:szCs w:val="21"/>
              </w:rPr>
            </w:pPr>
            <w:r>
              <w:rPr>
                <w:rFonts w:hint="eastAsia" w:ascii="宋体" w:hAnsi="宋体" w:eastAsia="宋体" w:cs="宋体"/>
                <w:szCs w:val="21"/>
              </w:rPr>
              <w:t>机关事业单位基本养老保险缴费支出</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19.72</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19.72</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81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cs="宋体"/>
                <w:szCs w:val="21"/>
              </w:rPr>
            </w:pPr>
            <w:r>
              <w:rPr>
                <w:rFonts w:hint="eastAsia"/>
                <w:szCs w:val="21"/>
              </w:rPr>
              <w:t>213</w:t>
            </w:r>
          </w:p>
        </w:tc>
        <w:tc>
          <w:tcPr>
            <w:tcW w:w="288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eastAsia="宋体" w:cs="宋体"/>
                <w:szCs w:val="21"/>
              </w:rPr>
            </w:pPr>
            <w:r>
              <w:rPr>
                <w:rFonts w:hint="eastAsia"/>
                <w:szCs w:val="21"/>
              </w:rPr>
              <w:t>农林水支出</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r>
              <w:rPr>
                <w:rFonts w:hint="eastAsia" w:ascii="宋体" w:hAnsi="宋体" w:eastAsia="宋体" w:cs="宋体"/>
                <w:b/>
                <w:bCs/>
                <w:sz w:val="24"/>
                <w:szCs w:val="24"/>
              </w:rPr>
              <w:t>117.39</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r>
              <w:rPr>
                <w:rFonts w:hint="eastAsia" w:ascii="宋体" w:hAnsi="宋体" w:eastAsia="宋体" w:cs="宋体"/>
                <w:b/>
                <w:bCs/>
                <w:sz w:val="24"/>
                <w:szCs w:val="24"/>
              </w:rPr>
              <w:t>117.28</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p>
        </w:tc>
        <w:tc>
          <w:tcPr>
            <w:tcW w:w="167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b/>
                <w:bCs/>
                <w:sz w:val="24"/>
                <w:szCs w:val="24"/>
              </w:rPr>
            </w:pPr>
            <w:r>
              <w:rPr>
                <w:rFonts w:hint="eastAsia" w:ascii="宋体" w:hAnsi="宋体" w:eastAsia="宋体" w:cs="宋体"/>
                <w:b/>
                <w:bCs/>
                <w:sz w:val="24"/>
                <w:szCs w:val="24"/>
              </w:rPr>
              <w:t>0.11</w:t>
            </w:r>
          </w:p>
        </w:tc>
      </w:tr>
      <w:tr>
        <w:tblPrEx>
          <w:tblLayout w:type="fixed"/>
          <w:tblCellMar>
            <w:top w:w="0" w:type="dxa"/>
            <w:left w:w="0" w:type="dxa"/>
            <w:bottom w:w="0" w:type="dxa"/>
            <w:right w:w="0" w:type="dxa"/>
          </w:tblCellMar>
        </w:tblPrEx>
        <w:trPr>
          <w:trHeight w:val="450" w:hRule="atLeast"/>
        </w:trPr>
        <w:tc>
          <w:tcPr>
            <w:tcW w:w="81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cs="宋体"/>
                <w:szCs w:val="21"/>
              </w:rPr>
            </w:pPr>
            <w:r>
              <w:rPr>
                <w:rFonts w:hint="eastAsia"/>
                <w:szCs w:val="21"/>
              </w:rPr>
              <w:t>21301</w:t>
            </w:r>
          </w:p>
        </w:tc>
        <w:tc>
          <w:tcPr>
            <w:tcW w:w="288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eastAsia="宋体" w:cs="宋体"/>
                <w:szCs w:val="21"/>
              </w:rPr>
            </w:pPr>
            <w:r>
              <w:rPr>
                <w:rFonts w:hint="eastAsia" w:ascii="宋体" w:hAnsi="宋体" w:eastAsia="宋体" w:cs="宋体"/>
                <w:szCs w:val="21"/>
              </w:rPr>
              <w:t>农业农村</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ascii="宋体" w:hAnsi="宋体" w:eastAsia="宋体" w:cs="宋体"/>
                <w:sz w:val="24"/>
                <w:szCs w:val="24"/>
              </w:rPr>
              <w:t>117.39</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ascii="宋体" w:hAnsi="宋体" w:eastAsia="宋体" w:cs="宋体"/>
                <w:sz w:val="24"/>
                <w:szCs w:val="24"/>
              </w:rPr>
              <w:t>117.28</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ascii="宋体" w:hAnsi="宋体" w:eastAsia="宋体" w:cs="宋体"/>
                <w:sz w:val="24"/>
                <w:szCs w:val="24"/>
              </w:rPr>
              <w:t>0.11</w:t>
            </w:r>
          </w:p>
        </w:tc>
      </w:tr>
      <w:tr>
        <w:tblPrEx>
          <w:tblLayout w:type="fixed"/>
          <w:tblCellMar>
            <w:top w:w="0" w:type="dxa"/>
            <w:left w:w="0" w:type="dxa"/>
            <w:bottom w:w="0" w:type="dxa"/>
            <w:right w:w="0" w:type="dxa"/>
          </w:tblCellMar>
        </w:tblPrEx>
        <w:trPr>
          <w:trHeight w:val="450" w:hRule="atLeast"/>
        </w:trPr>
        <w:tc>
          <w:tcPr>
            <w:tcW w:w="81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cs="宋体"/>
                <w:szCs w:val="21"/>
              </w:rPr>
            </w:pPr>
            <w:r>
              <w:rPr>
                <w:rFonts w:hint="eastAsia"/>
                <w:szCs w:val="21"/>
              </w:rPr>
              <w:t>2130104</w:t>
            </w:r>
          </w:p>
        </w:tc>
        <w:tc>
          <w:tcPr>
            <w:tcW w:w="288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left"/>
              <w:rPr>
                <w:rFonts w:ascii="宋体" w:hAnsi="宋体" w:cs="宋体"/>
                <w:szCs w:val="21"/>
              </w:rPr>
            </w:pPr>
            <w:r>
              <w:rPr>
                <w:rFonts w:hint="eastAsia"/>
                <w:szCs w:val="21"/>
              </w:rPr>
              <w:t>事业运行</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ascii="宋体" w:hAnsi="宋体" w:eastAsia="宋体" w:cs="宋体"/>
                <w:sz w:val="24"/>
                <w:szCs w:val="24"/>
              </w:rPr>
              <w:t>117.39</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ascii="宋体" w:hAnsi="宋体" w:eastAsia="宋体" w:cs="宋体"/>
                <w:sz w:val="24"/>
                <w:szCs w:val="24"/>
              </w:rPr>
              <w:t>117.28</w:t>
            </w: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5" w:type="dxa"/>
            <w:gridSpan w:val="2"/>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p>
        </w:tc>
        <w:tc>
          <w:tcPr>
            <w:tcW w:w="167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ascii="宋体" w:hAnsi="宋体" w:eastAsia="宋体" w:cs="宋体"/>
                <w:sz w:val="24"/>
                <w:szCs w:val="24"/>
              </w:rPr>
              <w:t>0.11</w:t>
            </w:r>
          </w:p>
        </w:tc>
      </w:tr>
      <w:tr>
        <w:tblPrEx>
          <w:tblLayout w:type="fixed"/>
          <w:tblCellMar>
            <w:top w:w="0" w:type="dxa"/>
            <w:left w:w="0" w:type="dxa"/>
            <w:bottom w:w="0" w:type="dxa"/>
            <w:right w:w="0" w:type="dxa"/>
          </w:tblCellMar>
        </w:tblPrEx>
        <w:trPr>
          <w:trHeight w:val="615" w:hRule="atLeast"/>
        </w:trPr>
        <w:tc>
          <w:tcPr>
            <w:tcW w:w="15428" w:type="dxa"/>
            <w:gridSpan w:val="16"/>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br w:type="page"/>
      </w:r>
    </w:p>
    <w:p>
      <w:pPr>
        <w:widowControl/>
        <w:rPr>
          <w:rFonts w:ascii="Times New Roman" w:hAnsi="Times New Roman" w:eastAsia="方正小标宋_GBK" w:cs="Times New Roman"/>
          <w:color w:val="000000"/>
          <w:kern w:val="0"/>
          <w:sz w:val="36"/>
          <w:szCs w:val="36"/>
        </w:rPr>
      </w:pPr>
    </w:p>
    <w:tbl>
      <w:tblPr>
        <w:tblStyle w:val="5"/>
        <w:tblW w:w="15324" w:type="dxa"/>
        <w:tblInd w:w="91" w:type="dxa"/>
        <w:tblLayout w:type="fixed"/>
        <w:tblCellMar>
          <w:top w:w="0" w:type="dxa"/>
          <w:left w:w="108" w:type="dxa"/>
          <w:bottom w:w="0" w:type="dxa"/>
          <w:right w:w="108" w:type="dxa"/>
        </w:tblCellMar>
      </w:tblPr>
      <w:tblGrid>
        <w:gridCol w:w="1236"/>
        <w:gridCol w:w="263"/>
        <w:gridCol w:w="3090"/>
        <w:gridCol w:w="343"/>
        <w:gridCol w:w="1446"/>
        <w:gridCol w:w="545"/>
        <w:gridCol w:w="1244"/>
        <w:gridCol w:w="747"/>
        <w:gridCol w:w="1042"/>
        <w:gridCol w:w="949"/>
        <w:gridCol w:w="840"/>
        <w:gridCol w:w="1151"/>
        <w:gridCol w:w="638"/>
        <w:gridCol w:w="1790"/>
      </w:tblGrid>
      <w:tr>
        <w:tblPrEx>
          <w:tblLayout w:type="fixed"/>
          <w:tblCellMar>
            <w:top w:w="0" w:type="dxa"/>
            <w:left w:w="108" w:type="dxa"/>
            <w:bottom w:w="0" w:type="dxa"/>
            <w:right w:w="108" w:type="dxa"/>
          </w:tblCellMar>
        </w:tblPrEx>
        <w:trPr>
          <w:trHeight w:val="807" w:hRule="atLeast"/>
        </w:trPr>
        <w:tc>
          <w:tcPr>
            <w:tcW w:w="15324" w:type="dxa"/>
            <w:gridSpan w:val="14"/>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09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4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28"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108" w:type="dxa"/>
            <w:bottom w:w="0" w:type="dxa"/>
            <w:right w:w="108" w:type="dxa"/>
          </w:tblCellMar>
        </w:tblPrEx>
        <w:trPr>
          <w:trHeight w:val="403" w:hRule="atLeast"/>
        </w:trPr>
        <w:tc>
          <w:tcPr>
            <w:tcW w:w="4589"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湖南省农业机械化高科技示范园</w:t>
            </w:r>
          </w:p>
        </w:tc>
        <w:tc>
          <w:tcPr>
            <w:tcW w:w="34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99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428"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95" w:hRule="atLeast"/>
        </w:trPr>
        <w:tc>
          <w:tcPr>
            <w:tcW w:w="4589"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78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78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78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78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78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79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Layout w:type="fixed"/>
          <w:tblCellMar>
            <w:top w:w="0" w:type="dxa"/>
            <w:left w:w="108" w:type="dxa"/>
            <w:bottom w:w="0" w:type="dxa"/>
            <w:right w:w="108" w:type="dxa"/>
          </w:tblCellMar>
        </w:tblPrEx>
        <w:trPr>
          <w:trHeight w:val="595" w:hRule="atLeast"/>
        </w:trPr>
        <w:tc>
          <w:tcPr>
            <w:tcW w:w="149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309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7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0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8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458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789"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789"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789"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789"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789"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79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Layout w:type="fixed"/>
          <w:tblCellMar>
            <w:top w:w="0" w:type="dxa"/>
            <w:left w:w="108" w:type="dxa"/>
            <w:bottom w:w="0" w:type="dxa"/>
            <w:right w:w="108" w:type="dxa"/>
          </w:tblCellMar>
        </w:tblPrEx>
        <w:trPr>
          <w:trHeight w:val="595" w:hRule="atLeast"/>
        </w:trPr>
        <w:tc>
          <w:tcPr>
            <w:tcW w:w="458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kern w:val="0"/>
                <w:sz w:val="24"/>
                <w:szCs w:val="24"/>
              </w:rPr>
            </w:pPr>
            <w:r>
              <w:rPr>
                <w:rFonts w:hint="eastAsia" w:ascii="宋体" w:hAnsi="宋体" w:eastAsia="宋体" w:cs="宋体"/>
                <w:b/>
                <w:kern w:val="0"/>
                <w:sz w:val="24"/>
                <w:szCs w:val="24"/>
              </w:rPr>
              <w:t>122.93</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kern w:val="0"/>
                <w:sz w:val="24"/>
                <w:szCs w:val="24"/>
              </w:rPr>
            </w:pPr>
            <w:r>
              <w:rPr>
                <w:rFonts w:hint="eastAsia" w:ascii="宋体" w:hAnsi="宋体" w:eastAsia="宋体" w:cs="宋体"/>
                <w:b/>
                <w:kern w:val="0"/>
                <w:sz w:val="24"/>
                <w:szCs w:val="24"/>
              </w:rPr>
              <w:t>102.93</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kern w:val="0"/>
                <w:sz w:val="24"/>
                <w:szCs w:val="24"/>
              </w:rPr>
            </w:pPr>
            <w:r>
              <w:rPr>
                <w:rFonts w:hint="eastAsia" w:ascii="宋体" w:hAnsi="宋体" w:eastAsia="宋体" w:cs="宋体"/>
                <w:b/>
                <w:kern w:val="0"/>
                <w:sz w:val="24"/>
                <w:szCs w:val="24"/>
              </w:rPr>
              <w:t>20.00</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208</w:t>
            </w:r>
          </w:p>
        </w:tc>
        <w:tc>
          <w:tcPr>
            <w:tcW w:w="3090"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社会保障和就业支出</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14.56</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14.56</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20805</w:t>
            </w:r>
          </w:p>
        </w:tc>
        <w:tc>
          <w:tcPr>
            <w:tcW w:w="3090"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行政事业单位养老支出</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14.56</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14.56</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2080505</w:t>
            </w:r>
          </w:p>
        </w:tc>
        <w:tc>
          <w:tcPr>
            <w:tcW w:w="3090"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机关事业单位基本养老保险缴费支出</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14.56</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14.56</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213</w:t>
            </w:r>
          </w:p>
        </w:tc>
        <w:tc>
          <w:tcPr>
            <w:tcW w:w="3090"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农林水支出</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108.37</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88.37</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20.00</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21301</w:t>
            </w:r>
          </w:p>
        </w:tc>
        <w:tc>
          <w:tcPr>
            <w:tcW w:w="3090"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农业农村</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108.37</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88.37</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2130104</w:t>
            </w:r>
          </w:p>
        </w:tc>
        <w:tc>
          <w:tcPr>
            <w:tcW w:w="3090"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Cs w:val="21"/>
              </w:rPr>
            </w:pPr>
            <w:r>
              <w:rPr>
                <w:rFonts w:hint="eastAsia" w:ascii="宋体" w:hAnsi="宋体" w:eastAsia="宋体" w:cs="宋体"/>
                <w:kern w:val="0"/>
                <w:szCs w:val="21"/>
              </w:rPr>
              <w:t>事业运行</w:t>
            </w:r>
          </w:p>
        </w:tc>
        <w:tc>
          <w:tcPr>
            <w:tcW w:w="1789" w:type="dxa"/>
            <w:gridSpan w:val="2"/>
            <w:tcBorders>
              <w:top w:val="nil"/>
              <w:left w:val="nil"/>
              <w:bottom w:val="single" w:color="auto" w:sz="4" w:space="0"/>
              <w:right w:val="single" w:color="auto" w:sz="4" w:space="0"/>
            </w:tcBorders>
            <w:shd w:val="clear" w:color="auto" w:fill="auto"/>
            <w:noWrap/>
            <w:vAlign w:val="center"/>
          </w:tcPr>
          <w:p>
            <w:pPr>
              <w:jc w:val="center"/>
            </w:pPr>
            <w:r>
              <w:rPr>
                <w:rFonts w:hint="eastAsia" w:ascii="宋体" w:hAnsi="宋体" w:eastAsia="宋体" w:cs="宋体"/>
                <w:kern w:val="0"/>
                <w:sz w:val="24"/>
                <w:szCs w:val="24"/>
              </w:rPr>
              <w:t>108.37</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88.37</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89"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c>
          <w:tcPr>
            <w:tcW w:w="179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828" w:hRule="atLeast"/>
        </w:trPr>
        <w:tc>
          <w:tcPr>
            <w:tcW w:w="15324" w:type="dxa"/>
            <w:gridSpan w:val="14"/>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tbl>
      <w:tblPr>
        <w:tblStyle w:val="5"/>
        <w:tblW w:w="16588" w:type="dxa"/>
        <w:tblInd w:w="91" w:type="dxa"/>
        <w:tblLayout w:type="fixed"/>
        <w:tblCellMar>
          <w:top w:w="0" w:type="dxa"/>
          <w:left w:w="108" w:type="dxa"/>
          <w:bottom w:w="0" w:type="dxa"/>
          <w:right w:w="108" w:type="dxa"/>
        </w:tblCellMar>
      </w:tblPr>
      <w:tblGrid>
        <w:gridCol w:w="3595"/>
        <w:gridCol w:w="436"/>
        <w:gridCol w:w="1078"/>
        <w:gridCol w:w="3411"/>
        <w:gridCol w:w="632"/>
        <w:gridCol w:w="435"/>
        <w:gridCol w:w="1573"/>
        <w:gridCol w:w="1394"/>
        <w:gridCol w:w="1394"/>
        <w:gridCol w:w="1573"/>
        <w:gridCol w:w="1067"/>
      </w:tblGrid>
      <w:tr>
        <w:tblPrEx>
          <w:tblLayout w:type="fixed"/>
          <w:tblCellMar>
            <w:top w:w="0" w:type="dxa"/>
            <w:left w:w="108" w:type="dxa"/>
            <w:bottom w:w="0" w:type="dxa"/>
            <w:right w:w="108" w:type="dxa"/>
          </w:tblCellMar>
        </w:tblPrEx>
        <w:trPr>
          <w:gridAfter w:val="1"/>
          <w:wAfter w:w="1067" w:type="dxa"/>
          <w:trHeight w:val="159" w:hRule="atLeast"/>
        </w:trPr>
        <w:tc>
          <w:tcPr>
            <w:tcW w:w="15521"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bookmarkStart w:id="0" w:name="RANGE!A1:I22"/>
            <w:bookmarkEnd w:id="0"/>
            <w:bookmarkStart w:id="1" w:name="RANGE!A1:F16"/>
            <w:r>
              <w:rPr>
                <w:rFonts w:hint="eastAsia" w:ascii="华文中宋" w:hAnsi="华文中宋" w:eastAsia="华文中宋" w:cs="宋体"/>
                <w:color w:val="000000"/>
                <w:kern w:val="0"/>
                <w:sz w:val="32"/>
                <w:szCs w:val="32"/>
              </w:rPr>
              <w:t>财政拨款收入支出决算总表</w:t>
            </w:r>
          </w:p>
        </w:tc>
      </w:tr>
      <w:tr>
        <w:tblPrEx>
          <w:tblLayout w:type="fixed"/>
          <w:tblCellMar>
            <w:top w:w="0" w:type="dxa"/>
            <w:left w:w="108" w:type="dxa"/>
            <w:bottom w:w="0" w:type="dxa"/>
            <w:right w:w="108" w:type="dxa"/>
          </w:tblCellMar>
        </w:tblPrEx>
        <w:trPr>
          <w:gridAfter w:val="1"/>
          <w:wAfter w:w="1067" w:type="dxa"/>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Layout w:type="fixed"/>
          <w:tblCellMar>
            <w:top w:w="0" w:type="dxa"/>
            <w:left w:w="108" w:type="dxa"/>
            <w:bottom w:w="0" w:type="dxa"/>
            <w:right w:w="108" w:type="dxa"/>
          </w:tblCellMar>
        </w:tblPrEx>
        <w:trPr>
          <w:gridAfter w:val="1"/>
          <w:wAfter w:w="1067" w:type="dxa"/>
          <w:trHeight w:val="87" w:hRule="atLeast"/>
        </w:trPr>
        <w:tc>
          <w:tcPr>
            <w:tcW w:w="3595"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湖南省农业机械化高科技示范园</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gridAfter w:val="1"/>
          <w:wAfter w:w="1067" w:type="dxa"/>
          <w:trHeight w:val="274"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Layout w:type="fixed"/>
          <w:tblCellMar>
            <w:top w:w="0" w:type="dxa"/>
            <w:left w:w="108" w:type="dxa"/>
            <w:bottom w:w="0" w:type="dxa"/>
            <w:right w:w="108" w:type="dxa"/>
          </w:tblCellMar>
        </w:tblPrEx>
        <w:trPr>
          <w:gridAfter w:val="1"/>
          <w:wAfter w:w="1067" w:type="dxa"/>
          <w:trHeight w:val="444"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金额</w:t>
            </w:r>
          </w:p>
        </w:tc>
        <w:tc>
          <w:tcPr>
            <w:tcW w:w="34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国有资本经营预算财政拨款</w:t>
            </w: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1"/>
                <w:szCs w:val="21"/>
              </w:rPr>
            </w:pPr>
            <w:r>
              <w:rPr>
                <w:rFonts w:hint="eastAsia" w:ascii="宋体" w:hAnsi="宋体" w:eastAsia="宋体" w:cs="宋体"/>
                <w:kern w:val="0"/>
                <w:sz w:val="21"/>
                <w:szCs w:val="21"/>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1"/>
                <w:szCs w:val="21"/>
              </w:rPr>
            </w:pPr>
            <w:r>
              <w:rPr>
                <w:rFonts w:hint="eastAsia" w:ascii="宋体" w:hAnsi="宋体" w:eastAsia="宋体" w:cs="宋体"/>
                <w:kern w:val="0"/>
                <w:sz w:val="21"/>
                <w:szCs w:val="21"/>
              </w:rPr>
              <w:t>1</w:t>
            </w:r>
          </w:p>
        </w:tc>
        <w:tc>
          <w:tcPr>
            <w:tcW w:w="34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1"/>
                <w:szCs w:val="21"/>
              </w:rPr>
            </w:pPr>
            <w:r>
              <w:rPr>
                <w:rFonts w:hint="eastAsia" w:ascii="宋体" w:hAnsi="宋体" w:eastAsia="宋体" w:cs="宋体"/>
                <w:kern w:val="0"/>
                <w:sz w:val="21"/>
                <w:szCs w:val="21"/>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1"/>
                <w:szCs w:val="21"/>
              </w:rPr>
            </w:pPr>
            <w:r>
              <w:rPr>
                <w:rFonts w:hint="eastAsia" w:ascii="宋体" w:hAnsi="宋体" w:eastAsia="宋体" w:cs="宋体"/>
                <w:kern w:val="0"/>
                <w:sz w:val="21"/>
                <w:szCs w:val="21"/>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1"/>
                <w:szCs w:val="21"/>
              </w:rPr>
            </w:pPr>
            <w:r>
              <w:rPr>
                <w:rFonts w:hint="eastAsia" w:ascii="宋体" w:hAnsi="宋体" w:eastAsia="宋体" w:cs="宋体"/>
                <w:kern w:val="0"/>
                <w:sz w:val="21"/>
                <w:szCs w:val="21"/>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1"/>
                <w:szCs w:val="21"/>
              </w:rPr>
            </w:pPr>
            <w:r>
              <w:rPr>
                <w:rFonts w:hint="eastAsia" w:ascii="宋体" w:hAnsi="宋体" w:eastAsia="宋体" w:cs="宋体"/>
                <w:kern w:val="0"/>
                <w:sz w:val="21"/>
                <w:szCs w:val="21"/>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1"/>
                <w:szCs w:val="21"/>
              </w:rPr>
            </w:pPr>
            <w:r>
              <w:rPr>
                <w:rFonts w:hint="eastAsia" w:ascii="宋体" w:hAnsi="宋体" w:eastAsia="宋体" w:cs="宋体"/>
                <w:kern w:val="0"/>
                <w:sz w:val="21"/>
                <w:szCs w:val="21"/>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1"/>
                <w:szCs w:val="21"/>
              </w:rPr>
            </w:pPr>
            <w:r>
              <w:rPr>
                <w:rFonts w:hint="eastAsia" w:ascii="宋体" w:hAnsi="宋体" w:eastAsia="宋体" w:cs="宋体"/>
                <w:kern w:val="0"/>
                <w:sz w:val="21"/>
                <w:szCs w:val="21"/>
              </w:rPr>
              <w:t>5</w:t>
            </w: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137.00</w:t>
            </w: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33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34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35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36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37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38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39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14.56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14.56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r>
              <w:rPr>
                <w:rFonts w:hint="eastAsia" w:ascii="宋体" w:hAnsi="宋体" w:eastAsia="宋体" w:cs="宋体"/>
                <w:kern w:val="0"/>
                <w:sz w:val="22"/>
                <w:szCs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九、卫生健康支出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十、节能环保支出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szCs w:val="22"/>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十一、城乡社区支出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szCs w:val="22"/>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十二、农林水支出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108.31</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108.31</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szCs w:val="22"/>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十三、交通运输支出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szCs w:val="22"/>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rPr>
              <w:t>15</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rPr>
              <w:t>16</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十六、金融支出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rPr>
              <w:t>17</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rPr>
              <w:t>18</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rPr>
              <w:t>19</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十九、住房保障支出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eastAsia="宋体" w:cs="宋体"/>
                <w:kern w:val="0"/>
                <w:sz w:val="22"/>
                <w:szCs w:val="22"/>
              </w:rPr>
              <w:t>20</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szCs w:val="22"/>
              </w:rPr>
              <w:t>21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szCs w:val="22"/>
              </w:rPr>
              <w:t>22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szCs w:val="22"/>
              </w:rPr>
              <w:t>23</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二十三、其他支出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szCs w:val="22"/>
              </w:rPr>
              <w:t>24</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25</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szCs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26</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szCs w:val="22"/>
              </w:rPr>
            </w:pPr>
            <w:r>
              <w:rPr>
                <w:rFonts w:hint="eastAsia" w:ascii="宋体" w:hAnsi="宋体" w:eastAsia="宋体" w:cs="宋体"/>
                <w:b/>
                <w:bCs/>
                <w:kern w:val="0"/>
                <w:sz w:val="22"/>
                <w:szCs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27</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137.00</w:t>
            </w: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b/>
                <w:bCs/>
                <w:kern w:val="0"/>
                <w:sz w:val="22"/>
                <w:szCs w:val="22"/>
              </w:rPr>
            </w:pPr>
            <w:r>
              <w:rPr>
                <w:rFonts w:hint="eastAsia" w:ascii="宋体" w:hAnsi="宋体" w:eastAsia="宋体" w:cs="宋体"/>
                <w:b/>
                <w:bCs/>
                <w:i w:val="0"/>
                <w:iCs w:val="0"/>
                <w:color w:val="000000"/>
                <w:kern w:val="0"/>
                <w:sz w:val="22"/>
                <w:szCs w:val="22"/>
                <w:u w:val="none"/>
                <w:lang w:val="en-US" w:eastAsia="zh-CN" w:bidi="ar"/>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kern w:val="0"/>
                <w:sz w:val="22"/>
                <w:szCs w:val="22"/>
              </w:rPr>
            </w:pPr>
            <w:r>
              <w:rPr>
                <w:rFonts w:hint="eastAsia" w:ascii="宋体" w:hAnsi="宋体" w:eastAsia="宋体" w:cs="宋体"/>
                <w:b/>
                <w:kern w:val="0"/>
                <w:sz w:val="22"/>
                <w:szCs w:val="22"/>
              </w:rPr>
              <w:t>122.87</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kern w:val="0"/>
                <w:sz w:val="22"/>
                <w:szCs w:val="22"/>
              </w:rPr>
            </w:pPr>
            <w:r>
              <w:rPr>
                <w:rFonts w:hint="eastAsia" w:ascii="宋体" w:hAnsi="宋体" w:eastAsia="宋体" w:cs="宋体"/>
                <w:b/>
                <w:kern w:val="0"/>
                <w:sz w:val="22"/>
                <w:szCs w:val="22"/>
              </w:rPr>
              <w:t>122.87</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28</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10.00</w:t>
            </w:r>
          </w:p>
        </w:tc>
        <w:tc>
          <w:tcPr>
            <w:tcW w:w="341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60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24.13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24.13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29</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10.00</w:t>
            </w:r>
          </w:p>
        </w:tc>
        <w:tc>
          <w:tcPr>
            <w:tcW w:w="3411"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kern w:val="0"/>
                <w:sz w:val="22"/>
                <w:szCs w:val="22"/>
              </w:rPr>
            </w:pP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61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30</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kern w:val="0"/>
                <w:sz w:val="22"/>
                <w:szCs w:val="22"/>
              </w:rPr>
            </w:pP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62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bidi="ar-SA"/>
              </w:rPr>
              <w:t>31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3411" w:type="dxa"/>
            <w:tcBorders>
              <w:top w:val="nil"/>
              <w:left w:val="nil"/>
              <w:bottom w:val="single" w:color="auto" w:sz="4" w:space="0"/>
              <w:right w:val="single" w:color="auto" w:sz="4" w:space="0"/>
            </w:tcBorders>
            <w:shd w:val="clear" w:color="auto" w:fill="auto"/>
            <w:noWrap/>
            <w:vAlign w:val="center"/>
          </w:tcPr>
          <w:p>
            <w:pPr>
              <w:jc w:val="left"/>
              <w:rPr>
                <w:rFonts w:ascii="宋体" w:hAnsi="宋体" w:eastAsia="宋体" w:cs="宋体"/>
                <w:kern w:val="0"/>
                <w:sz w:val="22"/>
                <w:szCs w:val="22"/>
              </w:rPr>
            </w:pPr>
          </w:p>
        </w:tc>
        <w:tc>
          <w:tcPr>
            <w:tcW w:w="106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63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szCs w:val="22"/>
              </w:rPr>
            </w:pPr>
          </w:p>
        </w:tc>
      </w:tr>
      <w:tr>
        <w:tblPrEx>
          <w:tblLayout w:type="fixed"/>
          <w:tblCellMar>
            <w:top w:w="0" w:type="dxa"/>
            <w:left w:w="108" w:type="dxa"/>
            <w:bottom w:w="0" w:type="dxa"/>
            <w:right w:w="108" w:type="dxa"/>
          </w:tblCellMar>
        </w:tblPrEx>
        <w:trPr>
          <w:gridAfter w:val="1"/>
          <w:wAfter w:w="1067" w:type="dxa"/>
          <w:trHeight w:val="249" w:hRule="exac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szCs w:val="22"/>
              </w:rPr>
            </w:pPr>
            <w:r>
              <w:rPr>
                <w:rFonts w:hint="eastAsia" w:ascii="宋体" w:hAnsi="宋体" w:eastAsia="宋体" w:cs="宋体"/>
                <w:b/>
                <w:bCs/>
                <w:kern w:val="0"/>
                <w:sz w:val="22"/>
                <w:szCs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szCs w:val="22"/>
                <w:lang w:val="en-US" w:eastAsia="zh-CN" w:bidi="ar-SA"/>
              </w:rPr>
            </w:pPr>
            <w:r>
              <w:rPr>
                <w:rFonts w:hint="eastAsia" w:ascii="宋体" w:hAnsi="宋体" w:eastAsia="宋体" w:cs="宋体"/>
                <w:kern w:val="0"/>
                <w:sz w:val="22"/>
                <w:szCs w:val="22"/>
                <w:lang w:val="en-US" w:eastAsia="zh-CN"/>
              </w:rPr>
              <w:t>32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kern w:val="0"/>
                <w:sz w:val="22"/>
                <w:szCs w:val="22"/>
              </w:rPr>
            </w:pPr>
            <w:r>
              <w:rPr>
                <w:rFonts w:hint="eastAsia" w:ascii="宋体" w:hAnsi="宋体" w:eastAsia="宋体" w:cs="宋体"/>
                <w:b/>
                <w:kern w:val="0"/>
                <w:sz w:val="22"/>
                <w:szCs w:val="22"/>
              </w:rPr>
              <w:t>147.00</w:t>
            </w:r>
          </w:p>
        </w:tc>
        <w:tc>
          <w:tcPr>
            <w:tcW w:w="341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b/>
                <w:bCs/>
                <w:kern w:val="0"/>
                <w:sz w:val="22"/>
                <w:szCs w:val="22"/>
              </w:rPr>
            </w:pPr>
            <w:r>
              <w:rPr>
                <w:rFonts w:hint="eastAsia" w:ascii="宋体" w:hAnsi="宋体" w:eastAsia="宋体" w:cs="宋体"/>
                <w:b/>
                <w:bCs/>
                <w:i w:val="0"/>
                <w:iCs w:val="0"/>
                <w:color w:val="000000"/>
                <w:kern w:val="0"/>
                <w:sz w:val="22"/>
                <w:szCs w:val="22"/>
                <w:u w:val="none"/>
                <w:lang w:val="en-US" w:eastAsia="zh-CN" w:bidi="ar"/>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64</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kern w:val="0"/>
                <w:sz w:val="22"/>
                <w:szCs w:val="22"/>
              </w:rPr>
            </w:pPr>
            <w:r>
              <w:rPr>
                <w:rFonts w:hint="eastAsia" w:ascii="宋体" w:hAnsi="宋体" w:eastAsia="宋体" w:cs="宋体"/>
                <w:b/>
                <w:kern w:val="0"/>
                <w:sz w:val="22"/>
                <w:szCs w:val="22"/>
              </w:rPr>
              <w:t>147.00</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kern w:val="0"/>
                <w:sz w:val="22"/>
                <w:szCs w:val="22"/>
              </w:rPr>
            </w:pPr>
            <w:r>
              <w:rPr>
                <w:rFonts w:hint="eastAsia" w:ascii="宋体" w:hAnsi="宋体" w:eastAsia="宋体" w:cs="宋体"/>
                <w:b/>
                <w:kern w:val="0"/>
                <w:sz w:val="22"/>
                <w:szCs w:val="22"/>
              </w:rPr>
              <w:t>147.00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szCs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szCs w:val="22"/>
              </w:rPr>
            </w:pPr>
          </w:p>
        </w:tc>
      </w:tr>
      <w:tr>
        <w:tblPrEx>
          <w:tblLayout w:type="fixed"/>
          <w:tblCellMar>
            <w:top w:w="0" w:type="dxa"/>
            <w:left w:w="108" w:type="dxa"/>
            <w:bottom w:w="0" w:type="dxa"/>
            <w:right w:w="108" w:type="dxa"/>
          </w:tblCellMar>
        </w:tblPrEx>
        <w:trPr>
          <w:trHeight w:val="585" w:hRule="atLeast"/>
        </w:trPr>
        <w:tc>
          <w:tcPr>
            <w:tcW w:w="15521" w:type="dxa"/>
            <w:gridSpan w:val="10"/>
            <w:tcBorders>
              <w:top w:val="nil"/>
              <w:left w:val="nil"/>
              <w:bottom w:val="nil"/>
              <w:right w:val="nil"/>
            </w:tcBorders>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注：本表反映部门本年度一般公共预算财政拨款、政府性基金预算财政拨款和国有资本经营预算财政拨款的总收支和年末结转结余情况。</w:t>
            </w:r>
          </w:p>
        </w:tc>
        <w:tc>
          <w:tcPr>
            <w:tcW w:w="1067" w:type="dxa"/>
            <w:tcBorders>
              <w:top w:val="nil"/>
              <w:left w:val="nil"/>
              <w:bottom w:val="nil"/>
              <w:right w:val="nil"/>
            </w:tcBorders>
            <w:shd w:val="clear" w:color="auto" w:fill="auto"/>
            <w:vAlign w:val="center"/>
          </w:tcPr>
          <w:p>
            <w:pPr>
              <w:widowControl/>
              <w:jc w:val="both"/>
              <w:rPr>
                <w:rFonts w:hint="eastAsia" w:ascii="宋体" w:hAnsi="宋体" w:eastAsia="宋体" w:cs="宋体"/>
                <w:kern w:val="0"/>
                <w:sz w:val="22"/>
                <w:szCs w:val="22"/>
                <w:lang w:val="en-US" w:eastAsia="zh-CN" w:bidi="ar-SA"/>
              </w:rPr>
            </w:pP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部门：</w:t>
      </w:r>
      <w:r>
        <w:rPr>
          <w:rFonts w:hint="eastAsia" w:ascii="Times New Roman" w:hAnsi="Times New Roman" w:eastAsia="仿宋_GB2312" w:cs="Times New Roman"/>
          <w:color w:val="000000"/>
          <w:kern w:val="0"/>
          <w:szCs w:val="21"/>
          <w:lang w:eastAsia="zh-CN"/>
        </w:rPr>
        <w:t>湖南省农业机械化高科技示范园</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单位：万元                                                                                                              </w:t>
      </w:r>
      <w:r>
        <w:rPr>
          <w:rFonts w:hint="eastAsia" w:ascii="Times New Roman" w:hAnsi="Times New Roman" w:eastAsia="仿宋_GB2312" w:cs="Times New Roman"/>
          <w:color w:val="000000"/>
          <w:kern w:val="0"/>
          <w:szCs w:val="21"/>
        </w:rPr>
        <w:t xml:space="preserve">   </w:t>
      </w:r>
    </w:p>
    <w:tbl>
      <w:tblPr>
        <w:tblStyle w:val="5"/>
        <w:tblW w:w="14219" w:type="dxa"/>
        <w:jc w:val="center"/>
        <w:tblInd w:w="0" w:type="dxa"/>
        <w:tblLayout w:type="fixed"/>
        <w:tblCellMar>
          <w:top w:w="0" w:type="dxa"/>
          <w:left w:w="108" w:type="dxa"/>
          <w:bottom w:w="0" w:type="dxa"/>
          <w:right w:w="108" w:type="dxa"/>
        </w:tblCellMar>
      </w:tblPr>
      <w:tblGrid>
        <w:gridCol w:w="1200"/>
        <w:gridCol w:w="3598"/>
        <w:gridCol w:w="2929"/>
        <w:gridCol w:w="3492"/>
        <w:gridCol w:w="3000"/>
      </w:tblGrid>
      <w:tr>
        <w:tblPrEx>
          <w:tblLayout w:type="fixed"/>
          <w:tblCellMar>
            <w:top w:w="0" w:type="dxa"/>
            <w:left w:w="108" w:type="dxa"/>
            <w:bottom w:w="0" w:type="dxa"/>
            <w:right w:w="108" w:type="dxa"/>
          </w:tblCellMar>
        </w:tblPrEx>
        <w:trPr>
          <w:trHeight w:val="405" w:hRule="atLeast"/>
          <w:jc w:val="center"/>
        </w:trPr>
        <w:tc>
          <w:tcPr>
            <w:tcW w:w="4798"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21"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92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9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929"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9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2929"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4798"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92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jc w:val="center"/>
        </w:trPr>
        <w:tc>
          <w:tcPr>
            <w:tcW w:w="4798"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92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hint="eastAsia" w:ascii="Times New Roman" w:hAnsi="Times New Roman" w:eastAsia="仿宋_GB2312" w:cs="Times New Roman"/>
                <w:b/>
                <w:kern w:val="0"/>
                <w:szCs w:val="21"/>
              </w:rPr>
              <w:t>122.87</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hint="eastAsia" w:ascii="Times New Roman" w:hAnsi="Times New Roman" w:eastAsia="仿宋_GB2312" w:cs="Times New Roman"/>
                <w:b/>
                <w:kern w:val="0"/>
                <w:szCs w:val="21"/>
              </w:rPr>
              <w:t>102.87</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hint="eastAsia" w:ascii="Times New Roman" w:hAnsi="Times New Roman" w:eastAsia="仿宋_GB2312" w:cs="Times New Roman"/>
                <w:b/>
                <w:kern w:val="0"/>
                <w:szCs w:val="21"/>
              </w:rPr>
              <w:t>20.00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208</w:t>
            </w:r>
          </w:p>
        </w:tc>
        <w:tc>
          <w:tcPr>
            <w:tcW w:w="359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Cs w:val="21"/>
              </w:rPr>
            </w:pPr>
            <w:r>
              <w:rPr>
                <w:rFonts w:hint="eastAsia" w:ascii="宋体" w:hAnsi="宋体" w:eastAsia="宋体" w:cs="宋体"/>
                <w:kern w:val="0"/>
                <w:szCs w:val="21"/>
              </w:rPr>
              <w:t>社会保障和就业支出</w:t>
            </w:r>
          </w:p>
        </w:tc>
        <w:tc>
          <w:tcPr>
            <w:tcW w:w="2929" w:type="dxa"/>
            <w:tcBorders>
              <w:top w:val="nil"/>
              <w:left w:val="nil"/>
              <w:bottom w:val="single" w:color="auto" w:sz="4" w:space="0"/>
              <w:right w:val="single" w:color="auto" w:sz="4" w:space="0"/>
            </w:tcBorders>
            <w:shd w:val="clear" w:color="auto" w:fill="auto"/>
          </w:tcPr>
          <w:p>
            <w:pPr>
              <w:jc w:val="center"/>
            </w:pPr>
            <w:r>
              <w:rPr>
                <w:rFonts w:hint="eastAsia" w:ascii="Times New Roman" w:hAnsi="Times New Roman" w:eastAsia="仿宋_GB2312" w:cs="Times New Roman"/>
                <w:kern w:val="0"/>
                <w:szCs w:val="21"/>
              </w:rPr>
              <w:t>14.56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14.56</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20805</w:t>
            </w:r>
          </w:p>
        </w:tc>
        <w:tc>
          <w:tcPr>
            <w:tcW w:w="359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Cs w:val="21"/>
              </w:rPr>
            </w:pPr>
            <w:r>
              <w:rPr>
                <w:rFonts w:hint="eastAsia" w:ascii="宋体" w:hAnsi="宋体" w:eastAsia="宋体" w:cs="宋体"/>
                <w:kern w:val="0"/>
                <w:szCs w:val="21"/>
              </w:rPr>
              <w:t>行政事业单位养老支出</w:t>
            </w:r>
          </w:p>
        </w:tc>
        <w:tc>
          <w:tcPr>
            <w:tcW w:w="2929" w:type="dxa"/>
            <w:tcBorders>
              <w:top w:val="nil"/>
              <w:left w:val="nil"/>
              <w:bottom w:val="single" w:color="auto" w:sz="4" w:space="0"/>
              <w:right w:val="single" w:color="auto" w:sz="4" w:space="0"/>
            </w:tcBorders>
            <w:shd w:val="clear" w:color="auto" w:fill="auto"/>
          </w:tcPr>
          <w:p>
            <w:pPr>
              <w:jc w:val="center"/>
            </w:pPr>
            <w:r>
              <w:rPr>
                <w:rFonts w:hint="eastAsia" w:ascii="Times New Roman" w:hAnsi="Times New Roman" w:eastAsia="仿宋_GB2312" w:cs="Times New Roman"/>
                <w:kern w:val="0"/>
                <w:szCs w:val="21"/>
              </w:rPr>
              <w:t>14.56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14.56</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2080505</w:t>
            </w:r>
          </w:p>
        </w:tc>
        <w:tc>
          <w:tcPr>
            <w:tcW w:w="359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Cs w:val="21"/>
              </w:rPr>
            </w:pPr>
            <w:r>
              <w:rPr>
                <w:rFonts w:hint="eastAsia" w:ascii="宋体" w:hAnsi="宋体" w:eastAsia="宋体" w:cs="宋体"/>
                <w:kern w:val="0"/>
                <w:szCs w:val="21"/>
              </w:rPr>
              <w:t>机关事业单位基本养老保险缴费支出</w:t>
            </w:r>
          </w:p>
        </w:tc>
        <w:tc>
          <w:tcPr>
            <w:tcW w:w="292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14.56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14.56</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213</w:t>
            </w:r>
          </w:p>
        </w:tc>
        <w:tc>
          <w:tcPr>
            <w:tcW w:w="359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Cs w:val="21"/>
              </w:rPr>
            </w:pPr>
            <w:r>
              <w:rPr>
                <w:rFonts w:hint="eastAsia" w:ascii="宋体" w:hAnsi="宋体" w:eastAsia="宋体" w:cs="宋体"/>
                <w:kern w:val="0"/>
                <w:szCs w:val="21"/>
              </w:rPr>
              <w:t>农林水支出</w:t>
            </w:r>
          </w:p>
        </w:tc>
        <w:tc>
          <w:tcPr>
            <w:tcW w:w="292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108.31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88.31</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21301</w:t>
            </w:r>
          </w:p>
        </w:tc>
        <w:tc>
          <w:tcPr>
            <w:tcW w:w="359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Cs w:val="21"/>
              </w:rPr>
            </w:pPr>
            <w:r>
              <w:rPr>
                <w:rFonts w:hint="eastAsia" w:ascii="宋体" w:hAnsi="宋体" w:eastAsia="宋体" w:cs="宋体"/>
                <w:kern w:val="0"/>
                <w:szCs w:val="21"/>
              </w:rPr>
              <w:t>农业农村</w:t>
            </w:r>
          </w:p>
        </w:tc>
        <w:tc>
          <w:tcPr>
            <w:tcW w:w="2929"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108.31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88.31</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Cs w:val="21"/>
              </w:rPr>
            </w:pPr>
            <w:r>
              <w:rPr>
                <w:rFonts w:hint="eastAsia" w:ascii="宋体" w:hAnsi="宋体" w:eastAsia="宋体" w:cs="宋体"/>
                <w:kern w:val="0"/>
                <w:szCs w:val="21"/>
              </w:rPr>
              <w:t>2130104</w:t>
            </w:r>
          </w:p>
        </w:tc>
        <w:tc>
          <w:tcPr>
            <w:tcW w:w="3598"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Cs w:val="21"/>
              </w:rPr>
            </w:pPr>
            <w:r>
              <w:rPr>
                <w:rFonts w:hint="eastAsia" w:ascii="宋体" w:hAnsi="宋体" w:eastAsia="宋体" w:cs="宋体"/>
                <w:kern w:val="0"/>
                <w:szCs w:val="21"/>
              </w:rPr>
              <w:t>事业运行</w:t>
            </w:r>
          </w:p>
        </w:tc>
        <w:tc>
          <w:tcPr>
            <w:tcW w:w="2929"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108.31</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88.31</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20.00</w:t>
            </w:r>
          </w:p>
        </w:tc>
      </w:tr>
      <w:tr>
        <w:tblPrEx>
          <w:tblLayout w:type="fixed"/>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br w:type="page"/>
      </w:r>
    </w:p>
    <w:tbl>
      <w:tblPr>
        <w:tblStyle w:val="5"/>
        <w:tblW w:w="15723" w:type="dxa"/>
        <w:tblInd w:w="0" w:type="dxa"/>
        <w:tblLayout w:type="fixed"/>
        <w:tblCellMar>
          <w:top w:w="0" w:type="dxa"/>
          <w:left w:w="108" w:type="dxa"/>
          <w:bottom w:w="0" w:type="dxa"/>
          <w:right w:w="108" w:type="dxa"/>
        </w:tblCellMar>
      </w:tblPr>
      <w:tblGrid>
        <w:gridCol w:w="997"/>
        <w:gridCol w:w="240"/>
        <w:gridCol w:w="94"/>
        <w:gridCol w:w="1299"/>
        <w:gridCol w:w="2046"/>
        <w:gridCol w:w="69"/>
        <w:gridCol w:w="895"/>
        <w:gridCol w:w="989"/>
        <w:gridCol w:w="308"/>
        <w:gridCol w:w="1993"/>
        <w:gridCol w:w="112"/>
        <w:gridCol w:w="723"/>
        <w:gridCol w:w="1025"/>
        <w:gridCol w:w="358"/>
        <w:gridCol w:w="2106"/>
        <w:gridCol w:w="1714"/>
        <w:gridCol w:w="392"/>
        <w:gridCol w:w="363"/>
      </w:tblGrid>
      <w:tr>
        <w:tblPrEx>
          <w:tblLayout w:type="fixed"/>
          <w:tblCellMar>
            <w:top w:w="0" w:type="dxa"/>
            <w:left w:w="108" w:type="dxa"/>
            <w:bottom w:w="0" w:type="dxa"/>
            <w:right w:w="108" w:type="dxa"/>
          </w:tblCellMar>
        </w:tblPrEx>
        <w:trPr>
          <w:trHeight w:val="113" w:hRule="atLeast"/>
        </w:trPr>
        <w:tc>
          <w:tcPr>
            <w:tcW w:w="15723" w:type="dxa"/>
            <w:gridSpan w:val="18"/>
            <w:tcBorders>
              <w:top w:val="nil"/>
              <w:left w:val="nil"/>
              <w:bottom w:val="nil"/>
              <w:right w:val="nil"/>
            </w:tcBorders>
            <w:shd w:val="clear" w:color="auto" w:fill="auto"/>
            <w:noWrap/>
            <w:vAlign w:val="center"/>
          </w:tcPr>
          <w:p>
            <w:pPr>
              <w:widowControl/>
              <w:jc w:val="center"/>
              <w:rPr>
                <w:rFonts w:hint="eastAsia" w:ascii="华文中宋" w:hAnsi="华文中宋" w:eastAsia="华文中宋" w:cs="宋体"/>
                <w:color w:val="000000"/>
                <w:kern w:val="0"/>
                <w:szCs w:val="32"/>
              </w:rPr>
            </w:pPr>
            <w:bookmarkStart w:id="2" w:name="RANGE!A1:I34"/>
          </w:p>
          <w:p>
            <w:pPr>
              <w:widowControl/>
              <w:jc w:val="center"/>
              <w:rPr>
                <w:rFonts w:ascii="华文中宋" w:hAnsi="华文中宋" w:eastAsia="华文中宋" w:cs="宋体"/>
                <w:color w:val="000000"/>
                <w:kern w:val="0"/>
                <w:szCs w:val="32"/>
              </w:rPr>
            </w:pPr>
            <w:r>
              <w:rPr>
                <w:rFonts w:hint="eastAsia" w:ascii="华文中宋" w:hAnsi="华文中宋" w:eastAsia="华文中宋" w:cs="宋体"/>
                <w:color w:val="000000"/>
                <w:kern w:val="0"/>
                <w:szCs w:val="32"/>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both"/>
              <w:rPr>
                <w:rFonts w:ascii="华文中宋" w:hAnsi="华文中宋" w:eastAsia="华文中宋" w:cs="宋体"/>
                <w:color w:val="000000"/>
                <w:kern w:val="0"/>
                <w:szCs w:val="32"/>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eastAsia="zh-CN"/>
              </w:rPr>
              <w:t>湖南省农业机械化高科技示范园</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133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6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98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17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7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b/>
                <w:bCs/>
                <w:color w:val="000000"/>
                <w:kern w:val="0"/>
                <w:szCs w:val="20"/>
                <w:lang w:val="en-US" w:eastAsia="zh-CN"/>
              </w:rPr>
              <w:t>52.59</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b/>
                <w:bCs/>
                <w:color w:val="000000"/>
                <w:kern w:val="0"/>
                <w:szCs w:val="20"/>
                <w:lang w:val="en-US" w:eastAsia="zh-CN"/>
              </w:rPr>
            </w:pPr>
            <w:r>
              <w:rPr>
                <w:rFonts w:hint="eastAsia" w:ascii="宋体" w:hAnsi="宋体" w:eastAsia="宋体" w:cs="宋体"/>
                <w:b/>
                <w:bCs/>
                <w:color w:val="000000"/>
                <w:kern w:val="0"/>
                <w:szCs w:val="20"/>
                <w:lang w:val="en-US" w:eastAsia="zh-CN"/>
              </w:rPr>
              <w:t>50.28</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ind w:left="525" w:hanging="525" w:hangingChars="250"/>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14.85</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2.60</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8.26</w:t>
            </w: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1.80</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7.52</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5.76</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3.00</w:t>
            </w: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2.88</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4.08</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3.50</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1.84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2.38</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5.60</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0.11</w:t>
            </w: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18.30</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2.30</w:t>
            </w: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0.39</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3.00</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1.56</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1"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4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89"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30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8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13.14</w:t>
            </w:r>
          </w:p>
        </w:tc>
        <w:tc>
          <w:tcPr>
            <w:tcW w:w="102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178"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4676"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964"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b/>
                <w:bCs/>
                <w:color w:val="000000"/>
                <w:kern w:val="0"/>
                <w:szCs w:val="20"/>
                <w:lang w:val="en-US" w:eastAsia="zh-CN"/>
              </w:rPr>
            </w:pPr>
            <w:r>
              <w:rPr>
                <w:rFonts w:hint="eastAsia" w:ascii="宋体" w:hAnsi="宋体" w:eastAsia="宋体" w:cs="宋体"/>
                <w:b/>
                <w:bCs/>
                <w:color w:val="000000"/>
                <w:kern w:val="0"/>
                <w:szCs w:val="20"/>
                <w:lang w:val="en-US" w:eastAsia="zh-CN"/>
              </w:rPr>
              <w:t>52.59</w:t>
            </w:r>
          </w:p>
        </w:tc>
        <w:tc>
          <w:tcPr>
            <w:tcW w:w="9328"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755"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b/>
                <w:bCs/>
                <w:color w:val="000000"/>
                <w:kern w:val="0"/>
                <w:szCs w:val="18"/>
                <w:lang w:val="en-US" w:eastAsia="zh-CN"/>
              </w:rPr>
            </w:pPr>
            <w:r>
              <w:rPr>
                <w:rFonts w:hint="eastAsia" w:ascii="宋体" w:hAnsi="宋体" w:eastAsia="宋体" w:cs="宋体"/>
                <w:b/>
                <w:bCs/>
                <w:color w:val="000000"/>
                <w:kern w:val="0"/>
                <w:szCs w:val="18"/>
                <w:lang w:val="en-US" w:eastAsia="zh-CN"/>
              </w:rPr>
              <w:t>50.288</w:t>
            </w:r>
          </w:p>
        </w:tc>
      </w:tr>
      <w:tr>
        <w:tblPrEx>
          <w:tblLayout w:type="fixed"/>
          <w:tblCellMar>
            <w:top w:w="0" w:type="dxa"/>
            <w:left w:w="108" w:type="dxa"/>
            <w:bottom w:w="0" w:type="dxa"/>
            <w:right w:w="108" w:type="dxa"/>
          </w:tblCellMar>
        </w:tblPrEx>
        <w:trPr>
          <w:trHeight w:val="284" w:hRule="exact"/>
        </w:trPr>
        <w:tc>
          <w:tcPr>
            <w:tcW w:w="15723"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Layout w:type="fixed"/>
          <w:tblCellMar>
            <w:top w:w="0" w:type="dxa"/>
            <w:left w:w="108" w:type="dxa"/>
            <w:bottom w:w="0" w:type="dxa"/>
            <w:right w:w="108" w:type="dxa"/>
          </w:tblCellMar>
        </w:tblPrEx>
        <w:trPr>
          <w:gridAfter w:val="1"/>
          <w:wAfter w:w="363" w:type="dxa"/>
          <w:trHeight w:val="690" w:hRule="atLeast"/>
        </w:trPr>
        <w:tc>
          <w:tcPr>
            <w:tcW w:w="15360" w:type="dxa"/>
            <w:gridSpan w:val="17"/>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政府性基金预算财政拨款收入支出决算表</w:t>
            </w:r>
          </w:p>
        </w:tc>
      </w:tr>
      <w:tr>
        <w:tblPrEx>
          <w:tblLayout w:type="fixed"/>
          <w:tblCellMar>
            <w:top w:w="0" w:type="dxa"/>
            <w:left w:w="108" w:type="dxa"/>
            <w:bottom w:w="0" w:type="dxa"/>
            <w:right w:w="108" w:type="dxa"/>
          </w:tblCellMar>
        </w:tblPrEx>
        <w:trPr>
          <w:gridAfter w:val="1"/>
          <w:wAfter w:w="363" w:type="dxa"/>
          <w:trHeight w:val="345" w:hRule="atLeast"/>
        </w:trPr>
        <w:tc>
          <w:tcPr>
            <w:tcW w:w="997"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40"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393" w:type="dxa"/>
            <w:gridSpan w:val="2"/>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115"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92"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05"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06"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0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06" w:type="dxa"/>
            <w:gridSpan w:val="2"/>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公开07表</w:t>
            </w:r>
          </w:p>
        </w:tc>
      </w:tr>
      <w:tr>
        <w:tblPrEx>
          <w:tblLayout w:type="fixed"/>
          <w:tblCellMar>
            <w:top w:w="0" w:type="dxa"/>
            <w:left w:w="108" w:type="dxa"/>
            <w:bottom w:w="0" w:type="dxa"/>
            <w:right w:w="108" w:type="dxa"/>
          </w:tblCellMar>
        </w:tblPrEx>
        <w:trPr>
          <w:gridAfter w:val="1"/>
          <w:wAfter w:w="363" w:type="dxa"/>
          <w:trHeight w:val="690" w:hRule="atLeast"/>
        </w:trPr>
        <w:tc>
          <w:tcPr>
            <w:tcW w:w="4745" w:type="dxa"/>
            <w:gridSpan w:val="6"/>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湖南省农业机械化高科技示范园</w:t>
            </w:r>
          </w:p>
        </w:tc>
        <w:tc>
          <w:tcPr>
            <w:tcW w:w="2192"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05"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06"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06"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06" w:type="dxa"/>
            <w:gridSpan w:val="2"/>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gridAfter w:val="1"/>
          <w:wAfter w:w="363" w:type="dxa"/>
          <w:trHeight w:val="459" w:hRule="atLeast"/>
        </w:trPr>
        <w:tc>
          <w:tcPr>
            <w:tcW w:w="26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13"/>
                <w:rFonts w:hint="default"/>
              </w:rPr>
              <w:t xml:space="preserve">   </w:t>
            </w:r>
            <w:r>
              <w:rPr>
                <w:rStyle w:val="14"/>
                <w:rFonts w:hint="default"/>
              </w:rPr>
              <w:t>目</w:t>
            </w:r>
          </w:p>
        </w:tc>
        <w:tc>
          <w:tcPr>
            <w:tcW w:w="21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年初结转和结余</w:t>
            </w:r>
          </w:p>
        </w:tc>
        <w:tc>
          <w:tcPr>
            <w:tcW w:w="219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本年收入</w:t>
            </w:r>
          </w:p>
        </w:tc>
        <w:tc>
          <w:tcPr>
            <w:tcW w:w="631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c>
          <w:tcPr>
            <w:tcW w:w="210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年末结转和结余</w:t>
            </w:r>
          </w:p>
        </w:tc>
      </w:tr>
      <w:tr>
        <w:tblPrEx>
          <w:tblLayout w:type="fixed"/>
          <w:tblCellMar>
            <w:top w:w="0" w:type="dxa"/>
            <w:left w:w="108" w:type="dxa"/>
            <w:bottom w:w="0" w:type="dxa"/>
            <w:right w:w="108" w:type="dxa"/>
          </w:tblCellMar>
        </w:tblPrEx>
        <w:trPr>
          <w:gridAfter w:val="1"/>
          <w:wAfter w:w="363" w:type="dxa"/>
          <w:trHeight w:val="609" w:hRule="atLeast"/>
        </w:trPr>
        <w:tc>
          <w:tcPr>
            <w:tcW w:w="123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13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小计</w:t>
            </w:r>
          </w:p>
        </w:tc>
        <w:tc>
          <w:tcPr>
            <w:tcW w:w="210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2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c>
          <w:tcPr>
            <w:tcW w:w="21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3" w:type="dxa"/>
          <w:trHeight w:val="409" w:hRule="atLeast"/>
        </w:trPr>
        <w:tc>
          <w:tcPr>
            <w:tcW w:w="12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3" w:type="dxa"/>
          <w:trHeight w:val="509" w:hRule="atLeast"/>
        </w:trPr>
        <w:tc>
          <w:tcPr>
            <w:tcW w:w="123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9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3" w:type="dxa"/>
          <w:trHeight w:val="509" w:hRule="atLeast"/>
        </w:trPr>
        <w:tc>
          <w:tcPr>
            <w:tcW w:w="26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21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21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w:t>
            </w:r>
          </w:p>
        </w:tc>
        <w:tc>
          <w:tcPr>
            <w:tcW w:w="2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6</w:t>
            </w:r>
          </w:p>
        </w:tc>
      </w:tr>
      <w:tr>
        <w:tblPrEx>
          <w:tblLayout w:type="fixed"/>
          <w:tblCellMar>
            <w:top w:w="0" w:type="dxa"/>
            <w:left w:w="108" w:type="dxa"/>
            <w:bottom w:w="0" w:type="dxa"/>
            <w:right w:w="108" w:type="dxa"/>
          </w:tblCellMar>
        </w:tblPrEx>
        <w:trPr>
          <w:gridAfter w:val="1"/>
          <w:wAfter w:w="363" w:type="dxa"/>
          <w:trHeight w:val="509" w:hRule="atLeast"/>
        </w:trPr>
        <w:tc>
          <w:tcPr>
            <w:tcW w:w="26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3" w:type="dxa"/>
          <w:trHeight w:val="509" w:hRule="atLeast"/>
        </w:trPr>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3" w:type="dxa"/>
          <w:trHeight w:val="509" w:hRule="atLeast"/>
        </w:trPr>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3" w:type="dxa"/>
          <w:trHeight w:val="509" w:hRule="atLeast"/>
        </w:trPr>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3" w:type="dxa"/>
          <w:trHeight w:val="509" w:hRule="atLeast"/>
        </w:trPr>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3" w:type="dxa"/>
          <w:trHeight w:val="509" w:hRule="atLeast"/>
        </w:trPr>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3" w:type="dxa"/>
          <w:trHeight w:val="509" w:hRule="atLeast"/>
        </w:trPr>
        <w:tc>
          <w:tcPr>
            <w:tcW w:w="12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363" w:type="dxa"/>
          <w:trHeight w:val="725" w:hRule="atLeast"/>
        </w:trPr>
        <w:tc>
          <w:tcPr>
            <w:tcW w:w="15360" w:type="dxa"/>
            <w:gridSpan w:val="17"/>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注：本表反映部门本年度政府性基金预算财政拨款收入、支出及结转和结余情况。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说明：我单位没有政府性基金收入，也没有使用政府性基金安排的支出，故本表无数据。</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p>
    <w:tbl>
      <w:tblPr>
        <w:tblStyle w:val="5"/>
        <w:tblW w:w="15120" w:type="dxa"/>
        <w:tblInd w:w="93" w:type="dxa"/>
        <w:tblLayout w:type="fixed"/>
        <w:tblCellMar>
          <w:top w:w="0" w:type="dxa"/>
          <w:left w:w="108" w:type="dxa"/>
          <w:bottom w:w="0" w:type="dxa"/>
          <w:right w:w="108" w:type="dxa"/>
        </w:tblCellMar>
      </w:tblPr>
      <w:tblGrid>
        <w:gridCol w:w="1326"/>
        <w:gridCol w:w="701"/>
        <w:gridCol w:w="2292"/>
        <w:gridCol w:w="3315"/>
        <w:gridCol w:w="3315"/>
        <w:gridCol w:w="4171"/>
      </w:tblGrid>
      <w:tr>
        <w:tblPrEx>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国有资本经营预算财政拨款支出决算表</w:t>
            </w:r>
          </w:p>
        </w:tc>
      </w:tr>
      <w:tr>
        <w:tblPrEx>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29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公开08表</w:t>
            </w:r>
          </w:p>
        </w:tc>
      </w:tr>
      <w:tr>
        <w:tblPrEx>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ascii="宋体" w:hAnsi="宋体" w:eastAsia="宋体" w:cs="宋体"/>
                <w:color w:val="000000"/>
                <w:sz w:val="20"/>
                <w:szCs w:val="20"/>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湖南省农业机械化高科技示范园</w:t>
            </w: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Fonts w:hint="eastAsia" w:ascii="宋体" w:hAnsi="宋体" w:eastAsia="宋体" w:cs="宋体"/>
                <w:color w:val="000000"/>
                <w:kern w:val="0"/>
                <w:sz w:val="22"/>
              </w:rPr>
              <w:t xml:space="preserve">   </w:t>
            </w:r>
            <w:r>
              <w:rPr>
                <w:rStyle w:val="15"/>
                <w:rFonts w:hint="default"/>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r>
      <w:tr>
        <w:tblPrEx>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注：本表反映部门本年度国有资本经营预算财政拨款支出情况。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说明：我单位没有使用国有资本经营预算安排的支出，故本表无数据。</w:t>
            </w:r>
          </w:p>
        </w:tc>
      </w:tr>
    </w:tbl>
    <w:p>
      <w:pPr>
        <w:widowControl/>
        <w:jc w:val="center"/>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36"/>
        </w:rPr>
      </w:pPr>
    </w:p>
    <w:tbl>
      <w:tblPr>
        <w:tblStyle w:val="5"/>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108" w:type="dxa"/>
            <w:bottom w:w="0" w:type="dxa"/>
            <w:right w:w="108" w:type="dxa"/>
          </w:tblCellMar>
        </w:tblPrEx>
        <w:trPr>
          <w:trHeight w:val="420" w:hRule="atLeast"/>
        </w:trPr>
        <w:tc>
          <w:tcPr>
            <w:tcW w:w="5043" w:type="dxa"/>
            <w:gridSpan w:val="4"/>
            <w:tcBorders>
              <w:top w:val="nil"/>
              <w:left w:val="nil"/>
              <w:bottom w:val="nil"/>
              <w:right w:val="nil"/>
            </w:tcBorders>
            <w:shd w:val="clear" w:color="auto" w:fill="FFFFFF"/>
            <w:noWrap/>
            <w:vAlign w:val="center"/>
          </w:tcPr>
          <w:p>
            <w:pPr>
              <w:jc w:val="left"/>
              <w:rPr>
                <w:rFonts w:ascii="宋体" w:hAnsi="宋体" w:eastAsia="宋体" w:cs="宋体"/>
                <w:color w:val="000000"/>
                <w:sz w:val="20"/>
                <w:szCs w:val="20"/>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eastAsia="zh-CN"/>
              </w:rPr>
              <w:t>湖南省农业机械化高科技示范园</w:t>
            </w: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4.00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3.11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0.11</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153"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rFonts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0"/>
        <w:jc w:val="center"/>
        <w:rPr>
          <w:rFonts w:ascii="方正小标宋_GBK" w:hAnsi="方正小标宋_GBK" w:eastAsia="方正小标宋_GBK" w:cs="方正小标宋_GBK"/>
          <w:sz w:val="70"/>
          <w:szCs w:val="70"/>
        </w:rPr>
      </w:pPr>
    </w:p>
    <w:p>
      <w:pPr>
        <w:pStyle w:val="10"/>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2022年度部门决算情况说明</w:t>
      </w:r>
    </w:p>
    <w:p>
      <w:pPr>
        <w:widowControl/>
        <w:jc w:val="left"/>
        <w:rPr>
          <w:rFonts w:asciiTheme="minorEastAsia" w:hAnsiTheme="minorEastAsia"/>
          <w:sz w:val="32"/>
          <w:szCs w:val="32"/>
        </w:rPr>
      </w:pPr>
      <w:r>
        <w:br w:type="page"/>
      </w:r>
    </w:p>
    <w:p>
      <w:pPr>
        <w:pStyle w:val="10"/>
        <w:spacing w:line="600" w:lineRule="exact"/>
        <w:ind w:firstLine="640" w:firstLineChars="200"/>
        <w:rPr>
          <w:rFonts w:hAnsi="黑体"/>
          <w:bCs/>
          <w:sz w:val="32"/>
          <w:szCs w:val="32"/>
        </w:rPr>
      </w:pPr>
      <w:r>
        <w:rPr>
          <w:rFonts w:hint="eastAsia" w:hAnsi="黑体"/>
          <w:bCs/>
          <w:sz w:val="32"/>
          <w:szCs w:val="32"/>
        </w:rPr>
        <w:t>一、收入支出决算总体情况说明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2022年度收、支总计147.11万元。与上年相比，增加0.78万元，增长0.53%，主要是</w:t>
      </w:r>
      <w:r>
        <w:rPr>
          <w:rFonts w:hint="eastAsia" w:ascii="Times New Roman" w:hAnsi="Times New Roman" w:eastAsia="仿宋_GB2312"/>
          <w:sz w:val="32"/>
          <w:szCs w:val="32"/>
          <w:lang w:val="en-US" w:eastAsia="zh-CN"/>
        </w:rPr>
        <w:t>上年结转培训费</w:t>
      </w:r>
      <w:r>
        <w:rPr>
          <w:rFonts w:hint="eastAsia" w:ascii="Times New Roman" w:hAnsi="Times New Roman" w:eastAsia="仿宋_GB2312"/>
          <w:sz w:val="32"/>
          <w:szCs w:val="32"/>
        </w:rPr>
        <w:t>。</w:t>
      </w:r>
    </w:p>
    <w:p>
      <w:pPr>
        <w:pStyle w:val="10"/>
        <w:spacing w:line="600" w:lineRule="exact"/>
        <w:ind w:firstLine="640" w:firstLineChars="200"/>
        <w:rPr>
          <w:rFonts w:hAnsi="黑体"/>
          <w:bCs/>
          <w:sz w:val="32"/>
          <w:szCs w:val="32"/>
        </w:rPr>
      </w:pPr>
      <w:r>
        <w:rPr>
          <w:rFonts w:hint="eastAsia" w:hAnsi="黑体"/>
          <w:bCs/>
          <w:sz w:val="32"/>
          <w:szCs w:val="32"/>
        </w:rPr>
        <w:t>二、收入决算情况说明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2022年度收入合计137.11万元，其中：财政拨款收入137.00万元，占99.92%；上级补助收入0万元，占0%；事业收入0万元，占0%；经营收入0万元，占0%；附属单位上缴收入0万元，占0%；其他收入0.11万元，占0.08%。</w:t>
      </w:r>
    </w:p>
    <w:p>
      <w:pPr>
        <w:pStyle w:val="10"/>
        <w:spacing w:line="600" w:lineRule="exact"/>
        <w:ind w:firstLine="640" w:firstLineChars="200"/>
        <w:rPr>
          <w:rFonts w:hAnsi="黑体"/>
          <w:bCs/>
          <w:sz w:val="32"/>
          <w:szCs w:val="32"/>
        </w:rPr>
      </w:pPr>
      <w:r>
        <w:rPr>
          <w:rFonts w:hint="eastAsia" w:hAnsi="黑体"/>
          <w:bCs/>
          <w:sz w:val="32"/>
          <w:szCs w:val="32"/>
        </w:rPr>
        <w:t>三、支出决算情况说明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2022年度支出合计122.93万元，其中：基本支出102.93万元，占83.73%；项目支出20.00万元，占16.27%；上缴上级支出0万元，占0%；经营支出0万元，占0%；对附属单位补助支出0万元，占0%。</w:t>
      </w:r>
    </w:p>
    <w:p>
      <w:pPr>
        <w:pStyle w:val="10"/>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2022年度财政拨款收、支总计147.00万元，与上年相比，增加7.55万元,增长5.41%，主要是因为</w:t>
      </w:r>
      <w:r>
        <w:rPr>
          <w:rFonts w:hint="eastAsia" w:ascii="Times New Roman" w:hAnsi="Times New Roman" w:eastAsia="仿宋_GB2312"/>
          <w:sz w:val="32"/>
          <w:szCs w:val="32"/>
          <w:lang w:val="en-US" w:eastAsia="zh-CN"/>
        </w:rPr>
        <w:t>上年结转培训费</w:t>
      </w:r>
      <w:r>
        <w:rPr>
          <w:rFonts w:hint="eastAsia" w:ascii="Times New Roman" w:hAnsi="Times New Roman" w:eastAsia="仿宋_GB2312"/>
          <w:sz w:val="32"/>
          <w:szCs w:val="32"/>
        </w:rPr>
        <w:t>。</w:t>
      </w:r>
    </w:p>
    <w:p>
      <w:pPr>
        <w:pStyle w:val="10"/>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0"/>
        <w:spacing w:line="600" w:lineRule="exact"/>
        <w:ind w:firstLine="640" w:firstLineChars="200"/>
        <w:rPr>
          <w:rFonts w:ascii="楷体" w:hAnsi="楷体" w:eastAsia="楷体" w:cs="楷体"/>
          <w:bCs/>
          <w:sz w:val="32"/>
          <w:szCs w:val="32"/>
        </w:rPr>
      </w:pPr>
      <w:r>
        <w:rPr>
          <w:rFonts w:hint="eastAsia" w:ascii="楷体" w:hAnsi="楷体" w:eastAsia="楷体" w:cs="楷体"/>
          <w:bCs/>
          <w:sz w:val="32"/>
          <w:szCs w:val="32"/>
        </w:rPr>
        <w:t>（一）财政拨款支出决算总体情况</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2022年度财政拨款支出122.87万元，占本年支出合计的</w:t>
      </w:r>
      <w:r>
        <w:rPr>
          <w:rFonts w:hint="eastAsia" w:ascii="Times New Roman" w:hAnsi="Times New Roman" w:eastAsia="仿宋_GB2312"/>
          <w:sz w:val="32"/>
          <w:szCs w:val="32"/>
          <w:lang w:val="en-US" w:eastAsia="zh-CN"/>
        </w:rPr>
        <w:t>99.95</w:t>
      </w:r>
      <w:r>
        <w:rPr>
          <w:rFonts w:hint="eastAsia" w:ascii="Times New Roman" w:hAnsi="Times New Roman" w:eastAsia="仿宋_GB2312"/>
          <w:sz w:val="32"/>
          <w:szCs w:val="32"/>
        </w:rPr>
        <w:t>%，与上年相比，财政拨款支出增加</w:t>
      </w:r>
      <w:r>
        <w:rPr>
          <w:rFonts w:hint="eastAsia" w:ascii="Times New Roman" w:hAnsi="Times New Roman" w:eastAsia="仿宋_GB2312"/>
          <w:sz w:val="32"/>
          <w:szCs w:val="32"/>
          <w:lang w:val="en-US" w:eastAsia="zh-CN"/>
        </w:rPr>
        <w:t>9.53</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8.40</w:t>
      </w:r>
      <w:r>
        <w:rPr>
          <w:rFonts w:hint="eastAsia" w:ascii="Times New Roman" w:hAnsi="Times New Roman" w:eastAsia="仿宋_GB2312"/>
          <w:sz w:val="32"/>
          <w:szCs w:val="32"/>
        </w:rPr>
        <w:t>%，主要是因</w:t>
      </w:r>
      <w:r>
        <w:rPr>
          <w:rFonts w:hint="eastAsia" w:ascii="Times New Roman" w:hAnsi="Times New Roman" w:eastAsia="仿宋_GB2312"/>
          <w:sz w:val="32"/>
          <w:szCs w:val="32"/>
          <w:lang w:val="en-US" w:eastAsia="zh-CN"/>
        </w:rPr>
        <w:t>为上年结转培训费，项目经费经作林果业机械化培训增加</w:t>
      </w:r>
      <w:r>
        <w:rPr>
          <w:rFonts w:hint="eastAsia" w:ascii="Times New Roman" w:hAnsi="Times New Roman" w:eastAsia="仿宋_GB2312"/>
          <w:sz w:val="32"/>
          <w:szCs w:val="32"/>
        </w:rPr>
        <w:t>。</w:t>
      </w:r>
    </w:p>
    <w:p>
      <w:pPr>
        <w:pStyle w:val="10"/>
        <w:spacing w:line="600" w:lineRule="exact"/>
        <w:ind w:firstLine="480" w:firstLineChars="150"/>
        <w:rPr>
          <w:rFonts w:ascii="楷体" w:hAnsi="楷体" w:eastAsia="楷体" w:cs="楷体"/>
          <w:bCs/>
          <w:sz w:val="32"/>
          <w:szCs w:val="32"/>
        </w:rPr>
      </w:pPr>
      <w:r>
        <w:rPr>
          <w:rFonts w:hint="eastAsia" w:ascii="楷体" w:hAnsi="楷体" w:eastAsia="楷体" w:cs="楷体"/>
          <w:bCs/>
          <w:sz w:val="32"/>
          <w:szCs w:val="32"/>
        </w:rPr>
        <w:t>（二）财政拨款支出决算结构情况</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2022年度财政拨款支出</w:t>
      </w:r>
      <w:r>
        <w:rPr>
          <w:rFonts w:hint="eastAsia" w:ascii="Times New Roman" w:hAnsi="Times New Roman" w:eastAsia="仿宋_GB2312"/>
          <w:sz w:val="32"/>
          <w:szCs w:val="32"/>
          <w:lang w:val="en-US" w:eastAsia="zh-CN"/>
        </w:rPr>
        <w:t>122.87</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14.56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11.85</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108.31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88.15</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0"/>
        <w:spacing w:line="600" w:lineRule="exact"/>
        <w:ind w:firstLine="320" w:firstLineChars="100"/>
        <w:rPr>
          <w:rFonts w:ascii="楷体" w:hAnsi="楷体" w:eastAsia="楷体" w:cs="楷体"/>
          <w:bCs/>
          <w:sz w:val="32"/>
          <w:szCs w:val="32"/>
        </w:rPr>
      </w:pPr>
      <w:r>
        <w:rPr>
          <w:rFonts w:hint="eastAsia" w:ascii="楷体" w:hAnsi="楷体" w:eastAsia="楷体" w:cs="楷体"/>
          <w:bCs/>
          <w:sz w:val="32"/>
          <w:szCs w:val="32"/>
        </w:rPr>
        <w:t>（三）财政拨款支出决算具体情况</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2022年度财政拨款支出年初预算数为</w:t>
      </w:r>
      <w:r>
        <w:rPr>
          <w:rFonts w:hint="eastAsia" w:ascii="Times New Roman" w:hAnsi="Times New Roman" w:eastAsia="仿宋_GB2312"/>
          <w:sz w:val="32"/>
          <w:szCs w:val="32"/>
          <w:lang w:val="en-US" w:eastAsia="zh-CN"/>
        </w:rPr>
        <w:t>145.95</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122.87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84.17</w:t>
      </w:r>
      <w:r>
        <w:rPr>
          <w:rFonts w:hint="eastAsia" w:ascii="Times New Roman" w:hAnsi="Times New Roman" w:eastAsia="仿宋_GB2312"/>
          <w:sz w:val="32"/>
          <w:szCs w:val="32"/>
        </w:rPr>
        <w:t>%，其中：</w:t>
      </w:r>
    </w:p>
    <w:p>
      <w:pPr>
        <w:pStyle w:val="10"/>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1、社会保障和就业支出（类）行政事业单位养老支出（款）机关事业单位基本养老保险缴费支出（项）。</w:t>
      </w:r>
    </w:p>
    <w:p>
      <w:pPr>
        <w:pStyle w:val="10"/>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19.72</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14.56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73.83</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eastAsia="zh-CN"/>
        </w:rPr>
        <w:t>长期聘用人员的社保费用</w:t>
      </w:r>
      <w:r>
        <w:rPr>
          <w:rFonts w:hint="eastAsia" w:ascii="Times New Roman" w:hAnsi="Times New Roman" w:eastAsia="仿宋_GB2312"/>
          <w:sz w:val="32"/>
          <w:szCs w:val="32"/>
          <w:lang w:val="en-US" w:eastAsia="zh-CN"/>
        </w:rPr>
        <w:t>调剂到</w:t>
      </w:r>
      <w:r>
        <w:rPr>
          <w:rFonts w:hint="eastAsia" w:ascii="Times New Roman" w:hAnsi="Times New Roman" w:eastAsia="仿宋_GB2312"/>
          <w:sz w:val="32"/>
          <w:szCs w:val="32"/>
        </w:rPr>
        <w:t>农林水支出（类）农业农村（款）事业运行（项）。</w:t>
      </w:r>
    </w:p>
    <w:p>
      <w:pPr>
        <w:pStyle w:val="10"/>
        <w:spacing w:line="600" w:lineRule="exact"/>
        <w:ind w:firstLine="800" w:firstLineChars="250"/>
        <w:rPr>
          <w:rFonts w:hint="eastAsia" w:ascii="Times New Roman" w:hAnsi="Times New Roman" w:eastAsia="仿宋_GB2312"/>
          <w:sz w:val="32"/>
          <w:szCs w:val="32"/>
        </w:rPr>
      </w:pPr>
      <w:r>
        <w:rPr>
          <w:rFonts w:hint="eastAsia" w:ascii="Times New Roman" w:hAnsi="Times New Roman" w:eastAsia="仿宋_GB2312"/>
          <w:sz w:val="32"/>
          <w:szCs w:val="32"/>
        </w:rPr>
        <w:t>2、农林水支出（类）农业农村（款）事业运行（项）。</w:t>
      </w:r>
    </w:p>
    <w:p>
      <w:pPr>
        <w:pStyle w:val="10"/>
        <w:spacing w:line="600" w:lineRule="exact"/>
        <w:ind w:firstLine="800" w:firstLineChars="250"/>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126.23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108.31</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85.80</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按政策</w:t>
      </w:r>
      <w:r>
        <w:rPr>
          <w:rFonts w:hint="eastAsia" w:ascii="Times New Roman" w:hAnsi="Times New Roman" w:eastAsia="仿宋_GB2312"/>
          <w:sz w:val="32"/>
          <w:szCs w:val="32"/>
          <w:lang w:eastAsia="zh-CN"/>
        </w:rPr>
        <w:t>在职人员绩效工资</w:t>
      </w:r>
      <w:r>
        <w:rPr>
          <w:rFonts w:hint="eastAsia" w:ascii="Times New Roman" w:hAnsi="Times New Roman" w:eastAsia="仿宋_GB2312"/>
          <w:sz w:val="32"/>
          <w:szCs w:val="32"/>
          <w:lang w:val="en-US" w:eastAsia="zh-CN"/>
        </w:rPr>
        <w:t>暂未</w:t>
      </w:r>
      <w:r>
        <w:rPr>
          <w:rFonts w:hint="eastAsia" w:ascii="Times New Roman" w:hAnsi="Times New Roman" w:eastAsia="仿宋_GB2312"/>
          <w:sz w:val="32"/>
          <w:szCs w:val="32"/>
          <w:lang w:eastAsia="zh-CN"/>
        </w:rPr>
        <w:t>发放。</w:t>
      </w:r>
    </w:p>
    <w:p>
      <w:pPr>
        <w:pStyle w:val="10"/>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2022年度财政拨款基本支出</w:t>
      </w:r>
      <w:r>
        <w:rPr>
          <w:rFonts w:hint="eastAsia" w:ascii="Times New Roman" w:hAnsi="Times New Roman" w:eastAsia="仿宋_GB2312"/>
          <w:sz w:val="32"/>
          <w:szCs w:val="32"/>
          <w:lang w:val="en-US" w:eastAsia="zh-CN"/>
        </w:rPr>
        <w:t>102.87</w:t>
      </w:r>
      <w:r>
        <w:rPr>
          <w:rFonts w:hint="eastAsia" w:ascii="Times New Roman" w:hAnsi="Times New Roman" w:eastAsia="仿宋_GB2312"/>
          <w:sz w:val="32"/>
          <w:szCs w:val="32"/>
        </w:rPr>
        <w:t>万元，其中：</w:t>
      </w:r>
    </w:p>
    <w:p>
      <w:pPr>
        <w:pStyle w:val="10"/>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52.59</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51.12</w:t>
      </w:r>
      <w:r>
        <w:rPr>
          <w:rFonts w:hint="eastAsia" w:ascii="Times New Roman" w:hAnsi="Times New Roman" w:eastAsia="仿宋_GB2312"/>
          <w:sz w:val="32"/>
          <w:szCs w:val="32"/>
        </w:rPr>
        <w:t>%,主要包括基本工资、津贴补贴、奖金、伙食补助费机关事业单位基本养老保险缴费、职业年金缴费、职工基本医疗保险缴费、其他社会保障缴费、住房公积金、其他工资福利支出。</w:t>
      </w:r>
    </w:p>
    <w:p>
      <w:pPr>
        <w:pStyle w:val="10"/>
        <w:ind w:firstLine="640" w:firstLineChars="200"/>
        <w:rPr>
          <w:rFonts w:asciiTheme="minorEastAsia" w:hAnsiTheme="minorEastAsia" w:eastAsiaTheme="minorEastAsia"/>
          <w:i/>
          <w:color w:val="FF0000"/>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50.28</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48.88</w:t>
      </w:r>
      <w:r>
        <w:rPr>
          <w:rFonts w:hint="eastAsia" w:ascii="Times New Roman" w:hAnsi="Times New Roman" w:eastAsia="仿宋_GB2312"/>
          <w:sz w:val="32"/>
          <w:szCs w:val="32"/>
        </w:rPr>
        <w:t>%，主要包括办公费、电费、水费、物业管理费、劳务费、会议费、培训费、差旅费、公务接待费、劳务费、工会经费、福利费、公务用车运行维护费、其他商品和服务支出</w:t>
      </w:r>
      <w:r>
        <w:rPr>
          <w:rFonts w:hint="eastAsia" w:asciiTheme="minorEastAsia" w:hAnsiTheme="minorEastAsia" w:eastAsiaTheme="minorEastAsia"/>
          <w:sz w:val="32"/>
          <w:szCs w:val="32"/>
        </w:rPr>
        <w:t>。</w:t>
      </w:r>
    </w:p>
    <w:p>
      <w:pPr>
        <w:pStyle w:val="10"/>
        <w:spacing w:line="600" w:lineRule="exact"/>
        <w:ind w:firstLine="640" w:firstLineChars="200"/>
        <w:rPr>
          <w:rFonts w:ascii="Times New Roman" w:hAnsi="Times New Roman" w:eastAsia="仿宋_GB2312"/>
          <w:b/>
          <w:sz w:val="32"/>
          <w:szCs w:val="32"/>
        </w:rPr>
      </w:pPr>
      <w:r>
        <w:rPr>
          <w:rFonts w:hint="eastAsia" w:hAnsi="黑体"/>
          <w:bCs/>
          <w:sz w:val="32"/>
          <w:szCs w:val="32"/>
        </w:rPr>
        <w:t>七、财政拨款三公经费支出决算情况说明</w:t>
      </w:r>
    </w:p>
    <w:p>
      <w:pPr>
        <w:pStyle w:val="10"/>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4.0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3.11</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77.75</w:t>
      </w:r>
      <w:r>
        <w:rPr>
          <w:rFonts w:hint="eastAsia" w:ascii="Times New Roman" w:hAnsi="Times New Roman" w:eastAsia="仿宋_GB2312"/>
          <w:sz w:val="32"/>
          <w:szCs w:val="32"/>
        </w:rPr>
        <w:t>%，其中：</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pPr>
        <w:pStyle w:val="10"/>
        <w:spacing w:line="600" w:lineRule="exact"/>
        <w:ind w:firstLine="800" w:firstLineChars="250"/>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rPr>
        <w:t>公务接待费支出预算为</w:t>
      </w:r>
      <w:r>
        <w:rPr>
          <w:rFonts w:hint="eastAsia" w:ascii="Times New Roman" w:hAnsi="Times New Roman" w:eastAsia="仿宋_GB2312"/>
          <w:color w:val="auto"/>
          <w:sz w:val="32"/>
          <w:szCs w:val="32"/>
          <w:lang w:val="en-US" w:eastAsia="zh-CN"/>
        </w:rPr>
        <w:t>1.0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0.11</w:t>
      </w:r>
      <w:r>
        <w:rPr>
          <w:rFonts w:hint="eastAsia" w:ascii="Times New Roman" w:hAnsi="Times New Roman" w:eastAsia="仿宋_GB2312"/>
          <w:color w:val="auto"/>
          <w:sz w:val="32"/>
          <w:szCs w:val="32"/>
        </w:rPr>
        <w:t>万元，完成预算的</w:t>
      </w:r>
      <w:r>
        <w:rPr>
          <w:rFonts w:hint="eastAsia" w:ascii="Times New Roman" w:hAnsi="Times New Roman" w:eastAsia="仿宋_GB2312"/>
          <w:color w:val="auto"/>
          <w:sz w:val="32"/>
          <w:szCs w:val="32"/>
          <w:lang w:val="en-US" w:eastAsia="zh-CN"/>
        </w:rPr>
        <w:t>11</w:t>
      </w:r>
      <w:r>
        <w:rPr>
          <w:rFonts w:hint="eastAsia" w:ascii="Times New Roman" w:hAnsi="Times New Roman" w:eastAsia="仿宋_GB2312"/>
          <w:color w:val="auto"/>
          <w:sz w:val="32"/>
          <w:szCs w:val="32"/>
        </w:rPr>
        <w:t>%，决算数小于预算数的主要原因是</w:t>
      </w:r>
      <w:r>
        <w:rPr>
          <w:rFonts w:hint="eastAsia" w:ascii="Times New Roman" w:hAnsi="Times New Roman" w:eastAsia="仿宋_GB2312"/>
          <w:color w:val="auto"/>
          <w:sz w:val="32"/>
          <w:szCs w:val="32"/>
          <w:lang w:eastAsia="zh-CN"/>
        </w:rPr>
        <w:t>减少接</w:t>
      </w:r>
      <w:r>
        <w:rPr>
          <w:rFonts w:hint="eastAsia" w:ascii="Times New Roman" w:hAnsi="Times New Roman" w:eastAsia="仿宋_GB2312"/>
          <w:color w:val="auto"/>
          <w:sz w:val="32"/>
          <w:szCs w:val="32"/>
        </w:rPr>
        <w:t>待</w:t>
      </w:r>
      <w:r>
        <w:rPr>
          <w:rFonts w:hint="eastAsia" w:ascii="Times New Roman" w:hAnsi="Times New Roman" w:eastAsia="仿宋_GB2312"/>
          <w:color w:val="auto"/>
          <w:sz w:val="32"/>
          <w:szCs w:val="32"/>
          <w:lang w:eastAsia="zh-CN"/>
        </w:rPr>
        <w:t>任务</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highlight w:val="none"/>
        </w:rPr>
        <w:t>与上年相</w:t>
      </w:r>
      <w:r>
        <w:rPr>
          <w:rFonts w:hint="eastAsia" w:ascii="Times New Roman" w:hAnsi="Times New Roman" w:eastAsia="仿宋_GB2312"/>
          <w:color w:val="auto"/>
          <w:sz w:val="32"/>
          <w:szCs w:val="32"/>
          <w:highlight w:val="none"/>
          <w:lang w:eastAsia="zh-CN"/>
        </w:rPr>
        <w:t>比增加</w:t>
      </w:r>
      <w:r>
        <w:rPr>
          <w:rFonts w:hint="eastAsia" w:ascii="Times New Roman" w:hAnsi="Times New Roman" w:eastAsia="仿宋_GB2312"/>
          <w:color w:val="auto"/>
          <w:sz w:val="32"/>
          <w:szCs w:val="32"/>
          <w:highlight w:val="none"/>
          <w:lang w:val="en-US" w:eastAsia="zh-CN"/>
        </w:rPr>
        <w:t>0.01万元，增加0.1%，增加的主要原因单次接待人数增多</w:t>
      </w:r>
      <w:r>
        <w:rPr>
          <w:rFonts w:hint="eastAsia" w:ascii="Times New Roman" w:hAnsi="Times New Roman" w:eastAsia="仿宋_GB2312"/>
          <w:color w:val="auto"/>
          <w:sz w:val="32"/>
          <w:szCs w:val="32"/>
          <w:highlight w:val="none"/>
          <w:lang w:eastAsia="zh-CN"/>
        </w:rPr>
        <w:t>。</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eastAsia="zh-CN"/>
        </w:rPr>
        <w:t>持平，</w:t>
      </w:r>
      <w:r>
        <w:rPr>
          <w:rFonts w:hint="eastAsia" w:ascii="Times New Roman" w:hAnsi="Times New Roman" w:eastAsia="仿宋_GB2312"/>
          <w:sz w:val="32"/>
          <w:szCs w:val="32"/>
          <w:lang w:val="en-US" w:eastAsia="zh-CN"/>
        </w:rPr>
        <w:t>原因是我单位公务用车保用量与上年持平</w:t>
      </w:r>
      <w:r>
        <w:rPr>
          <w:rFonts w:hint="eastAsia" w:ascii="Times New Roman" w:hAnsi="Times New Roman" w:eastAsia="仿宋_GB2312"/>
          <w:sz w:val="32"/>
          <w:szCs w:val="32"/>
        </w:rPr>
        <w:t>。</w:t>
      </w:r>
    </w:p>
    <w:p>
      <w:pPr>
        <w:pStyle w:val="10"/>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2022年度“三公”经费财政拨款支出决算中，公务接待费支出决算</w:t>
      </w:r>
      <w:r>
        <w:rPr>
          <w:rFonts w:hint="eastAsia" w:ascii="Times New Roman" w:hAnsi="Times New Roman" w:eastAsia="仿宋_GB2312"/>
          <w:sz w:val="32"/>
          <w:szCs w:val="32"/>
          <w:lang w:val="en-US" w:eastAsia="zh-CN"/>
        </w:rPr>
        <w:t>0.11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2.75</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3.00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75</w:t>
      </w:r>
      <w:r>
        <w:rPr>
          <w:rFonts w:hint="eastAsia" w:ascii="Times New Roman" w:hAnsi="Times New Roman" w:eastAsia="仿宋_GB2312"/>
          <w:sz w:val="32"/>
          <w:szCs w:val="32"/>
        </w:rPr>
        <w:t>%。其中：</w:t>
      </w:r>
    </w:p>
    <w:p>
      <w:pPr>
        <w:pStyle w:val="10"/>
        <w:spacing w:line="600" w:lineRule="exact"/>
        <w:ind w:firstLine="640" w:firstLineChars="200"/>
        <w:rPr>
          <w:rFonts w:hint="eastAsia" w:ascii="楷体" w:hAnsi="楷体" w:eastAsia="仿宋_GB2312" w:cs="楷体"/>
          <w:b/>
          <w:bCs/>
          <w:i/>
          <w:color w:val="auto"/>
          <w:sz w:val="32"/>
          <w:szCs w:val="32"/>
          <w:lang w:val="en-US" w:eastAsia="zh-CN"/>
        </w:rPr>
      </w:pPr>
      <w:r>
        <w:rPr>
          <w:rFonts w:hint="eastAsia" w:ascii="Times New Roman" w:hAnsi="Times New Roman" w:eastAsia="仿宋_GB2312"/>
          <w:sz w:val="32"/>
          <w:szCs w:val="32"/>
        </w:rPr>
        <w:t>1、因公出国（境）费支出决算为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0"/>
        <w:spacing w:line="600" w:lineRule="exact"/>
        <w:ind w:firstLine="800" w:firstLineChars="250"/>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0.11</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人次，主要是</w:t>
      </w:r>
      <w:r>
        <w:rPr>
          <w:rFonts w:hint="eastAsia" w:ascii="Times New Roman" w:hAnsi="Times New Roman" w:eastAsia="仿宋_GB2312"/>
          <w:sz w:val="32"/>
          <w:szCs w:val="32"/>
          <w:lang w:eastAsia="zh-CN"/>
        </w:rPr>
        <w:t>联系茶叶机械化培训班事宜</w:t>
      </w:r>
      <w:r>
        <w:rPr>
          <w:rFonts w:hint="eastAsia" w:ascii="Times New Roman" w:hAnsi="Times New Roman" w:eastAsia="仿宋_GB2312"/>
          <w:sz w:val="32"/>
          <w:szCs w:val="32"/>
        </w:rPr>
        <w:t>发生的接待支出。</w:t>
      </w:r>
    </w:p>
    <w:p>
      <w:pPr>
        <w:spacing w:line="600" w:lineRule="exact"/>
        <w:ind w:firstLine="800" w:firstLineChars="250"/>
        <w:rPr>
          <w:rFonts w:ascii="楷体" w:hAnsi="楷体" w:eastAsia="楷体" w:cs="楷体"/>
          <w:b/>
          <w:bCs/>
          <w:i/>
          <w:kern w:val="0"/>
          <w:sz w:val="32"/>
          <w:szCs w:val="32"/>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3.0</w:t>
      </w:r>
      <w:r>
        <w:rPr>
          <w:rFonts w:hint="eastAsia" w:ascii="Times New Roman" w:hAnsi="Times New Roman" w:eastAsia="仿宋_GB2312"/>
          <w:sz w:val="32"/>
          <w:szCs w:val="32"/>
        </w:rPr>
        <w:t>万元，主要是车辆油卡充值</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日常维修保养</w:t>
      </w:r>
      <w:r>
        <w:rPr>
          <w:rFonts w:hint="eastAsia" w:ascii="Times New Roman" w:hAnsi="Times New Roman" w:eastAsia="仿宋_GB2312"/>
          <w:sz w:val="32"/>
          <w:szCs w:val="32"/>
          <w:lang w:eastAsia="zh-CN"/>
        </w:rPr>
        <w:t>及车辆保险</w:t>
      </w:r>
      <w:r>
        <w:rPr>
          <w:rFonts w:hint="eastAsia" w:ascii="Times New Roman" w:hAnsi="Times New Roman" w:eastAsia="仿宋_GB2312"/>
          <w:sz w:val="32"/>
          <w:szCs w:val="32"/>
        </w:rPr>
        <w:t>费用支出，截止2022年12月31日，我单位开支财政拨款的公务用车保有量为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p>
    <w:p>
      <w:pPr>
        <w:pStyle w:val="10"/>
        <w:spacing w:line="600" w:lineRule="exact"/>
        <w:ind w:firstLine="640" w:firstLineChars="200"/>
        <w:rPr>
          <w:rFonts w:hAnsi="黑体"/>
          <w:bCs/>
          <w:sz w:val="32"/>
          <w:szCs w:val="32"/>
        </w:rPr>
      </w:pPr>
      <w:r>
        <w:rPr>
          <w:rFonts w:hint="eastAsia" w:hAnsi="黑体"/>
          <w:bCs/>
          <w:sz w:val="32"/>
          <w:szCs w:val="32"/>
        </w:rPr>
        <w:t>八、政府性基金预算收入支出决算情况</w:t>
      </w:r>
    </w:p>
    <w:p>
      <w:pPr>
        <w:pStyle w:val="10"/>
        <w:spacing w:line="600" w:lineRule="exact"/>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 xml:space="preserve">   </w:t>
      </w:r>
      <w:r>
        <w:rPr>
          <w:rFonts w:hint="eastAsia" w:ascii="Times New Roman" w:hAnsi="Times New Roman" w:eastAsia="仿宋_GB2312"/>
          <w:sz w:val="32"/>
          <w:szCs w:val="32"/>
        </w:rPr>
        <w:t>本单位</w:t>
      </w:r>
      <w:r>
        <w:rPr>
          <w:rFonts w:hint="eastAsia" w:ascii="Times New Roman" w:hAnsi="Times New Roman" w:eastAsia="仿宋_GB2312"/>
          <w:sz w:val="32"/>
          <w:szCs w:val="32"/>
          <w:lang w:val="en-US" w:eastAsia="zh-CN"/>
        </w:rPr>
        <w:t>2022年</w:t>
      </w:r>
      <w:r>
        <w:rPr>
          <w:rFonts w:hint="eastAsia" w:ascii="Times New Roman" w:hAnsi="Times New Roman" w:eastAsia="仿宋_GB2312"/>
          <w:sz w:val="32"/>
          <w:szCs w:val="32"/>
        </w:rPr>
        <w:t>无政府性基金收支。</w:t>
      </w:r>
    </w:p>
    <w:p>
      <w:pPr>
        <w:pStyle w:val="10"/>
        <w:numPr>
          <w:ilvl w:val="0"/>
          <w:numId w:val="2"/>
        </w:numPr>
        <w:ind w:firstLine="640" w:firstLineChars="200"/>
        <w:rPr>
          <w:rFonts w:hint="eastAsia" w:ascii="Times New Roman" w:hAnsi="Times New Roman" w:eastAsia="仿宋_GB2312"/>
          <w:b/>
          <w:sz w:val="32"/>
          <w:szCs w:val="32"/>
        </w:rPr>
      </w:pPr>
      <w:r>
        <w:rPr>
          <w:rFonts w:hint="eastAsia" w:ascii="Times New Roman" w:hAnsi="Times New Roman" w:eastAsia="仿宋_GB2312"/>
          <w:b/>
          <w:sz w:val="32"/>
          <w:szCs w:val="32"/>
        </w:rPr>
        <w:t>关于机关运行经费支出说明</w:t>
      </w:r>
    </w:p>
    <w:p>
      <w:pPr>
        <w:pStyle w:val="10"/>
        <w:spacing w:line="600" w:lineRule="exact"/>
        <w:ind w:firstLine="640" w:firstLineChars="200"/>
        <w:rPr>
          <w:rFonts w:hint="eastAsia" w:ascii="Times New Roman" w:hAnsi="Times New Roman" w:eastAsia="仿宋_GB2312"/>
          <w:b/>
          <w:sz w:val="32"/>
          <w:szCs w:val="32"/>
        </w:rPr>
      </w:pPr>
      <w:r>
        <w:rPr>
          <w:rFonts w:hint="eastAsia" w:ascii="Times New Roman" w:hAnsi="Times New Roman" w:eastAsia="仿宋_GB2312"/>
          <w:sz w:val="32"/>
          <w:szCs w:val="32"/>
        </w:rPr>
        <w:t>本单位202</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年度机关运行经费支出0万元，本单位无机关运行经费。</w:t>
      </w:r>
    </w:p>
    <w:p>
      <w:pPr>
        <w:pStyle w:val="10"/>
        <w:spacing w:line="600" w:lineRule="exact"/>
        <w:ind w:firstLine="640" w:firstLineChars="200"/>
        <w:rPr>
          <w:rFonts w:hAnsi="黑体"/>
          <w:bCs/>
          <w:sz w:val="32"/>
          <w:szCs w:val="32"/>
        </w:rPr>
      </w:pPr>
      <w:r>
        <w:rPr>
          <w:rFonts w:hint="eastAsia" w:hAnsi="黑体"/>
          <w:bCs/>
          <w:sz w:val="32"/>
          <w:szCs w:val="32"/>
        </w:rPr>
        <w:t>十、一般性支出情况说明</w:t>
      </w:r>
    </w:p>
    <w:p>
      <w:pPr>
        <w:pStyle w:val="10"/>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2022年本部门开支会议费</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万元，用于召开湘北柑橘产业机械化培训，人数</w:t>
      </w:r>
      <w:r>
        <w:rPr>
          <w:rFonts w:hint="eastAsia" w:ascii="Times New Roman" w:hAnsi="Times New Roman" w:eastAsia="仿宋_GB2312"/>
          <w:sz w:val="32"/>
          <w:szCs w:val="32"/>
          <w:lang w:val="en-US" w:eastAsia="zh-CN"/>
        </w:rPr>
        <w:t>120</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eastAsia="zh-CN"/>
        </w:rPr>
        <w:t>经作林果业</w:t>
      </w:r>
      <w:r>
        <w:rPr>
          <w:rFonts w:hint="eastAsia" w:ascii="Times New Roman" w:hAnsi="Times New Roman" w:eastAsia="仿宋_GB2312"/>
          <w:sz w:val="32"/>
          <w:szCs w:val="32"/>
        </w:rPr>
        <w:t>湘北柑橘产业机械化培训；开支培训费</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万元，用于开展湘</w:t>
      </w:r>
      <w:r>
        <w:rPr>
          <w:rFonts w:hint="eastAsia" w:ascii="Times New Roman" w:hAnsi="Times New Roman" w:eastAsia="仿宋_GB2312"/>
          <w:sz w:val="32"/>
          <w:szCs w:val="32"/>
          <w:lang w:eastAsia="zh-CN"/>
        </w:rPr>
        <w:t>西</w:t>
      </w:r>
      <w:r>
        <w:rPr>
          <w:rFonts w:hint="eastAsia" w:ascii="Times New Roman" w:hAnsi="Times New Roman" w:eastAsia="仿宋_GB2312"/>
          <w:sz w:val="32"/>
          <w:szCs w:val="32"/>
        </w:rPr>
        <w:t>柑橘产业机械化培训，人数</w:t>
      </w:r>
      <w:r>
        <w:rPr>
          <w:rFonts w:hint="eastAsia" w:ascii="Times New Roman" w:hAnsi="Times New Roman" w:eastAsia="仿宋_GB2312"/>
          <w:sz w:val="32"/>
          <w:szCs w:val="32"/>
          <w:lang w:val="en-US" w:eastAsia="zh-CN"/>
        </w:rPr>
        <w:t>120</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eastAsia="zh-CN"/>
        </w:rPr>
        <w:t>经作林果业</w:t>
      </w:r>
      <w:r>
        <w:rPr>
          <w:rFonts w:hint="eastAsia" w:ascii="Times New Roman" w:hAnsi="Times New Roman" w:eastAsia="仿宋_GB2312"/>
          <w:sz w:val="32"/>
          <w:szCs w:val="32"/>
        </w:rPr>
        <w:t>湘</w:t>
      </w:r>
      <w:r>
        <w:rPr>
          <w:rFonts w:hint="eastAsia" w:ascii="Times New Roman" w:hAnsi="Times New Roman" w:eastAsia="仿宋_GB2312"/>
          <w:sz w:val="32"/>
          <w:szCs w:val="32"/>
          <w:lang w:eastAsia="zh-CN"/>
        </w:rPr>
        <w:t>西</w:t>
      </w:r>
      <w:r>
        <w:rPr>
          <w:rFonts w:hint="eastAsia" w:ascii="Times New Roman" w:hAnsi="Times New Roman" w:eastAsia="仿宋_GB2312"/>
          <w:sz w:val="32"/>
          <w:szCs w:val="32"/>
        </w:rPr>
        <w:t>柑橘产业机械化培训；</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举办节庆、晚会、论坛、赛事活动。</w:t>
      </w:r>
    </w:p>
    <w:p>
      <w:pPr>
        <w:pStyle w:val="10"/>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0"/>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本部门2022年度政府采购支出总额</w:t>
      </w:r>
      <w:r>
        <w:rPr>
          <w:rFonts w:hint="eastAsia" w:ascii="Times New Roman" w:hAnsi="Times New Roman" w:eastAsia="仿宋_GB2312"/>
          <w:sz w:val="32"/>
          <w:szCs w:val="32"/>
          <w:lang w:val="en-US" w:eastAsia="zh-CN"/>
        </w:rPr>
        <w:t>1.25</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1.25</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1.25</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1.25</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bookmarkStart w:id="3" w:name="OLE_LINK1"/>
      <w:r>
        <w:rPr>
          <w:rFonts w:hint="eastAsia" w:ascii="Times New Roman" w:hAnsi="Times New Roman" w:eastAsia="仿宋_GB2312"/>
          <w:sz w:val="32"/>
          <w:szCs w:val="32"/>
        </w:rPr>
        <w:t>货物采购</w:t>
      </w:r>
      <w:bookmarkStart w:id="4" w:name="_GoBack"/>
      <w:bookmarkEnd w:id="4"/>
      <w:r>
        <w:rPr>
          <w:rFonts w:hint="eastAsia" w:ascii="Times New Roman" w:hAnsi="Times New Roman" w:eastAsia="仿宋_GB2312"/>
          <w:sz w:val="32"/>
          <w:szCs w:val="32"/>
        </w:rPr>
        <w:t>授予中小企业合同金额占货物支出金额的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bookmarkEnd w:id="3"/>
      <w:r>
        <w:rPr>
          <w:rFonts w:hint="eastAsia" w:ascii="Times New Roman" w:hAnsi="Times New Roman" w:eastAsia="仿宋_GB2312"/>
          <w:sz w:val="32"/>
          <w:szCs w:val="32"/>
        </w:rPr>
        <w:t>。</w:t>
      </w:r>
    </w:p>
    <w:p>
      <w:pPr>
        <w:pStyle w:val="10"/>
        <w:spacing w:line="600" w:lineRule="exact"/>
        <w:ind w:firstLine="640" w:firstLineChars="200"/>
        <w:rPr>
          <w:rFonts w:hAnsi="黑体"/>
          <w:bCs/>
          <w:sz w:val="32"/>
          <w:szCs w:val="32"/>
        </w:rPr>
      </w:pPr>
      <w:r>
        <w:rPr>
          <w:rFonts w:hint="eastAsia" w:hAnsi="黑体"/>
          <w:bCs/>
          <w:sz w:val="32"/>
          <w:szCs w:val="32"/>
        </w:rPr>
        <w:t>十二、关于国有资产占用情况说明</w:t>
      </w:r>
    </w:p>
    <w:p>
      <w:pPr>
        <w:pStyle w:val="10"/>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截至2022年12月31日，本单位共有车辆</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辆，其他用车主要是</w:t>
      </w:r>
      <w:r>
        <w:rPr>
          <w:rFonts w:hint="eastAsia" w:ascii="Times New Roman" w:hAnsi="Times New Roman" w:eastAsia="仿宋_GB2312"/>
          <w:sz w:val="32"/>
          <w:szCs w:val="32"/>
          <w:lang w:eastAsia="zh-CN"/>
        </w:rPr>
        <w:t>单位业务用车</w:t>
      </w:r>
      <w:r>
        <w:rPr>
          <w:rFonts w:hint="eastAsia" w:ascii="Times New Roman" w:hAnsi="Times New Roman" w:eastAsia="仿宋_GB2312"/>
          <w:sz w:val="32"/>
          <w:szCs w:val="32"/>
        </w:rPr>
        <w:t>；单位价值50万元以上通用设备</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台（套）；单位价值100万元以上专用设备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pPr>
        <w:pStyle w:val="10"/>
        <w:spacing w:line="600" w:lineRule="exact"/>
        <w:ind w:firstLine="640" w:firstLineChars="200"/>
        <w:rPr>
          <w:rFonts w:hAnsi="黑体"/>
          <w:bCs/>
          <w:sz w:val="32"/>
          <w:szCs w:val="32"/>
        </w:rPr>
      </w:pPr>
      <w:r>
        <w:rPr>
          <w:rFonts w:hint="eastAsia" w:hAnsi="黑体"/>
          <w:bCs/>
          <w:sz w:val="32"/>
          <w:szCs w:val="32"/>
        </w:rPr>
        <w:t>十三、关于</w:t>
      </w:r>
      <w:r>
        <w:rPr>
          <w:rFonts w:hint="eastAsia" w:ascii="Times New Roman" w:hAnsi="Times New Roman" w:eastAsia="仿宋_GB2312"/>
          <w:sz w:val="32"/>
          <w:szCs w:val="32"/>
        </w:rPr>
        <w:t>2022</w:t>
      </w:r>
      <w:r>
        <w:rPr>
          <w:rFonts w:hint="eastAsia" w:hAnsi="黑体"/>
          <w:bCs/>
          <w:sz w:val="32"/>
          <w:szCs w:val="32"/>
        </w:rPr>
        <w:t>年度预算绩效情况的说明</w:t>
      </w:r>
    </w:p>
    <w:p>
      <w:pPr>
        <w:pStyle w:val="10"/>
        <w:spacing w:line="600" w:lineRule="exact"/>
        <w:ind w:firstLine="640" w:firstLineChars="200"/>
        <w:rPr>
          <w:rFonts w:hint="eastAsia" w:ascii="楷体" w:hAnsi="楷体" w:eastAsia="楷体" w:cs="楷体"/>
          <w:b/>
          <w:bCs/>
          <w:sz w:val="32"/>
          <w:szCs w:val="32"/>
          <w:lang w:eastAsia="zh-CN"/>
        </w:rPr>
      </w:pPr>
      <w:r>
        <w:rPr>
          <w:rFonts w:hint="eastAsia" w:ascii="楷体" w:hAnsi="楷体" w:eastAsia="楷体" w:cs="楷体"/>
          <w:b/>
          <w:bCs/>
          <w:sz w:val="32"/>
          <w:szCs w:val="32"/>
        </w:rPr>
        <w:t>（一）部门整体支出绩效情况</w:t>
      </w:r>
    </w:p>
    <w:p>
      <w:pPr>
        <w:pStyle w:val="10"/>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1、严控运行成本</w:t>
      </w:r>
    </w:p>
    <w:p>
      <w:pPr>
        <w:pStyle w:val="10"/>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2022年“三公”经费支出3.11万元。其中公务接待费0.11万元、公务用车运行维护费3.0万元。2022年基本支出中水费、电费和差旅费年初预算为8.6万元，决算数为7.98万元，节约比为7.2%，合理控制在预算以内；项目经费运行成本根据预算资金合理安排使用，经作林果业生产机械化培训经费运行成本严格控制。</w:t>
      </w:r>
    </w:p>
    <w:p>
      <w:pPr>
        <w:pStyle w:val="10"/>
        <w:numPr>
          <w:ilvl w:val="0"/>
          <w:numId w:val="3"/>
        </w:numPr>
        <w:spacing w:line="600" w:lineRule="exact"/>
        <w:ind w:left="480" w:leftChars="0" w:firstLine="0" w:firstLineChars="0"/>
        <w:rPr>
          <w:rFonts w:hint="default"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提高管理效率</w:t>
      </w:r>
    </w:p>
    <w:p>
      <w:pPr>
        <w:pStyle w:val="10"/>
        <w:numPr>
          <w:ilvl w:val="0"/>
          <w:numId w:val="0"/>
        </w:numPr>
        <w:spacing w:line="600" w:lineRule="exact"/>
        <w:ind w:firstLine="640" w:firstLineChars="200"/>
        <w:rPr>
          <w:rFonts w:hint="default" w:ascii="Times New Roman" w:hAnsi="Times New Roman" w:eastAsia="仿宋_GB2312" w:cs="黑体"/>
          <w:color w:val="000000"/>
          <w:kern w:val="0"/>
          <w:sz w:val="32"/>
          <w:szCs w:val="32"/>
          <w:lang w:val="en-US" w:eastAsia="zh-CN" w:bidi="ar-SA"/>
        </w:rPr>
      </w:pPr>
      <w:r>
        <w:rPr>
          <w:rFonts w:hint="default" w:ascii="Times New Roman" w:hAnsi="Times New Roman" w:eastAsia="仿宋_GB2312" w:cs="黑体"/>
          <w:color w:val="000000"/>
          <w:kern w:val="0"/>
          <w:sz w:val="32"/>
          <w:szCs w:val="32"/>
          <w:lang w:val="en-US" w:eastAsia="zh-CN" w:bidi="ar-SA"/>
        </w:rPr>
        <w:t>为提升丘陵山区经作林果业生产机械化水平提高，示范园于2022年6月在常德石门县、7月在邵阳新宁县，先后举办了两场柑橘生产全程机械化技术培训班，培训对象覆盖了湘北和湘西两个片区各市州、县的农机推广站长、柑橘种植大户，共300余人参加。</w:t>
      </w:r>
      <w:r>
        <w:rPr>
          <w:rFonts w:hint="eastAsia" w:ascii="Times New Roman" w:hAnsi="Times New Roman" w:eastAsia="仿宋_GB2312" w:cs="黑体"/>
          <w:color w:val="000000"/>
          <w:kern w:val="0"/>
          <w:sz w:val="32"/>
          <w:szCs w:val="32"/>
          <w:lang w:val="en-US" w:eastAsia="zh-CN" w:bidi="ar-SA"/>
        </w:rPr>
        <w:t>9月、10月份，为进一步了解我省经作林果产业机械化发展情况，提前谋划下一阶段示范园职能职责如何有效发挥，我们对我省部分经作林果业机械化现状、存在问题、成因、发展对策作了调研。</w:t>
      </w:r>
    </w:p>
    <w:p>
      <w:pPr>
        <w:pStyle w:val="10"/>
        <w:numPr>
          <w:ilvl w:val="0"/>
          <w:numId w:val="0"/>
        </w:numPr>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3、提高履效职能</w:t>
      </w:r>
    </w:p>
    <w:p>
      <w:pPr>
        <w:pStyle w:val="10"/>
        <w:numPr>
          <w:ilvl w:val="0"/>
          <w:numId w:val="0"/>
        </w:numPr>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协调联系产销对接中心日常管理，定期检查、提示驻产销对接中心各单位、部门的疫情防控、消防安全工作；督促基础装修工程质保期内的维修维护；协调处理施工方拖欠农民工工资问题；完成了工程建设全套资料的分类整理和归档；协助做好各类产品推介会和各级领导视察接待；参与了产销对接中心保障用房装修改造项目管理及验收。</w:t>
      </w:r>
    </w:p>
    <w:p>
      <w:pPr>
        <w:pStyle w:val="10"/>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4、促进良好社会效应</w:t>
      </w:r>
    </w:p>
    <w:p>
      <w:pPr>
        <w:pStyle w:val="10"/>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示范园年度总体支出绩效目标完成84.18%,其中项目支出绩效目标完成100%，实现产出数量指标培训经作林果业机械化从业技术人员数量100人，培训机械化从业技术人员95%以上达到合格标准；促进良好效益，节约成本，提高林果业机械化技术人员操作水平，促进节本增数。</w:t>
      </w:r>
    </w:p>
    <w:p>
      <w:pPr>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5、加强可持续发展能力</w:t>
      </w:r>
    </w:p>
    <w:p>
      <w:pPr>
        <w:pStyle w:val="10"/>
        <w:numPr>
          <w:ilvl w:val="0"/>
          <w:numId w:val="0"/>
        </w:numPr>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通过示范带动，提升林果业种植机械化程度，带动周边市县丘陵山区经作果林生产机械化；培</w:t>
      </w:r>
      <w:r>
        <w:rPr>
          <w:rFonts w:hint="eastAsia" w:ascii="Times New Roman" w:hAnsi="Times New Roman" w:eastAsia="仿宋_GB2312" w:cs="黑体"/>
          <w:color w:val="000000"/>
          <w:kern w:val="0"/>
          <w:sz w:val="32"/>
          <w:szCs w:val="32"/>
          <w:lang w:val="en-US" w:eastAsia="zh-CN" w:bidi="ar-SA"/>
        </w:rPr>
        <w:t>训通过专家讲座、优秀种植户经验分享、机具现场演示、宣传发放相关技术规程和安全操作资料等方式，从标准化育苗、标准化建园、果苗品种选择、田间管理、采摘、果品分选、深加工等各环节农机农艺融合方面进行了培训和探讨，进一步提升了农机推广人员和柑橘生产经营户的机械化认识水平。</w:t>
      </w:r>
    </w:p>
    <w:p>
      <w:pPr>
        <w:pStyle w:val="10"/>
        <w:numPr>
          <w:ilvl w:val="0"/>
          <w:numId w:val="4"/>
        </w:numPr>
        <w:tabs>
          <w:tab w:val="left" w:pos="508"/>
        </w:tabs>
        <w:spacing w:line="600" w:lineRule="exact"/>
        <w:ind w:left="-10" w:leftChars="0" w:firstLine="640" w:firstLineChars="0"/>
        <w:rPr>
          <w:rFonts w:hint="eastAsia" w:ascii="Times New Roman" w:hAnsi="Times New Roman" w:eastAsia="仿宋_GB2312" w:cs="黑体"/>
          <w:color w:val="auto"/>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提高服务对象满意度</w:t>
      </w:r>
    </w:p>
    <w:p>
      <w:pPr>
        <w:ind w:firstLine="640" w:firstLineChars="200"/>
        <w:rPr>
          <w:rFonts w:hint="default"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auto"/>
          <w:kern w:val="0"/>
          <w:sz w:val="32"/>
          <w:szCs w:val="32"/>
          <w:lang w:val="en-US" w:eastAsia="zh-CN" w:bidi="ar-SA"/>
        </w:rPr>
        <w:t>通过实地访问的方式进行满意度调查，培训技术人员达到合格标准，带动周边市县实现生产机械化，服务对象满意度达到了95%。</w:t>
      </w:r>
    </w:p>
    <w:p>
      <w:pPr>
        <w:pStyle w:val="10"/>
        <w:spacing w:line="60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（二）存在的问题及原因分析</w:t>
      </w:r>
    </w:p>
    <w:p>
      <w:pPr>
        <w:pStyle w:val="10"/>
        <w:ind w:firstLine="640" w:firstLineChars="200"/>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eastAsia="zh-CN"/>
        </w:rPr>
        <w:t>人员经费</w:t>
      </w:r>
      <w:r>
        <w:rPr>
          <w:rFonts w:hint="eastAsia" w:ascii="Times New Roman" w:hAnsi="Times New Roman" w:eastAsia="仿宋_GB2312"/>
          <w:color w:val="auto"/>
          <w:sz w:val="32"/>
          <w:szCs w:val="32"/>
        </w:rPr>
        <w:t>预算执行率有待提高</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2022年一般公共预算</w:t>
      </w:r>
      <w:r>
        <w:rPr>
          <w:rFonts w:hint="eastAsia" w:ascii="Times New Roman" w:hAnsi="Times New Roman" w:eastAsia="仿宋_GB2312"/>
          <w:color w:val="auto"/>
          <w:sz w:val="32"/>
          <w:szCs w:val="32"/>
          <w:lang w:eastAsia="zh-CN"/>
        </w:rPr>
        <w:t>基本</w:t>
      </w:r>
      <w:r>
        <w:rPr>
          <w:rFonts w:hint="eastAsia" w:ascii="Times New Roman" w:hAnsi="Times New Roman" w:eastAsia="仿宋_GB2312"/>
          <w:color w:val="auto"/>
          <w:sz w:val="32"/>
          <w:szCs w:val="32"/>
        </w:rPr>
        <w:t>支出总预算</w:t>
      </w:r>
      <w:r>
        <w:rPr>
          <w:rFonts w:hint="eastAsia" w:ascii="Times New Roman" w:hAnsi="Times New Roman" w:eastAsia="仿宋_GB2312"/>
          <w:color w:val="auto"/>
          <w:sz w:val="32"/>
          <w:szCs w:val="32"/>
          <w:lang w:val="en-US" w:eastAsia="zh-CN"/>
        </w:rPr>
        <w:t>125.95</w:t>
      </w:r>
      <w:r>
        <w:rPr>
          <w:rFonts w:hint="eastAsia" w:ascii="Times New Roman" w:hAnsi="Times New Roman" w:eastAsia="仿宋_GB2312"/>
          <w:color w:val="auto"/>
          <w:sz w:val="32"/>
          <w:szCs w:val="32"/>
        </w:rPr>
        <w:t>万元，</w:t>
      </w:r>
      <w:r>
        <w:rPr>
          <w:rFonts w:hint="eastAsia" w:ascii="Times New Roman" w:hAnsi="Times New Roman" w:eastAsia="仿宋_GB2312"/>
          <w:color w:val="auto"/>
          <w:sz w:val="32"/>
          <w:szCs w:val="32"/>
          <w:lang w:eastAsia="zh-CN"/>
        </w:rPr>
        <w:t>年中追加</w:t>
      </w:r>
      <w:r>
        <w:rPr>
          <w:rFonts w:hint="eastAsia" w:ascii="Times New Roman" w:hAnsi="Times New Roman" w:eastAsia="仿宋_GB2312"/>
          <w:color w:val="auto"/>
          <w:sz w:val="32"/>
          <w:szCs w:val="32"/>
          <w:lang w:val="en-US" w:eastAsia="zh-CN"/>
        </w:rPr>
        <w:t>1.05万元，</w:t>
      </w:r>
      <w:r>
        <w:rPr>
          <w:rFonts w:hint="eastAsia" w:ascii="Times New Roman" w:hAnsi="Times New Roman" w:eastAsia="仿宋_GB2312"/>
          <w:color w:val="auto"/>
          <w:sz w:val="32"/>
          <w:szCs w:val="32"/>
        </w:rPr>
        <w:t>预算执行</w:t>
      </w:r>
      <w:r>
        <w:rPr>
          <w:rFonts w:hint="eastAsia" w:ascii="Times New Roman" w:hAnsi="Times New Roman" w:eastAsia="仿宋_GB2312"/>
          <w:color w:val="auto"/>
          <w:sz w:val="32"/>
          <w:szCs w:val="32"/>
          <w:lang w:val="en-US" w:eastAsia="zh-CN"/>
        </w:rPr>
        <w:t>102.87</w:t>
      </w:r>
      <w:r>
        <w:rPr>
          <w:rFonts w:hint="eastAsia" w:ascii="Times New Roman" w:hAnsi="Times New Roman" w:eastAsia="仿宋_GB2312"/>
          <w:color w:val="auto"/>
          <w:sz w:val="32"/>
          <w:szCs w:val="32"/>
        </w:rPr>
        <w:t>万元，预算执行率</w:t>
      </w:r>
      <w:r>
        <w:rPr>
          <w:rFonts w:hint="eastAsia" w:ascii="Times New Roman" w:hAnsi="Times New Roman" w:eastAsia="仿宋_GB2312"/>
          <w:color w:val="auto"/>
          <w:sz w:val="32"/>
          <w:szCs w:val="32"/>
          <w:lang w:val="en-US" w:eastAsia="zh-CN"/>
        </w:rPr>
        <w:t>81.00</w:t>
      </w:r>
      <w:r>
        <w:rPr>
          <w:rFonts w:hint="eastAsia" w:ascii="Times New Roman" w:hAnsi="Times New Roman" w:eastAsia="仿宋_GB2312"/>
          <w:color w:val="auto"/>
          <w:sz w:val="32"/>
          <w:szCs w:val="32"/>
        </w:rPr>
        <w:t>%。其中</w:t>
      </w:r>
      <w:r>
        <w:rPr>
          <w:rFonts w:hint="eastAsia" w:ascii="Times New Roman" w:hAnsi="Times New Roman" w:eastAsia="仿宋_GB2312"/>
          <w:color w:val="auto"/>
          <w:sz w:val="32"/>
          <w:szCs w:val="32"/>
          <w:lang w:eastAsia="zh-CN"/>
        </w:rPr>
        <w:t>人员经费</w:t>
      </w:r>
      <w:r>
        <w:rPr>
          <w:rFonts w:hint="eastAsia" w:ascii="Times New Roman" w:hAnsi="Times New Roman" w:eastAsia="仿宋_GB2312"/>
          <w:color w:val="auto"/>
          <w:sz w:val="32"/>
          <w:szCs w:val="32"/>
        </w:rPr>
        <w:t>预算执行率低于</w:t>
      </w:r>
      <w:r>
        <w:rPr>
          <w:rFonts w:hint="eastAsia" w:ascii="Times New Roman" w:hAnsi="Times New Roman" w:eastAsia="仿宋_GB2312"/>
          <w:color w:val="auto"/>
          <w:sz w:val="32"/>
          <w:szCs w:val="32"/>
          <w:lang w:val="en-US" w:eastAsia="zh-CN"/>
        </w:rPr>
        <w:t>75</w:t>
      </w:r>
      <w:r>
        <w:rPr>
          <w:rFonts w:hint="eastAsia" w:ascii="Times New Roman" w:hAnsi="Times New Roman" w:eastAsia="仿宋_GB2312"/>
          <w:color w:val="auto"/>
          <w:sz w:val="32"/>
          <w:szCs w:val="32"/>
        </w:rPr>
        <w:t>%。按支出</w:t>
      </w:r>
      <w:r>
        <w:rPr>
          <w:rFonts w:hint="eastAsia" w:ascii="Times New Roman" w:hAnsi="Times New Roman" w:eastAsia="仿宋_GB2312"/>
          <w:color w:val="auto"/>
          <w:sz w:val="32"/>
          <w:szCs w:val="32"/>
          <w:lang w:eastAsia="zh-CN"/>
        </w:rPr>
        <w:t>性质和经济</w:t>
      </w:r>
      <w:r>
        <w:rPr>
          <w:rFonts w:hint="eastAsia" w:ascii="Times New Roman" w:hAnsi="Times New Roman" w:eastAsia="仿宋_GB2312"/>
          <w:color w:val="auto"/>
          <w:sz w:val="32"/>
          <w:szCs w:val="32"/>
        </w:rPr>
        <w:t>分类，</w:t>
      </w:r>
      <w:r>
        <w:rPr>
          <w:rFonts w:hint="eastAsia" w:ascii="Times New Roman" w:hAnsi="Times New Roman" w:eastAsia="仿宋_GB2312"/>
          <w:color w:val="auto"/>
          <w:sz w:val="32"/>
          <w:szCs w:val="32"/>
          <w:lang w:eastAsia="zh-CN"/>
        </w:rPr>
        <w:t>人员经费</w:t>
      </w:r>
      <w:r>
        <w:rPr>
          <w:rFonts w:hint="eastAsia" w:ascii="Times New Roman" w:hAnsi="Times New Roman" w:eastAsia="仿宋_GB2312"/>
          <w:color w:val="auto"/>
          <w:sz w:val="32"/>
          <w:szCs w:val="32"/>
        </w:rPr>
        <w:t>预算</w:t>
      </w:r>
      <w:r>
        <w:rPr>
          <w:rFonts w:hint="eastAsia" w:ascii="Times New Roman" w:hAnsi="Times New Roman" w:eastAsia="仿宋_GB2312"/>
          <w:color w:val="auto"/>
          <w:sz w:val="32"/>
          <w:szCs w:val="32"/>
          <w:lang w:val="en-US" w:eastAsia="zh-CN"/>
        </w:rPr>
        <w:t>75.20</w:t>
      </w:r>
      <w:r>
        <w:rPr>
          <w:rFonts w:hint="eastAsia" w:ascii="Times New Roman" w:hAnsi="Times New Roman" w:eastAsia="仿宋_GB2312"/>
          <w:color w:val="auto"/>
          <w:sz w:val="32"/>
          <w:szCs w:val="32"/>
        </w:rPr>
        <w:t>万元，实际使用</w:t>
      </w:r>
      <w:r>
        <w:rPr>
          <w:rFonts w:hint="eastAsia" w:ascii="Times New Roman" w:hAnsi="Times New Roman" w:eastAsia="仿宋_GB2312"/>
          <w:color w:val="auto"/>
          <w:sz w:val="32"/>
          <w:szCs w:val="32"/>
          <w:lang w:val="en-US" w:eastAsia="zh-CN"/>
        </w:rPr>
        <w:t>52.59</w:t>
      </w:r>
      <w:r>
        <w:rPr>
          <w:rFonts w:hint="eastAsia" w:ascii="Times New Roman" w:hAnsi="Times New Roman" w:eastAsia="仿宋_GB2312"/>
          <w:color w:val="auto"/>
          <w:sz w:val="32"/>
          <w:szCs w:val="32"/>
        </w:rPr>
        <w:t>万元，预算执行率</w:t>
      </w:r>
      <w:r>
        <w:rPr>
          <w:rFonts w:hint="eastAsia" w:ascii="Times New Roman" w:hAnsi="Times New Roman" w:eastAsia="仿宋_GB2312"/>
          <w:color w:val="auto"/>
          <w:sz w:val="32"/>
          <w:szCs w:val="32"/>
          <w:lang w:val="en-US" w:eastAsia="zh-CN"/>
        </w:rPr>
        <w:t>69.93</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 xml:space="preserve">  </w:t>
      </w:r>
    </w:p>
    <w:p>
      <w:pPr>
        <w:pStyle w:val="10"/>
        <w:spacing w:line="60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color w:val="auto"/>
          <w:sz w:val="32"/>
          <w:szCs w:val="32"/>
        </w:rPr>
        <w:t>原因分析：一是</w:t>
      </w:r>
      <w:r>
        <w:rPr>
          <w:rFonts w:hint="eastAsia" w:ascii="Times New Roman" w:hAnsi="Times New Roman" w:eastAsia="仿宋_GB2312"/>
          <w:color w:val="auto"/>
          <w:sz w:val="32"/>
          <w:szCs w:val="32"/>
          <w:lang w:eastAsia="zh-CN"/>
        </w:rPr>
        <w:t>年初预算人员经费绩效工资</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2022年</w:t>
      </w:r>
      <w:r>
        <w:rPr>
          <w:rFonts w:hint="eastAsia" w:ascii="Times New Roman" w:hAnsi="Times New Roman" w:eastAsia="仿宋_GB2312"/>
          <w:sz w:val="32"/>
          <w:szCs w:val="32"/>
          <w:lang w:val="en-US" w:eastAsia="zh-CN"/>
        </w:rPr>
        <w:t>按政策</w:t>
      </w:r>
      <w:r>
        <w:rPr>
          <w:rFonts w:hint="eastAsia" w:ascii="Times New Roman" w:hAnsi="Times New Roman" w:eastAsia="仿宋_GB2312"/>
          <w:sz w:val="32"/>
          <w:szCs w:val="32"/>
          <w:lang w:eastAsia="zh-CN"/>
        </w:rPr>
        <w:t>在职人员绩效工资</w:t>
      </w:r>
      <w:r>
        <w:rPr>
          <w:rFonts w:hint="eastAsia" w:ascii="Times New Roman" w:hAnsi="Times New Roman" w:eastAsia="仿宋_GB2312"/>
          <w:sz w:val="32"/>
          <w:szCs w:val="32"/>
          <w:lang w:val="en-US" w:eastAsia="zh-CN"/>
        </w:rPr>
        <w:t>暂未</w:t>
      </w:r>
      <w:r>
        <w:rPr>
          <w:rFonts w:hint="eastAsia" w:ascii="Times New Roman" w:hAnsi="Times New Roman" w:eastAsia="仿宋_GB2312"/>
          <w:sz w:val="32"/>
          <w:szCs w:val="32"/>
          <w:lang w:eastAsia="zh-CN"/>
        </w:rPr>
        <w:t>发放</w:t>
      </w:r>
      <w:r>
        <w:rPr>
          <w:rFonts w:hint="eastAsia" w:ascii="Times New Roman" w:hAnsi="Times New Roman" w:eastAsia="仿宋_GB2312"/>
          <w:sz w:val="32"/>
          <w:szCs w:val="32"/>
          <w:lang w:val="en-US" w:eastAsia="zh-CN"/>
        </w:rPr>
        <w:t>;</w:t>
      </w:r>
      <w:r>
        <w:rPr>
          <w:rFonts w:hint="eastAsia" w:ascii="Times New Roman" w:hAnsi="Times New Roman" w:eastAsia="仿宋_GB2312"/>
          <w:sz w:val="32"/>
          <w:szCs w:val="32"/>
          <w:lang w:eastAsia="zh-CN"/>
        </w:rPr>
        <w:t>二是长期聘用人员的社保费用</w:t>
      </w:r>
      <w:r>
        <w:rPr>
          <w:rFonts w:hint="eastAsia" w:ascii="Times New Roman" w:hAnsi="Times New Roman" w:eastAsia="仿宋_GB2312"/>
          <w:sz w:val="32"/>
          <w:szCs w:val="32"/>
          <w:lang w:val="en-US" w:eastAsia="zh-CN"/>
        </w:rPr>
        <w:t>调剂到</w:t>
      </w:r>
      <w:r>
        <w:rPr>
          <w:rFonts w:hint="eastAsia" w:ascii="Times New Roman" w:hAnsi="Times New Roman" w:eastAsia="仿宋_GB2312"/>
          <w:sz w:val="32"/>
          <w:szCs w:val="32"/>
        </w:rPr>
        <w:t>农林水支出（类）农业农村（款）事业运行（项）</w:t>
      </w:r>
      <w:r>
        <w:rPr>
          <w:rFonts w:hint="eastAsia" w:ascii="Times New Roman" w:hAnsi="Times New Roman" w:eastAsia="仿宋_GB2312"/>
          <w:sz w:val="32"/>
          <w:szCs w:val="32"/>
          <w:lang w:eastAsia="zh-CN"/>
        </w:rPr>
        <w:t>。</w:t>
      </w:r>
    </w:p>
    <w:p>
      <w:pPr>
        <w:pStyle w:val="10"/>
        <w:spacing w:line="600" w:lineRule="exact"/>
        <w:ind w:firstLine="640" w:firstLineChars="200"/>
        <w:rPr>
          <w:rFonts w:hint="default" w:ascii="Times New Roman" w:hAnsi="Times New Roman" w:eastAsia="仿宋_GB2312"/>
          <w:color w:val="auto"/>
          <w:sz w:val="32"/>
          <w:szCs w:val="32"/>
          <w:lang w:val="en-US" w:eastAsia="zh-CN"/>
        </w:rPr>
      </w:pPr>
      <w:r>
        <w:rPr>
          <w:rFonts w:hint="eastAsia" w:ascii="Times New Roman" w:hAnsi="Times New Roman" w:eastAsia="仿宋_GB2312"/>
          <w:sz w:val="32"/>
          <w:szCs w:val="32"/>
          <w:lang w:eastAsia="zh-CN"/>
        </w:rPr>
        <w:t>整改措施：</w:t>
      </w:r>
      <w:r>
        <w:rPr>
          <w:rFonts w:hint="eastAsia" w:ascii="Times New Roman" w:hAnsi="Times New Roman" w:eastAsia="仿宋_GB2312"/>
          <w:sz w:val="32"/>
          <w:szCs w:val="32"/>
          <w:lang w:val="en-US" w:eastAsia="zh-CN"/>
        </w:rPr>
        <w:t>一是</w:t>
      </w:r>
      <w:r>
        <w:rPr>
          <w:rFonts w:hint="eastAsia" w:ascii="Times New Roman" w:hAnsi="Times New Roman" w:eastAsia="仿宋_GB2312"/>
          <w:color w:val="auto"/>
          <w:sz w:val="32"/>
          <w:szCs w:val="32"/>
        </w:rPr>
        <w:t>提高年初预算编制准确性</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编制预算时，严格根据事业单位人员工资和绩效工资发放标准做人员经费的预算，提高预算编制的准确度。二是提</w:t>
      </w:r>
      <w:r>
        <w:rPr>
          <w:rFonts w:hint="eastAsia" w:ascii="Times New Roman" w:hAnsi="Times New Roman" w:eastAsia="仿宋_GB2312"/>
          <w:color w:val="auto"/>
          <w:sz w:val="32"/>
          <w:szCs w:val="32"/>
        </w:rPr>
        <w:t>高预算资金使用</w:t>
      </w:r>
      <w:r>
        <w:rPr>
          <w:rFonts w:hint="eastAsia" w:ascii="Times New Roman" w:hAnsi="Times New Roman" w:eastAsia="仿宋_GB2312"/>
          <w:color w:val="auto"/>
          <w:sz w:val="32"/>
          <w:szCs w:val="32"/>
          <w:lang w:eastAsia="zh-CN"/>
        </w:rPr>
        <w:t>执行</w:t>
      </w:r>
      <w:r>
        <w:rPr>
          <w:rFonts w:hint="eastAsia" w:ascii="Times New Roman" w:hAnsi="Times New Roman" w:eastAsia="仿宋_GB2312"/>
          <w:color w:val="auto"/>
          <w:sz w:val="32"/>
          <w:szCs w:val="32"/>
        </w:rPr>
        <w:t>率</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定期对资金执行率情况进行分析，落实到具体情况，从而提高单位整体预算执行率。</w:t>
      </w:r>
    </w:p>
    <w:p>
      <w:pPr>
        <w:pStyle w:val="10"/>
        <w:numPr>
          <w:ilvl w:val="0"/>
          <w:numId w:val="0"/>
        </w:numPr>
        <w:spacing w:line="600" w:lineRule="exact"/>
        <w:ind w:leftChars="200"/>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lang w:val="en-US" w:eastAsia="zh-CN"/>
        </w:rPr>
        <w:t xml:space="preserve"> </w:t>
      </w:r>
    </w:p>
    <w:p>
      <w:pPr>
        <w:pStyle w:val="10"/>
        <w:ind w:firstLine="640" w:firstLineChars="200"/>
        <w:rPr>
          <w:rFonts w:ascii="Times New Roman" w:hAnsi="Times New Roman" w:eastAsia="仿宋_GB2312"/>
          <w:color w:val="auto"/>
          <w:sz w:val="32"/>
          <w:szCs w:val="32"/>
        </w:rPr>
      </w:pPr>
    </w:p>
    <w:p>
      <w:pPr>
        <w:pStyle w:val="10"/>
        <w:jc w:val="center"/>
        <w:rPr>
          <w:rFonts w:hint="eastAsia" w:ascii="方正小标宋_GBK" w:hAnsi="方正小标宋_GBK" w:eastAsia="方正小标宋_GBK" w:cs="方正小标宋_GBK"/>
          <w:color w:val="C00000"/>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hint="eastAsia" w:ascii="方正小标宋_GBK" w:hAnsi="方正小标宋_GBK" w:eastAsia="方正小标宋_GBK" w:cs="方正小标宋_GBK"/>
          <w:sz w:val="72"/>
          <w:szCs w:val="72"/>
        </w:rPr>
      </w:pPr>
    </w:p>
    <w:p>
      <w:pPr>
        <w:pStyle w:val="10"/>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pStyle w:val="10"/>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pStyle w:val="10"/>
        <w:spacing w:line="60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二、“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0"/>
        <w:jc w:val="center"/>
        <w:rPr>
          <w:sz w:val="72"/>
          <w:szCs w:val="72"/>
        </w:rPr>
      </w:pPr>
    </w:p>
    <w:p>
      <w:pPr>
        <w:pStyle w:val="10"/>
        <w:jc w:val="center"/>
        <w:rPr>
          <w:sz w:val="72"/>
          <w:szCs w:val="72"/>
        </w:rPr>
      </w:pPr>
    </w:p>
    <w:p>
      <w:pPr>
        <w:pStyle w:val="10"/>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D4306D"/>
    <w:multiLevelType w:val="singleLevel"/>
    <w:tmpl w:val="81D4306D"/>
    <w:lvl w:ilvl="0" w:tentative="0">
      <w:start w:val="6"/>
      <w:numFmt w:val="decimal"/>
      <w:suff w:val="nothing"/>
      <w:lvlText w:val="%1、"/>
      <w:lvlJc w:val="left"/>
      <w:pPr>
        <w:ind w:left="-10"/>
      </w:pPr>
    </w:lvl>
  </w:abstractNum>
  <w:abstractNum w:abstractNumId="1">
    <w:nsid w:val="856CA015"/>
    <w:multiLevelType w:val="singleLevel"/>
    <w:tmpl w:val="856CA015"/>
    <w:lvl w:ilvl="0" w:tentative="0">
      <w:start w:val="2"/>
      <w:numFmt w:val="decimal"/>
      <w:suff w:val="nothing"/>
      <w:lvlText w:val="%1、"/>
      <w:lvlJc w:val="left"/>
      <w:pPr>
        <w:ind w:left="480" w:leftChars="0" w:firstLine="0" w:firstLineChars="0"/>
      </w:pPr>
    </w:lvl>
  </w:abstractNum>
  <w:abstractNum w:abstractNumId="2">
    <w:nsid w:val="B0B0D592"/>
    <w:multiLevelType w:val="singleLevel"/>
    <w:tmpl w:val="B0B0D592"/>
    <w:lvl w:ilvl="0" w:tentative="0">
      <w:start w:val="9"/>
      <w:numFmt w:val="chineseCounting"/>
      <w:suff w:val="nothing"/>
      <w:lvlText w:val="%1、"/>
      <w:lvlJc w:val="left"/>
      <w:rPr>
        <w:rFonts w:hint="eastAsia"/>
      </w:rPr>
    </w:lvl>
  </w:abstractNum>
  <w:abstractNum w:abstractNumId="3">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iZjc4ZjI5MGYwNDEzNjA0N2Q4YzFiMGEzMTYzYWMifQ=="/>
  </w:docVars>
  <w:rsids>
    <w:rsidRoot w:val="00005B74"/>
    <w:rsid w:val="0000572D"/>
    <w:rsid w:val="00005B74"/>
    <w:rsid w:val="000A2E47"/>
    <w:rsid w:val="001E23D3"/>
    <w:rsid w:val="00247599"/>
    <w:rsid w:val="003000F5"/>
    <w:rsid w:val="00362C88"/>
    <w:rsid w:val="006068E6"/>
    <w:rsid w:val="00846BFA"/>
    <w:rsid w:val="00BD396B"/>
    <w:rsid w:val="00CD6C0A"/>
    <w:rsid w:val="00DF2CD3"/>
    <w:rsid w:val="00F44A33"/>
    <w:rsid w:val="00F96289"/>
    <w:rsid w:val="028E59E1"/>
    <w:rsid w:val="104F50CD"/>
    <w:rsid w:val="154A51A9"/>
    <w:rsid w:val="20CC5F7E"/>
    <w:rsid w:val="26F15E2C"/>
    <w:rsid w:val="2E8E1CA7"/>
    <w:rsid w:val="31B028F2"/>
    <w:rsid w:val="3B73322C"/>
    <w:rsid w:val="3E3335B0"/>
    <w:rsid w:val="480560E9"/>
    <w:rsid w:val="497A0BBE"/>
    <w:rsid w:val="4A331BDE"/>
    <w:rsid w:val="4B0012E7"/>
    <w:rsid w:val="4BF84627"/>
    <w:rsid w:val="4C9E3FC3"/>
    <w:rsid w:val="4CB17E33"/>
    <w:rsid w:val="4DF075F8"/>
    <w:rsid w:val="57680C1B"/>
    <w:rsid w:val="59697CFD"/>
    <w:rsid w:val="59F52942"/>
    <w:rsid w:val="6BD85428"/>
    <w:rsid w:val="6C60731B"/>
    <w:rsid w:val="779A22D3"/>
    <w:rsid w:val="7A2303F1"/>
    <w:rsid w:val="7B1D37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 w:type="character" w:customStyle="1" w:styleId="13">
    <w:name w:val="font01"/>
    <w:basedOn w:val="7"/>
    <w:qFormat/>
    <w:uiPriority w:val="0"/>
    <w:rPr>
      <w:rFonts w:hint="eastAsia" w:ascii="宋体" w:hAnsi="宋体" w:eastAsia="宋体" w:cs="宋体"/>
      <w:color w:val="000000"/>
      <w:sz w:val="22"/>
      <w:szCs w:val="22"/>
      <w:u w:val="none"/>
    </w:rPr>
  </w:style>
  <w:style w:type="character" w:customStyle="1" w:styleId="14">
    <w:name w:val="font21"/>
    <w:basedOn w:val="7"/>
    <w:qFormat/>
    <w:uiPriority w:val="0"/>
    <w:rPr>
      <w:rFonts w:hint="eastAsia" w:ascii="宋体" w:hAnsi="宋体" w:eastAsia="宋体" w:cs="宋体"/>
      <w:color w:val="000000"/>
      <w:sz w:val="24"/>
      <w:szCs w:val="24"/>
      <w:u w:val="none"/>
    </w:rPr>
  </w:style>
  <w:style w:type="character" w:customStyle="1" w:styleId="15">
    <w:name w:val="font11"/>
    <w:basedOn w:val="7"/>
    <w:qFormat/>
    <w:uiPriority w:val="0"/>
    <w:rPr>
      <w:rFonts w:hint="eastAsia" w:ascii="宋体" w:hAnsi="宋体" w:eastAsia="宋体" w:cs="宋体"/>
      <w:color w:val="000000"/>
      <w:sz w:val="24"/>
      <w:szCs w:val="24"/>
      <w:u w:val="none"/>
    </w:rPr>
  </w:style>
  <w:style w:type="character" w:customStyle="1" w:styleId="16">
    <w:name w:val="font71"/>
    <w:basedOn w:val="7"/>
    <w:qFormat/>
    <w:uiPriority w:val="0"/>
    <w:rPr>
      <w:rFonts w:hint="eastAsia" w:ascii="Times New Roman" w:eastAsia="楷体_GB2312" w:cs="楷体_GB2312"/>
      <w:sz w:val="2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1.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11.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2.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7.xml><?xml version="1.0" encoding="utf-8"?>
<b:Sources xmlns:b="http://schemas.openxmlformats.org/officeDocument/2006/bibliography" xmlns="http://schemas.openxmlformats.org/officeDocument/2006/bibliography" SelectedStyle="" StyleName=""/>
</file>

<file path=customXml/item8.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9.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533CDCF-0B09-41DE-9047-B93530371F31}">
  <ds:schemaRefs/>
</ds:datastoreItem>
</file>

<file path=customXml/itemProps11.xml><?xml version="1.0" encoding="utf-8"?>
<ds:datastoreItem xmlns:ds="http://schemas.openxmlformats.org/officeDocument/2006/customXml" ds:itemID="{C451F24D-7AA0-4969-87A4-04F260574317}">
  <ds:schemaRefs/>
</ds:datastoreItem>
</file>

<file path=customXml/itemProps2.xml><?xml version="1.0" encoding="utf-8"?>
<ds:datastoreItem xmlns:ds="http://schemas.openxmlformats.org/officeDocument/2006/customXml" ds:itemID="{BB0351E5-5576-4D62-B4DA-FD1F5CA5DFD1}">
  <ds:schemaRefs/>
</ds:datastoreItem>
</file>

<file path=customXml/itemProps3.xml><?xml version="1.0" encoding="utf-8"?>
<ds:datastoreItem xmlns:ds="http://schemas.openxmlformats.org/officeDocument/2006/customXml" ds:itemID="{B762B78E-71DD-4611-99B4-B5031E8C448A}">
  <ds:schemaRefs/>
</ds:datastoreItem>
</file>

<file path=customXml/itemProps4.xml><?xml version="1.0" encoding="utf-8"?>
<ds:datastoreItem xmlns:ds="http://schemas.openxmlformats.org/officeDocument/2006/customXml" ds:itemID="{8DA27A06-D446-4F32-8CD7-000973AB81BC}">
  <ds:schemaRefs/>
</ds:datastoreItem>
</file>

<file path=customXml/itemProps5.xml><?xml version="1.0" encoding="utf-8"?>
<ds:datastoreItem xmlns:ds="http://schemas.openxmlformats.org/officeDocument/2006/customXml" ds:itemID="{159E8E90-12F1-4EC6-A6BE-B8D4AE094BB2}">
  <ds:schemaRefs/>
</ds:datastoreItem>
</file>

<file path=customXml/itemProps6.xml><?xml version="1.0" encoding="utf-8"?>
<ds:datastoreItem xmlns:ds="http://schemas.openxmlformats.org/officeDocument/2006/customXml" ds:itemID="{D0264CEA-6447-426C-8260-D997FBB7B76F}">
  <ds:schemaRefs/>
</ds:datastoreItem>
</file>

<file path=customXml/itemProps7.xml><?xml version="1.0" encoding="utf-8"?>
<ds:datastoreItem xmlns:ds="http://schemas.openxmlformats.org/officeDocument/2006/customXml" ds:itemID="{C695B3D3-9042-4BD3-A091-3CD2288EDCDB}">
  <ds:schemaRefs/>
</ds:datastoreItem>
</file>

<file path=customXml/itemProps8.xml><?xml version="1.0" encoding="utf-8"?>
<ds:datastoreItem xmlns:ds="http://schemas.openxmlformats.org/officeDocument/2006/customXml" ds:itemID="{5B517CFC-B39C-4E80-BB38-7591921B1E62}">
  <ds:schemaRefs/>
</ds:datastoreItem>
</file>

<file path=customXml/itemProps9.xml><?xml version="1.0" encoding="utf-8"?>
<ds:datastoreItem xmlns:ds="http://schemas.openxmlformats.org/officeDocument/2006/customXml" ds:itemID="{3BEF88C2-CB34-4499-B35D-ADCC82DB9D3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7254</Words>
  <Characters>8623</Characters>
  <Lines>69</Lines>
  <Paragraphs>19</Paragraphs>
  <TotalTime>0</TotalTime>
  <ScaleCrop>false</ScaleCrop>
  <LinksUpToDate>false</LinksUpToDate>
  <CharactersWithSpaces>9567</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lenovo</cp:lastModifiedBy>
  <cp:lastPrinted>2023-08-15T09:28:00Z</cp:lastPrinted>
  <dcterms:modified xsi:type="dcterms:W3CDTF">2025-05-06T01:22:58Z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05044B8BABCD4F8F8D9DF19647467E7D_12</vt:lpwstr>
  </property>
</Properties>
</file>