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湖南省种子质量检测中心</w:t>
      </w:r>
      <w:r>
        <w:rPr>
          <w:rFonts w:hint="eastAsia" w:ascii="方正小标宋_GBK" w:hAnsi="方正小标宋_GBK" w:eastAsia="方正小标宋_GBK" w:cs="方正小标宋_GBK"/>
          <w:sz w:val="84"/>
          <w:szCs w:val="84"/>
        </w:rPr>
        <w:t>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湖南省种子质量检测中心</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湖南省种子质量检测中心</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pStyle w:val="13"/>
        <w:numPr>
          <w:ilvl w:val="0"/>
          <w:numId w:val="0"/>
        </w:numPr>
        <w:ind w:leftChars="0"/>
        <w:jc w:val="left"/>
        <w:rPr>
          <w:rFonts w:hint="eastAsia" w:ascii="黑体" w:hAnsi="黑体" w:eastAsia="黑体" w:cs="黑体"/>
          <w:b w:val="0"/>
          <w:bCs w:val="0"/>
          <w:sz w:val="32"/>
          <w:szCs w:val="32"/>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一是承担农业农村部和省农业农村厅下达的农作物种子质量监督抽查的检验工作；二是负责农作物种子检验技术的研究和创新；三是接受司法、公安、工商等部门的委托，检验农作物种子质量，承担农作物种子纯度种植鉴定和组织种子质量纠纷田间现场鉴定工作；四是接受种子生产经营单位和个人的委托，检验农作物种子质量；六是负责培训种子检验技术人员。</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snapToGrid w:val="0"/>
        <w:spacing w:line="520" w:lineRule="exact"/>
        <w:ind w:firstLine="640" w:firstLineChars="200"/>
        <w:rPr>
          <w:rFonts w:hint="eastAsia" w:ascii="仿宋" w:hAnsi="仿宋" w:eastAsia="仿宋"/>
          <w:color w:val="auto"/>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color w:val="auto"/>
          <w:sz w:val="32"/>
          <w:szCs w:val="32"/>
          <w:lang w:val="en-US" w:eastAsia="zh-CN"/>
        </w:rPr>
        <w:t>湖南省种子质量检测中心内设机构包括：</w:t>
      </w:r>
      <w:r>
        <w:rPr>
          <w:rFonts w:hint="eastAsia" w:ascii="仿宋_GB2312" w:hAnsi="黑体" w:eastAsia="仿宋_GB2312" w:cs="Times New Roman"/>
          <w:color w:val="auto"/>
          <w:kern w:val="2"/>
          <w:sz w:val="32"/>
          <w:szCs w:val="32"/>
          <w:lang w:val="en-US" w:eastAsia="zh-CN" w:bidi="ar-SA"/>
        </w:rPr>
        <w:t>业务科、综合财务科、检验科3个内部机构。</w:t>
      </w:r>
    </w:p>
    <w:p>
      <w:pPr>
        <w:widowControl/>
        <w:spacing w:line="600" w:lineRule="exact"/>
        <w:ind w:firstLine="640" w:firstLineChars="200"/>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w:t>
      </w:r>
      <w:r>
        <w:rPr>
          <w:rFonts w:hint="eastAsia" w:ascii="仿宋" w:hAnsi="仿宋" w:eastAsia="仿宋"/>
          <w:color w:val="auto"/>
          <w:sz w:val="32"/>
          <w:szCs w:val="32"/>
          <w:lang w:val="en-US" w:eastAsia="zh-CN"/>
        </w:rPr>
        <w:t>湖南省种子质量检测中心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color w:val="auto"/>
          <w:sz w:val="32"/>
          <w:szCs w:val="32"/>
          <w:lang w:val="en-US" w:eastAsia="zh-CN"/>
        </w:rPr>
        <w:t>湖南省种子质量检测中心</w:t>
      </w:r>
      <w:r>
        <w:rPr>
          <w:rFonts w:hint="eastAsia" w:ascii="Times New Roman" w:hAnsi="Times New Roman" w:eastAsia="仿宋_GB2312" w:cs="仿宋_GB2312"/>
          <w:bCs/>
          <w:kern w:val="0"/>
          <w:sz w:val="32"/>
          <w:szCs w:val="32"/>
        </w:rPr>
        <w:t>本级</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drawing>
          <wp:inline distT="0" distB="0" distL="114300" distR="114300">
            <wp:extent cx="9770745" cy="6062345"/>
            <wp:effectExtent l="0" t="0" r="8255" b="8255"/>
            <wp:docPr id="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true"/>
                    </pic:cNvPicPr>
                  </pic:nvPicPr>
                  <pic:blipFill>
                    <a:blip r:embed="rId4"/>
                    <a:stretch>
                      <a:fillRect/>
                    </a:stretch>
                  </pic:blipFill>
                  <pic:spPr>
                    <a:xfrm>
                      <a:off x="0" y="0"/>
                      <a:ext cx="9770745" cy="6062345"/>
                    </a:xfrm>
                    <a:prstGeom prst="rect">
                      <a:avLst/>
                    </a:prstGeom>
                    <a:noFill/>
                    <a:ln>
                      <a:noFill/>
                    </a:ln>
                  </pic:spPr>
                </pic:pic>
              </a:graphicData>
            </a:graphic>
          </wp:inline>
        </w:drawing>
      </w:r>
      <w:r>
        <w:br w:type="page"/>
      </w:r>
    </w:p>
    <w:p>
      <w:pPr>
        <w:widowControl/>
        <w:rPr>
          <w:rFonts w:ascii="Times New Roman" w:hAnsi="Times New Roman" w:eastAsia="方正小标宋_GBK" w:cs="Times New Roman"/>
          <w:color w:val="000000"/>
          <w:kern w:val="0"/>
          <w:sz w:val="36"/>
          <w:szCs w:val="36"/>
        </w:rPr>
      </w:pPr>
      <w:r>
        <w:drawing>
          <wp:inline distT="0" distB="0" distL="114300" distR="114300">
            <wp:extent cx="9769475" cy="4392295"/>
            <wp:effectExtent l="0" t="0" r="9525" b="1905"/>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5"/>
                    <a:stretch>
                      <a:fillRect/>
                    </a:stretch>
                  </pic:blipFill>
                  <pic:spPr>
                    <a:xfrm>
                      <a:off x="0" y="0"/>
                      <a:ext cx="9769475" cy="4392295"/>
                    </a:xfrm>
                    <a:prstGeom prst="rect">
                      <a:avLst/>
                    </a:prstGeom>
                    <a:noFill/>
                    <a:ln>
                      <a:noFill/>
                    </a:ln>
                  </pic:spPr>
                </pic:pic>
              </a:graphicData>
            </a:graphic>
          </wp:inline>
        </w:drawing>
      </w:r>
      <w:r>
        <w:drawing>
          <wp:inline distT="0" distB="0" distL="114300" distR="114300">
            <wp:extent cx="9150350" cy="4775200"/>
            <wp:effectExtent l="0" t="0" r="6350" b="0"/>
            <wp:docPr id="4"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true"/>
                    </pic:cNvPicPr>
                  </pic:nvPicPr>
                  <pic:blipFill>
                    <a:blip r:embed="rId6"/>
                    <a:stretch>
                      <a:fillRect/>
                    </a:stretch>
                  </pic:blipFill>
                  <pic:spPr>
                    <a:xfrm>
                      <a:off x="0" y="0"/>
                      <a:ext cx="9150350" cy="4775200"/>
                    </a:xfrm>
                    <a:prstGeom prst="rect">
                      <a:avLst/>
                    </a:prstGeom>
                    <a:noFill/>
                    <a:ln>
                      <a:noFill/>
                    </a:ln>
                  </pic:spPr>
                </pic:pic>
              </a:graphicData>
            </a:graphic>
          </wp:inline>
        </w:drawing>
      </w:r>
    </w:p>
    <w:p>
      <w:pPr>
        <w:widowControl/>
        <w:jc w:val="both"/>
        <w:rPr>
          <w:rFonts w:ascii="Times New Roman" w:hAnsi="Times New Roman" w:eastAsia="方正小标宋_GBK" w:cs="Times New Roman"/>
          <w:color w:val="000000"/>
          <w:kern w:val="0"/>
          <w:sz w:val="36"/>
          <w:szCs w:val="21"/>
        </w:rPr>
      </w:pPr>
      <w:r>
        <w:drawing>
          <wp:inline distT="0" distB="0" distL="114300" distR="114300">
            <wp:extent cx="8453120" cy="6656705"/>
            <wp:effectExtent l="0" t="0" r="5080" b="10795"/>
            <wp:docPr id="7"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true"/>
                    </pic:cNvPicPr>
                  </pic:nvPicPr>
                  <pic:blipFill>
                    <a:blip r:embed="rId7"/>
                    <a:stretch>
                      <a:fillRect/>
                    </a:stretch>
                  </pic:blipFill>
                  <pic:spPr>
                    <a:xfrm>
                      <a:off x="0" y="0"/>
                      <a:ext cx="8453120" cy="6656705"/>
                    </a:xfrm>
                    <a:prstGeom prst="rect">
                      <a:avLst/>
                    </a:prstGeom>
                    <a:noFill/>
                    <a:ln>
                      <a:noFill/>
                    </a:ln>
                  </pic:spPr>
                </pic:pic>
              </a:graphicData>
            </a:graphic>
          </wp:inline>
        </w:drawing>
      </w:r>
      <w:r>
        <w:drawing>
          <wp:inline distT="0" distB="0" distL="114300" distR="114300">
            <wp:extent cx="8566150" cy="4946650"/>
            <wp:effectExtent l="0" t="0" r="6350" b="6350"/>
            <wp:docPr id="9"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true"/>
                    </pic:cNvPicPr>
                  </pic:nvPicPr>
                  <pic:blipFill>
                    <a:blip r:embed="rId8"/>
                    <a:stretch>
                      <a:fillRect/>
                    </a:stretch>
                  </pic:blipFill>
                  <pic:spPr>
                    <a:xfrm>
                      <a:off x="0" y="0"/>
                      <a:ext cx="8566150" cy="4946650"/>
                    </a:xfrm>
                    <a:prstGeom prst="rect">
                      <a:avLst/>
                    </a:prstGeom>
                    <a:noFill/>
                    <a:ln>
                      <a:noFill/>
                    </a:ln>
                  </pic:spPr>
                </pic:pic>
              </a:graphicData>
            </a:graphic>
          </wp:inline>
        </w:drawing>
      </w:r>
      <w:r>
        <w:drawing>
          <wp:inline distT="0" distB="0" distL="114300" distR="114300">
            <wp:extent cx="9776460" cy="6128385"/>
            <wp:effectExtent l="0" t="0" r="2540" b="5715"/>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9"/>
                    <a:stretch>
                      <a:fillRect/>
                    </a:stretch>
                  </pic:blipFill>
                  <pic:spPr>
                    <a:xfrm>
                      <a:off x="0" y="0"/>
                      <a:ext cx="9776460" cy="6128385"/>
                    </a:xfrm>
                    <a:prstGeom prst="rect">
                      <a:avLst/>
                    </a:prstGeom>
                    <a:noFill/>
                    <a:ln>
                      <a:noFill/>
                    </a:ln>
                  </pic:spPr>
                </pic:pic>
              </a:graphicData>
            </a:graphic>
          </wp:inline>
        </w:drawing>
      </w: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bookmarkEnd w:id="1"/>
    <w:p>
      <w:pPr>
        <w:widowControl/>
        <w:jc w:val="left"/>
        <w:rPr>
          <w:rFonts w:ascii="Times New Roman" w:hAnsi="Times New Roman" w:eastAsia="仿宋_GB2312" w:cs="Times New Roman"/>
          <w:bCs/>
          <w:kern w:val="0"/>
          <w:szCs w:val="21"/>
        </w:rPr>
      </w:pPr>
    </w:p>
    <w:tbl>
      <w:tblPr>
        <w:tblStyle w:val="7"/>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left"/>
              <w:rPr>
                <w:rFonts w:hint="eastAsia" w:ascii="华文中宋" w:hAnsi="华文中宋" w:eastAsia="华文中宋" w:cs="华文中宋"/>
                <w:i w:val="0"/>
                <w:color w:val="000000"/>
                <w:kern w:val="0"/>
                <w:sz w:val="32"/>
                <w:szCs w:val="32"/>
                <w:u w:val="none"/>
                <w:lang w:val="en-US" w:eastAsia="zh-CN"/>
              </w:rPr>
            </w:pPr>
            <w:r>
              <w:br w:type="page"/>
            </w: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部门：湖南省种子质量检测中心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5"/>
                <w:lang w:val="en-US" w:eastAsia="zh-CN"/>
              </w:rPr>
              <w:t xml:space="preserve">   </w:t>
            </w:r>
            <w:r>
              <w:rPr>
                <w:rStyle w:val="16"/>
                <w:lang w:val="en-US" w:eastAsia="zh-CN"/>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7"/>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部门：湖南省种子质量检测中心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7"/>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7"/>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部门：湖南省种子质量检测中心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jc w:val="center"/>
        <w:rPr>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700.82</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7.30</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1.03</w:t>
      </w:r>
      <w:r>
        <w:rPr>
          <w:rFonts w:hint="eastAsia" w:ascii="Times New Roman" w:hAnsi="Times New Roman" w:eastAsia="仿宋_GB2312"/>
          <w:sz w:val="32"/>
          <w:szCs w:val="32"/>
        </w:rPr>
        <w:t>%，主要是因</w:t>
      </w:r>
      <w:r>
        <w:rPr>
          <w:rFonts w:hint="eastAsia" w:ascii="Times New Roman" w:hAnsi="Times New Roman" w:eastAsia="仿宋_GB2312"/>
          <w:sz w:val="32"/>
          <w:szCs w:val="32"/>
          <w:lang w:val="en-US" w:eastAsia="zh-CN"/>
        </w:rPr>
        <w:t>为上年结转结余减少。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637.99</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637.99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453.19</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241.36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53.26</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211.83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46.74</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700.62</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2.30</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0.33</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年中追加绩效奖金。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452.99</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99.96</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127.23</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21.93</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项目跨年实施，政府采购项目未完成，导致项目支出减少。</w:t>
      </w:r>
    </w:p>
    <w:p>
      <w:pPr>
        <w:pStyle w:val="12"/>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452.99</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12.80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2.83</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423.39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93.47</w:t>
      </w:r>
      <w:r>
        <w:rPr>
          <w:rFonts w:hint="eastAsia" w:ascii="Times New Roman" w:hAnsi="Times New Roman" w:eastAsia="仿宋_GB2312"/>
          <w:sz w:val="32"/>
          <w:szCs w:val="32"/>
        </w:rPr>
        <w:t>%;住房保障（类）支出</w:t>
      </w:r>
      <w:r>
        <w:rPr>
          <w:rFonts w:hint="eastAsia" w:ascii="Times New Roman" w:hAnsi="Times New Roman" w:eastAsia="仿宋_GB2312"/>
          <w:sz w:val="32"/>
          <w:szCs w:val="32"/>
          <w:lang w:val="en-US" w:eastAsia="zh-CN"/>
        </w:rPr>
        <w:t>16.80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3.71</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658.74</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452.99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68.76</w:t>
      </w:r>
      <w:r>
        <w:rPr>
          <w:rFonts w:hint="eastAsia" w:ascii="Times New Roman" w:hAnsi="Times New Roman" w:eastAsia="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12.80</w:t>
      </w:r>
      <w:r>
        <w:rPr>
          <w:rFonts w:hint="eastAsia" w:ascii="Times New Roman" w:hAnsi="Times New Roman" w:eastAsia="仿宋_GB2312"/>
          <w:sz w:val="32"/>
          <w:szCs w:val="32"/>
        </w:rPr>
        <w:t>万元，支出决算</w:t>
      </w:r>
      <w:r>
        <w:rPr>
          <w:rFonts w:hint="eastAsia" w:ascii="Times New Roman" w:hAnsi="Times New Roman" w:eastAsia="仿宋_GB2312"/>
          <w:sz w:val="32"/>
          <w:szCs w:val="32"/>
          <w:lang w:val="en-US" w:eastAsia="zh-CN"/>
        </w:rPr>
        <w:t>12.80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2、农林水（类）农业农村（款）</w:t>
      </w:r>
      <w:r>
        <w:rPr>
          <w:rFonts w:hint="eastAsia" w:ascii="Times New Roman" w:hAnsi="Times New Roman" w:eastAsia="仿宋_GB2312"/>
          <w:sz w:val="32"/>
          <w:szCs w:val="32"/>
          <w:lang w:val="en-US" w:eastAsia="zh-CN"/>
        </w:rPr>
        <w:t>行政</w:t>
      </w:r>
      <w:r>
        <w:rPr>
          <w:rFonts w:hint="eastAsia" w:ascii="Times New Roman" w:hAnsi="Times New Roman" w:eastAsia="仿宋_GB2312"/>
          <w:sz w:val="32"/>
          <w:szCs w:val="32"/>
        </w:rPr>
        <w:t>运行（项）。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5.53</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年中追加人员经费。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w:t>
      </w:r>
      <w:r>
        <w:rPr>
          <w:rFonts w:hint="eastAsia" w:ascii="Times New Roman" w:hAnsi="Times New Roman" w:eastAsia="仿宋_GB2312"/>
          <w:sz w:val="32"/>
          <w:szCs w:val="32"/>
          <w:lang w:val="en-US" w:eastAsia="zh-CN"/>
        </w:rPr>
        <w:t>机关服务</w:t>
      </w:r>
      <w:r>
        <w:rPr>
          <w:rFonts w:hint="eastAsia" w:ascii="Times New Roman" w:hAnsi="Times New Roman" w:eastAsia="仿宋_GB2312"/>
          <w:sz w:val="32"/>
          <w:szCs w:val="32"/>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20.90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20.40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97.60</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公务接待费未使用形成结余。</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农林水（类）农业农村（款）事业运行（项）。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215.31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185.83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86.30</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绩效工资跨年发放。</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default" w:ascii="Times New Roman" w:hAnsi="Times New Roman" w:eastAsia="仿宋_GB2312"/>
          <w:sz w:val="32"/>
          <w:szCs w:val="32"/>
          <w:lang w:val="en" w:eastAsia="zh-CN"/>
        </w:rPr>
        <w:t>5</w:t>
      </w:r>
      <w:r>
        <w:rPr>
          <w:rFonts w:hint="eastAsia" w:ascii="Times New Roman" w:hAnsi="Times New Roman" w:eastAsia="仿宋_GB2312"/>
          <w:sz w:val="32"/>
          <w:szCs w:val="32"/>
        </w:rPr>
        <w:t>、农林水（类）农业农村（款）科技转化与推广服务（项）。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41.00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default" w:ascii="Times New Roman" w:hAnsi="Times New Roman" w:eastAsia="仿宋_GB2312"/>
          <w:sz w:val="32"/>
          <w:szCs w:val="32"/>
          <w:lang w:val="en" w:eastAsia="zh-CN"/>
        </w:rPr>
        <w:t>6</w:t>
      </w:r>
      <w:r>
        <w:rPr>
          <w:rFonts w:hint="eastAsia" w:ascii="Times New Roman" w:hAnsi="Times New Roman" w:eastAsia="仿宋_GB2312"/>
          <w:sz w:val="32"/>
          <w:szCs w:val="32"/>
        </w:rPr>
        <w:t>、农林水（类）农业农村（款）农产品质量安全（项）。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20.00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年中追加项目资金。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default" w:ascii="Times New Roman" w:hAnsi="Times New Roman" w:eastAsia="仿宋_GB2312"/>
          <w:sz w:val="32"/>
          <w:szCs w:val="32"/>
          <w:lang w:val="en" w:eastAsia="zh-CN"/>
        </w:rPr>
        <w:t>7</w:t>
      </w:r>
      <w:r>
        <w:rPr>
          <w:rFonts w:hint="eastAsia" w:ascii="Times New Roman" w:hAnsi="Times New Roman" w:eastAsia="仿宋_GB2312"/>
          <w:sz w:val="32"/>
          <w:szCs w:val="32"/>
        </w:rPr>
        <w:t>、农林水（类）农业农村（款）执法监管（项）。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340.63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140.63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41.28</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项目跨年实施，政府采购项目未完成。</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default" w:ascii="Times New Roman" w:hAnsi="Times New Roman" w:eastAsia="仿宋_GB2312"/>
          <w:sz w:val="32"/>
          <w:szCs w:val="32"/>
          <w:lang w:val="en" w:eastAsia="zh-CN"/>
        </w:rPr>
        <w:t>8</w:t>
      </w:r>
      <w:r>
        <w:rPr>
          <w:rFonts w:hint="eastAsia" w:ascii="Times New Roman" w:hAnsi="Times New Roman" w:eastAsia="仿宋_GB2312"/>
          <w:sz w:val="32"/>
          <w:szCs w:val="32"/>
        </w:rPr>
        <w:t>、农林水（类）农业农村（款）农业生产发展（项）。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default" w:ascii="Times New Roman" w:hAnsi="Times New Roman" w:eastAsia="仿宋_GB2312"/>
          <w:sz w:val="32"/>
          <w:szCs w:val="32"/>
          <w:lang w:val="en" w:eastAsia="zh-CN"/>
        </w:rPr>
        <w:t>9</w:t>
      </w:r>
      <w:r>
        <w:rPr>
          <w:rFonts w:hint="eastAsia" w:ascii="Times New Roman" w:hAnsi="Times New Roman" w:eastAsia="仿宋_GB2312"/>
          <w:sz w:val="32"/>
          <w:szCs w:val="32"/>
        </w:rPr>
        <w:t>、住房保障（类）住房改革支出（款）住房公积金（项）。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18.10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16.80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92.81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人员支出执行中与年初测算有一定差异。</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241.36</w:t>
      </w:r>
      <w:r>
        <w:rPr>
          <w:rFonts w:hint="eastAsia" w:ascii="Times New Roman" w:hAnsi="Times New Roman" w:eastAsia="仿宋_GB2312"/>
          <w:sz w:val="32"/>
          <w:szCs w:val="32"/>
        </w:rPr>
        <w:t>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220.96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91.55</w:t>
      </w:r>
      <w:r>
        <w:rPr>
          <w:rFonts w:hint="eastAsia" w:ascii="Times New Roman" w:hAnsi="Times New Roman" w:eastAsia="仿宋_GB2312"/>
          <w:sz w:val="32"/>
          <w:szCs w:val="32"/>
        </w:rPr>
        <w:t>%,主要包括基本工资、津贴补贴、伙食补助费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绩效工资</w:t>
      </w:r>
      <w:r>
        <w:rPr>
          <w:rFonts w:hint="eastAsia" w:ascii="Times New Roman" w:hAnsi="Times New Roman" w:eastAsia="仿宋_GB2312"/>
          <w:sz w:val="32"/>
          <w:szCs w:val="32"/>
          <w:lang w:eastAsia="zh-CN"/>
        </w:rPr>
        <w:t>、机关事业单位基本养老保险缴费、职工基本医疗保险缴费、其他社会保障缴费、住房公积金、抚恤金、生活补助、奖励金</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20.40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8.45</w:t>
      </w:r>
      <w:r>
        <w:rPr>
          <w:rFonts w:hint="eastAsia" w:ascii="Times New Roman" w:hAnsi="Times New Roman" w:eastAsia="仿宋_GB2312"/>
          <w:sz w:val="32"/>
          <w:szCs w:val="32"/>
        </w:rPr>
        <w:t>%，主要包括办公费、印刷费、咨询费、</w:t>
      </w:r>
      <w:r>
        <w:rPr>
          <w:rFonts w:hint="eastAsia" w:ascii="Times New Roman" w:hAnsi="Times New Roman" w:eastAsia="仿宋_GB2312"/>
          <w:sz w:val="32"/>
          <w:szCs w:val="32"/>
          <w:lang w:val="en-US" w:eastAsia="zh-CN"/>
        </w:rPr>
        <w:t>电费、邮电费、差旅费、工会经费、福利费、其他交通费用等</w:t>
      </w:r>
      <w:r>
        <w:rPr>
          <w:rFonts w:hint="eastAsia" w:ascii="Times New Roman" w:hAnsi="Times New Roman" w:eastAsia="仿宋_GB2312"/>
          <w:sz w:val="32"/>
          <w:szCs w:val="32"/>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numPr>
          <w:numId w:val="0"/>
        </w:numPr>
        <w:kinsoku/>
        <w:wordWrap/>
        <w:overflowPunct/>
        <w:topLinePunct w:val="0"/>
        <w:bidi w:val="0"/>
        <w:snapToGrid/>
        <w:spacing w:line="600" w:lineRule="exact"/>
        <w:ind w:firstLine="480" w:firstLineChars="150"/>
        <w:textAlignment w:val="auto"/>
        <w:rPr>
          <w:rFonts w:hint="eastAsia" w:ascii="楷体" w:hAnsi="楷体" w:eastAsia="楷体" w:cs="楷体"/>
          <w:b/>
          <w:bCs w:val="0"/>
          <w:sz w:val="32"/>
          <w:szCs w:val="32"/>
        </w:rPr>
      </w:pPr>
      <w:bookmarkStart w:id="2" w:name="_GoBack"/>
      <w:bookmarkEnd w:id="2"/>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严控公务接待费支出，本年未安排公务接待</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val="en-US" w:eastAsia="zh-CN"/>
        </w:rPr>
        <w:t>严控公务接待费支出，本年未安排公务接待</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本</w:t>
      </w:r>
      <w:r>
        <w:rPr>
          <w:rFonts w:hint="eastAsia" w:ascii="Times New Roman" w:hAnsi="Times New Roman" w:eastAsia="仿宋_GB2312"/>
          <w:sz w:val="32"/>
          <w:szCs w:val="32"/>
        </w:rPr>
        <w:t>单位更新公务用车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2"/>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stheme="minorBidi"/>
          <w:color w:val="auto"/>
          <w:kern w:val="2"/>
          <w:sz w:val="32"/>
          <w:szCs w:val="32"/>
          <w:lang w:val="en-US" w:eastAsia="zh-CN" w:bidi="ar-SA"/>
        </w:rPr>
        <w:t>本单位无政府性基金收支。</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0.26</w:t>
      </w:r>
      <w:r>
        <w:rPr>
          <w:rFonts w:hint="eastAsia" w:ascii="Times New Roman" w:hAnsi="Times New Roman" w:eastAsia="仿宋_GB2312"/>
          <w:sz w:val="32"/>
          <w:szCs w:val="32"/>
        </w:rPr>
        <w:t>万元，用于开展</w:t>
      </w:r>
      <w:r>
        <w:rPr>
          <w:rFonts w:hint="eastAsia" w:ascii="Times New Roman" w:hAnsi="Times New Roman" w:eastAsia="仿宋_GB2312"/>
          <w:sz w:val="32"/>
          <w:szCs w:val="32"/>
          <w:lang w:val="en-US" w:eastAsia="zh-CN"/>
        </w:rPr>
        <w:t>事业单位人员</w:t>
      </w:r>
      <w:r>
        <w:rPr>
          <w:rFonts w:hint="eastAsia" w:ascii="Times New Roman" w:hAnsi="Times New Roman" w:eastAsia="仿宋_GB2312"/>
          <w:sz w:val="32"/>
          <w:szCs w:val="32"/>
        </w:rPr>
        <w:t>培训，人数</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事业单位人员培训</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13.35</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10.25</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3.10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13.35</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13.35</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我单位2022年人员经费预算数268.09万元，决算数220.96万元，公用经费数20.90万元，决算数20.40万元，均控制在预算范围内。</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均控制在</w:t>
      </w:r>
      <w:r>
        <w:rPr>
          <w:rFonts w:hint="eastAsia" w:ascii="Times New Roman" w:hAnsi="Times New Roman" w:eastAsia="仿宋_GB2312"/>
          <w:color w:val="auto"/>
          <w:sz w:val="32"/>
          <w:szCs w:val="32"/>
          <w:lang w:val="en-US" w:eastAsia="zh-CN"/>
        </w:rPr>
        <w:t>预算范围内。</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会议费预算0万元，培训费预算5万元，决算0.26万元，均控制在预算范围内。</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numPr>
          <w:ilvl w:val="0"/>
          <w:numId w:val="0"/>
        </w:numPr>
        <w:adjustRightInd w:val="0"/>
        <w:snapToGrid w:val="0"/>
        <w:spacing w:line="600" w:lineRule="exact"/>
        <w:ind w:left="630" w:leftChars="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一是加强思想政治学习，全面落实党风廉政建设要求</w:t>
      </w:r>
    </w:p>
    <w:p>
      <w:pPr>
        <w:adjustRightInd w:val="0"/>
        <w:snapToGrid w:val="0"/>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中心认真学习习近平总书记关于加强党的建设系列重要讲话精神，以高度的政治自觉和行动自觉，严格落实党内政治生活，持续深入开展党史学习教育活动，认真组织收看收听和学习习近平在中国共产党第二十次全国代表大会报告，扎扎实实学习了《党的二十大报告学习辅导百问》、《二十大党章修正案学习问答》、《党的二十大文件汇编》、《党的二十大精神应知应会300题》，认真学习习近平总书记论“三农”工作和“谈治国理政”第四卷。二是强化安全生产工作，确保全年平安建设无虞。三是落实意识形态责任，确保中心阵地正常化。</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p>
    <w:p>
      <w:pPr>
        <w:spacing w:line="640" w:lineRule="exact"/>
        <w:ind w:firstLine="640" w:firstLineChars="200"/>
        <w:rPr>
          <w:rFonts w:hint="eastAsia" w:ascii="仿宋" w:hAnsi="仿宋" w:eastAsia="仿宋"/>
          <w:bCs/>
          <w:sz w:val="32"/>
          <w:szCs w:val="32"/>
        </w:rPr>
      </w:pPr>
      <w:r>
        <w:rPr>
          <w:rFonts w:hint="eastAsia" w:ascii="仿宋" w:hAnsi="仿宋" w:eastAsia="仿宋"/>
          <w:bCs/>
          <w:sz w:val="32"/>
          <w:szCs w:val="32"/>
        </w:rPr>
        <w:t>2022年，我中心按照《湖南省农业农业村办公室关于印发&lt;2022-2023年湖南省种业市场监管工作方案&gt;的通知》（湘农办发〔2022〕10号）的要求开展种子质量检验检测，全力以赴做好本职范围的工作。</w:t>
      </w:r>
    </w:p>
    <w:p>
      <w:pPr>
        <w:spacing w:line="640" w:lineRule="exact"/>
        <w:ind w:firstLine="640" w:firstLineChars="200"/>
        <w:rPr>
          <w:rFonts w:ascii="仿宋" w:hAnsi="仿宋" w:eastAsia="仿宋"/>
          <w:bCs/>
          <w:sz w:val="32"/>
          <w:szCs w:val="32"/>
        </w:rPr>
      </w:pPr>
      <w:r>
        <w:rPr>
          <w:rFonts w:hint="eastAsia" w:ascii="仿宋" w:hAnsi="仿宋" w:eastAsia="仿宋"/>
          <w:sz w:val="32"/>
          <w:szCs w:val="32"/>
          <w:lang w:eastAsia="zh-CN"/>
        </w:rPr>
        <w:t>（</w:t>
      </w:r>
      <w:r>
        <w:rPr>
          <w:rFonts w:hint="eastAsia" w:ascii="仿宋" w:hAnsi="仿宋" w:eastAsia="仿宋"/>
          <w:bCs/>
          <w:sz w:val="32"/>
          <w:szCs w:val="32"/>
        </w:rPr>
        <w:t>1</w:t>
      </w:r>
      <w:r>
        <w:rPr>
          <w:rFonts w:hint="eastAsia" w:ascii="仿宋" w:hAnsi="仿宋" w:eastAsia="仿宋"/>
          <w:bCs/>
          <w:sz w:val="32"/>
          <w:szCs w:val="32"/>
          <w:lang w:eastAsia="zh-CN"/>
        </w:rPr>
        <w:t>）</w:t>
      </w:r>
      <w:r>
        <w:rPr>
          <w:rFonts w:hint="eastAsia" w:ascii="仿宋" w:hAnsi="仿宋" w:eastAsia="仿宋"/>
          <w:bCs/>
          <w:sz w:val="32"/>
          <w:szCs w:val="32"/>
        </w:rPr>
        <w:t>完成了</w:t>
      </w:r>
      <w:r>
        <w:rPr>
          <w:rFonts w:ascii="仿宋" w:hAnsi="仿宋" w:eastAsia="仿宋"/>
          <w:bCs/>
          <w:sz w:val="32"/>
          <w:szCs w:val="32"/>
        </w:rPr>
        <w:t>20</w:t>
      </w:r>
      <w:r>
        <w:rPr>
          <w:rFonts w:hint="eastAsia" w:ascii="仿宋" w:hAnsi="仿宋" w:eastAsia="仿宋"/>
          <w:bCs/>
          <w:sz w:val="32"/>
          <w:szCs w:val="32"/>
        </w:rPr>
        <w:t>21-2022年度海南纯度种植鉴定工作</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2022年1月-5月完成定期检验海南种植鉴定样品673个(其中508个杂交水稻种子样品、134个亲本种子和常规水稻种子样品、8个玉米种子样品）。水稻品种纯度比对种子样品23个。</w:t>
      </w:r>
    </w:p>
    <w:p>
      <w:pPr>
        <w:spacing w:line="640" w:lineRule="exact"/>
        <w:ind w:firstLine="640" w:firstLineChars="200"/>
        <w:rPr>
          <w:rFonts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2</w:t>
      </w:r>
      <w:r>
        <w:rPr>
          <w:rFonts w:hint="eastAsia" w:ascii="仿宋" w:hAnsi="仿宋" w:eastAsia="仿宋"/>
          <w:bCs/>
          <w:sz w:val="32"/>
          <w:szCs w:val="32"/>
          <w:lang w:eastAsia="zh-CN"/>
        </w:rPr>
        <w:t>）</w:t>
      </w:r>
      <w:r>
        <w:rPr>
          <w:rFonts w:hint="eastAsia" w:ascii="仿宋" w:hAnsi="仿宋" w:eastAsia="仿宋"/>
          <w:sz w:val="32"/>
          <w:szCs w:val="32"/>
        </w:rPr>
        <w:t>完成了2021年冬季农作物种子企业监督抽查有关工作</w:t>
      </w:r>
    </w:p>
    <w:p>
      <w:pPr>
        <w:adjustRightInd w:val="0"/>
        <w:snapToGri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做好2021年冬季农作物种子企业监督抽查种子检验工作，共完成全省46家企业的306个样品的抽样，其中水稻299个，玉米4个，棉花3个； 完成了184个样品发芽率和品种纯度检测、303个样品真实性、转基因成分检测和送检工作，发芽率、品种纯度检测、和转基因成分检测结果全部合格。9月23日完成了9个种子样品的品种真实性田间种植鉴定复验工作，所有样品的检验结果都已上报省种子管理服务站。</w:t>
      </w:r>
    </w:p>
    <w:p>
      <w:pPr>
        <w:widowControl/>
        <w:spacing w:line="640" w:lineRule="exact"/>
        <w:ind w:firstLine="640" w:firstLineChars="200"/>
        <w:jc w:val="left"/>
        <w:rPr>
          <w:rFonts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3</w:t>
      </w:r>
      <w:r>
        <w:rPr>
          <w:rFonts w:hint="eastAsia" w:ascii="仿宋" w:hAnsi="仿宋" w:eastAsia="仿宋"/>
          <w:bCs/>
          <w:sz w:val="32"/>
          <w:szCs w:val="32"/>
          <w:lang w:eastAsia="zh-CN"/>
        </w:rPr>
        <w:t>）</w:t>
      </w:r>
      <w:r>
        <w:rPr>
          <w:rFonts w:hint="eastAsia" w:ascii="仿宋" w:hAnsi="仿宋" w:eastAsia="仿宋"/>
          <w:sz w:val="32"/>
          <w:szCs w:val="32"/>
        </w:rPr>
        <w:t>做好了2021年秋季种子市场抽查的油菜纯度种植鉴定工作</w:t>
      </w:r>
    </w:p>
    <w:p>
      <w:pPr>
        <w:spacing w:line="640" w:lineRule="exact"/>
        <w:ind w:firstLine="640" w:firstLineChars="200"/>
        <w:rPr>
          <w:rFonts w:ascii="仿宋" w:hAnsi="仿宋" w:eastAsia="仿宋"/>
          <w:sz w:val="32"/>
          <w:szCs w:val="32"/>
        </w:rPr>
      </w:pPr>
      <w:r>
        <w:rPr>
          <w:rFonts w:hint="eastAsia" w:ascii="仿宋" w:hAnsi="仿宋" w:eastAsia="仿宋"/>
          <w:sz w:val="32"/>
          <w:szCs w:val="32"/>
        </w:rPr>
        <w:t>按照《湖南省种子管理服务站关于做好2021年秋季农作物种子市场专项检查工作的通知》的要求，完成了秋季种子企业油菜抽查样品43个，种子市场抽查161个油菜样品田间纯度种植鉴定。结果已通知企业并上报给省种子管理服务站。</w:t>
      </w:r>
    </w:p>
    <w:p>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4</w:t>
      </w:r>
      <w:r>
        <w:rPr>
          <w:rFonts w:hint="eastAsia" w:ascii="仿宋" w:hAnsi="仿宋" w:eastAsia="仿宋"/>
          <w:bCs/>
          <w:sz w:val="32"/>
          <w:szCs w:val="32"/>
          <w:lang w:eastAsia="zh-CN"/>
        </w:rPr>
        <w:t>）</w:t>
      </w:r>
      <w:r>
        <w:rPr>
          <w:rFonts w:hint="eastAsia" w:ascii="仿宋" w:hAnsi="仿宋" w:eastAsia="仿宋"/>
          <w:sz w:val="32"/>
          <w:szCs w:val="32"/>
        </w:rPr>
        <w:t>完成了2022年国家和省级救灾备荒种子纯度检测任务</w:t>
      </w:r>
    </w:p>
    <w:p>
      <w:pPr>
        <w:spacing w:line="640" w:lineRule="exact"/>
        <w:ind w:firstLine="640" w:firstLineChars="200"/>
        <w:rPr>
          <w:rFonts w:ascii="仿宋" w:hAnsi="仿宋" w:eastAsia="仿宋"/>
          <w:sz w:val="32"/>
          <w:szCs w:val="32"/>
        </w:rPr>
      </w:pPr>
      <w:r>
        <w:rPr>
          <w:rFonts w:hint="eastAsia" w:ascii="仿宋" w:hAnsi="仿宋" w:eastAsia="仿宋"/>
          <w:sz w:val="32"/>
          <w:szCs w:val="32"/>
        </w:rPr>
        <w:t>根据《农业农村部办公厅关于落实2022年国家救灾备荒种子储备任务的通知》的要求和种业管理处的安排，中心完成了袁隆平农业高科技股份有限公司等2022年国家备荒种子、省级救灾备荒种子、补繁种子206个样品的纯度鉴定和结果上报。按照湖南省农业农村厅办公室《关于开展2022年度国家、省级救灾备荒储备种子中期检查的通知》要求，中心完成了湖南奥谱隆科技股份有限公司等5家企业128个国家备荒种子样品的抽样和检测，及时将结果报送种业管理处。</w:t>
      </w:r>
    </w:p>
    <w:p>
      <w:pPr>
        <w:spacing w:line="640" w:lineRule="exact"/>
        <w:ind w:firstLine="640" w:firstLineChars="200"/>
        <w:rPr>
          <w:rFonts w:hint="eastAsia" w:ascii="仿宋" w:hAnsi="仿宋" w:eastAsia="仿宋"/>
          <w:bCs/>
          <w:sz w:val="32"/>
          <w:szCs w:val="32"/>
        </w:rPr>
      </w:pPr>
      <w:r>
        <w:rPr>
          <w:rFonts w:hint="eastAsia" w:ascii="仿宋" w:hAnsi="仿宋" w:eastAsia="仿宋"/>
          <w:sz w:val="32"/>
          <w:szCs w:val="32"/>
          <w:lang w:eastAsia="zh-CN"/>
        </w:rPr>
        <w:t>（</w:t>
      </w:r>
      <w:r>
        <w:rPr>
          <w:rFonts w:hint="eastAsia" w:ascii="仿宋" w:hAnsi="仿宋" w:eastAsia="仿宋"/>
          <w:bCs/>
          <w:sz w:val="32"/>
          <w:szCs w:val="32"/>
        </w:rPr>
        <w:t>5</w:t>
      </w:r>
      <w:r>
        <w:rPr>
          <w:rFonts w:hint="eastAsia" w:ascii="仿宋" w:hAnsi="仿宋" w:eastAsia="仿宋"/>
          <w:bCs/>
          <w:sz w:val="32"/>
          <w:szCs w:val="32"/>
          <w:lang w:eastAsia="zh-CN"/>
        </w:rPr>
        <w:t>）</w:t>
      </w:r>
      <w:r>
        <w:rPr>
          <w:rFonts w:hint="eastAsia" w:ascii="仿宋" w:hAnsi="仿宋" w:eastAsia="仿宋"/>
          <w:bCs/>
          <w:sz w:val="32"/>
          <w:szCs w:val="32"/>
        </w:rPr>
        <w:t>完成试验环节样品检测</w:t>
      </w:r>
    </w:p>
    <w:p>
      <w:pPr>
        <w:ind w:firstLine="640" w:firstLineChars="200"/>
        <w:rPr>
          <w:rFonts w:hint="eastAsia" w:ascii="仿宋" w:hAnsi="仿宋" w:eastAsia="仿宋"/>
          <w:color w:val="000000"/>
          <w:sz w:val="32"/>
          <w:szCs w:val="32"/>
        </w:rPr>
      </w:pPr>
      <w:r>
        <w:rPr>
          <w:rFonts w:hint="eastAsia" w:ascii="仿宋" w:hAnsi="仿宋" w:eastAsia="仿宋"/>
          <w:sz w:val="32"/>
          <w:szCs w:val="32"/>
        </w:rPr>
        <w:t>按照《湖南省农业农村厅关于印发&lt;湖南省2022年农作物种子市场监管方案&gt;的通知》要求和站里的安排，中心安排了大豆17个转基因检测，玉米19个和110个水稻品种真实性和转基因检测工作。4个水稻品种、</w:t>
      </w:r>
      <w:r>
        <w:rPr>
          <w:rFonts w:hint="eastAsia" w:ascii="仿宋" w:hAnsi="仿宋" w:eastAsia="仿宋"/>
          <w:color w:val="000000"/>
          <w:sz w:val="32"/>
          <w:szCs w:val="32"/>
        </w:rPr>
        <w:t>1个玉米品种</w:t>
      </w:r>
      <w:r>
        <w:rPr>
          <w:rFonts w:hint="eastAsia" w:ascii="仿宋" w:hAnsi="仿宋" w:eastAsia="仿宋"/>
          <w:sz w:val="32"/>
          <w:szCs w:val="32"/>
        </w:rPr>
        <w:t>DNA与已知品种差异位点＜2，对5个品种作出取消试验处理。完成了潇湘、湘种两个联合体试验的112个水稻转基因、128个水稻品种真实性的检测。</w:t>
      </w:r>
    </w:p>
    <w:p>
      <w:pPr>
        <w:spacing w:line="600" w:lineRule="exact"/>
        <w:ind w:firstLine="640" w:firstLineChars="200"/>
        <w:rPr>
          <w:rFonts w:ascii="仿宋" w:hAnsi="仿宋" w:eastAsia="仿宋"/>
          <w:sz w:val="30"/>
          <w:szCs w:val="30"/>
        </w:rPr>
      </w:pPr>
      <w:r>
        <w:rPr>
          <w:rFonts w:hint="eastAsia" w:ascii="仿宋" w:hAnsi="仿宋" w:eastAsia="仿宋"/>
          <w:sz w:val="32"/>
          <w:szCs w:val="32"/>
          <w:lang w:eastAsia="zh-CN"/>
        </w:rPr>
        <w:t>（</w:t>
      </w:r>
      <w:r>
        <w:rPr>
          <w:rFonts w:hint="eastAsia" w:ascii="仿宋" w:hAnsi="仿宋" w:eastAsia="仿宋"/>
          <w:sz w:val="32"/>
          <w:szCs w:val="32"/>
        </w:rPr>
        <w:t>6</w:t>
      </w:r>
      <w:r>
        <w:rPr>
          <w:rFonts w:hint="eastAsia" w:ascii="仿宋" w:hAnsi="仿宋" w:eastAsia="仿宋"/>
          <w:bCs/>
          <w:sz w:val="32"/>
          <w:szCs w:val="32"/>
          <w:lang w:eastAsia="zh-CN"/>
        </w:rPr>
        <w:t>）</w:t>
      </w:r>
      <w:r>
        <w:rPr>
          <w:rFonts w:hint="eastAsia" w:ascii="仿宋" w:hAnsi="仿宋" w:eastAsia="仿宋"/>
          <w:sz w:val="30"/>
          <w:szCs w:val="30"/>
        </w:rPr>
        <w:t>做好2022年省级</w:t>
      </w:r>
      <w:r>
        <w:rPr>
          <w:rFonts w:hint="eastAsia" w:ascii="仿宋" w:hAnsi="仿宋" w:eastAsia="仿宋"/>
          <w:sz w:val="32"/>
          <w:szCs w:val="32"/>
        </w:rPr>
        <w:t>农作物种子</w:t>
      </w:r>
      <w:r>
        <w:rPr>
          <w:rFonts w:hint="eastAsia" w:ascii="仿宋" w:hAnsi="仿宋" w:eastAsia="仿宋"/>
          <w:sz w:val="30"/>
          <w:szCs w:val="30"/>
        </w:rPr>
        <w:t>春季市场专项检查工作</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农业农村厅办公室《关于开展开展2022年春季农作物种子市场检查工作的通知&gt;》的文件要求，中心派员6人完成了我省长沙市、湘潭市、怀化市、郴州市、永州市等五市省级春季种子市场专项检查，抽取了水稻种子样品28个、玉米种子样品11个、大豆种子样品1个，已完成全部样品的发芽率、转基因成分检测、品种真实性鉴定和品种纯度种植鉴定，除1个水稻品种纯度不合格外，其余样品的检测结果全部合格，结果已上报省种子管理服务站。</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7</w:t>
      </w:r>
      <w:r>
        <w:rPr>
          <w:rFonts w:hint="eastAsia" w:ascii="仿宋" w:hAnsi="仿宋" w:eastAsia="仿宋"/>
          <w:bCs/>
          <w:sz w:val="32"/>
          <w:szCs w:val="32"/>
          <w:lang w:eastAsia="zh-CN"/>
        </w:rPr>
        <w:t>）</w:t>
      </w:r>
      <w:r>
        <w:rPr>
          <w:rFonts w:hint="eastAsia" w:ascii="仿宋" w:hAnsi="仿宋" w:eastAsia="仿宋"/>
          <w:sz w:val="32"/>
          <w:szCs w:val="32"/>
        </w:rPr>
        <w:t>完成了2022年主要农作物种子生产基地专项检查的相关工作</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按照湖南省种子管理服务站《2022年湖南省主要农作物种子生产基地专项检查实施方案》的要求，中心派员赴攸县、零陵区、溆浦县、靖州县、绥宁县、武冈市六个国家级水稻制种基地县开展了水稻转基因试纸条快速检测和相关检查，圆满完成了工作任务。</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8</w:t>
      </w:r>
      <w:r>
        <w:rPr>
          <w:rFonts w:hint="eastAsia" w:ascii="仿宋" w:hAnsi="仿宋" w:eastAsia="仿宋"/>
          <w:bCs/>
          <w:sz w:val="32"/>
          <w:szCs w:val="32"/>
          <w:lang w:eastAsia="zh-CN"/>
        </w:rPr>
        <w:t>）</w:t>
      </w:r>
      <w:r>
        <w:rPr>
          <w:rFonts w:hint="eastAsia" w:ascii="仿宋" w:hAnsi="仿宋" w:eastAsia="仿宋"/>
          <w:sz w:val="32"/>
          <w:szCs w:val="32"/>
        </w:rPr>
        <w:t>做好2022年湖南省秋季农作物种子市场专项检查</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按照《2022年湖南省秋季农作物种子市场专项检查实施方案》的要求，中心在全省14个地市州种子管理部门的样品中抽取了65个油菜样品开展转基因成分检测和品种纯度种植鉴定，65个样品的转基因成分检测结果合格，品种纯度种植鉴定正在基地种植。</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9</w:t>
      </w:r>
      <w:r>
        <w:rPr>
          <w:rFonts w:hint="eastAsia" w:ascii="仿宋" w:hAnsi="仿宋" w:eastAsia="仿宋"/>
          <w:sz w:val="32"/>
          <w:szCs w:val="32"/>
          <w:lang w:eastAsia="zh-CN"/>
        </w:rPr>
        <w:t>）</w:t>
      </w:r>
      <w:r>
        <w:rPr>
          <w:rFonts w:hint="eastAsia" w:ascii="仿宋" w:hAnsi="仿宋" w:eastAsia="仿宋"/>
          <w:sz w:val="32"/>
          <w:szCs w:val="32"/>
        </w:rPr>
        <w:t>做好2022年冬季农作物种子生产经营企业监督检查工作</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完成了2022年冬季农作物种子生产经营企业监督检查工作，共抽取42家种子企业的300个（水稻295个玉米5个）包装种子样品进行种子质量检测。</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p>
    <w:p>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按照湖南省种子管理服务站的《湖南省农作物种业统计工作核查工作方案》要求，中心的张家清带领第三核查组对郴州市桂阳县、资兴市两县市的杂交水稻制种面积进行核查。核查组采取“四不两直”方式下行到4个村查看、落实农户的实际制种面积及登记备案记录，检查有无实际制种面积，核实是否和年初所报数据相符，圆满完成核查工作。</w:t>
      </w:r>
    </w:p>
    <w:p>
      <w:pPr>
        <w:spacing w:line="60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按照湖南省农业农村厅《关于开展制种基地监管调研指导的通知》，中心派员参加了株洲市攸县、永州市零陵区和祁阳市、郴州市资兴市和桂阳县等县市区国家级、省级杂交水稻制种基地的监管调研，圆满完成任务，向厅种业管理处提交了调研报告。</w:t>
      </w:r>
    </w:p>
    <w:p>
      <w:pPr>
        <w:spacing w:line="60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lang w:val="en-US" w:eastAsia="zh-CN"/>
        </w:rPr>
        <w:t>按</w:t>
      </w:r>
      <w:r>
        <w:rPr>
          <w:rFonts w:hint="eastAsia" w:ascii="仿宋" w:hAnsi="仿宋" w:eastAsia="仿宋"/>
          <w:color w:val="000000"/>
          <w:sz w:val="30"/>
          <w:szCs w:val="30"/>
        </w:rPr>
        <w:t>照全国农技中心的安排，由我中心牵头起草全国农业标准《农作物品种纯度田间小区种植鉴定技术规范 油菜》已召开一次会议，工作组已完成该标准的初稿。</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p>
    <w:p>
      <w:pPr>
        <w:ind w:firstLine="640" w:firstLineChars="200"/>
        <w:rPr>
          <w:rFonts w:hint="eastAsia" w:ascii="仿宋" w:hAnsi="仿宋" w:eastAsia="仿宋" w:cs="仿宋"/>
          <w:sz w:val="32"/>
          <w:szCs w:val="32"/>
        </w:rPr>
      </w:pPr>
      <w:r>
        <w:rPr>
          <w:rFonts w:hint="eastAsia" w:ascii="仿宋" w:hAnsi="仿宋" w:eastAsia="仿宋"/>
          <w:sz w:val="32"/>
          <w:szCs w:val="32"/>
        </w:rPr>
        <w:t>长抓学习培训，确保能力持续保持</w:t>
      </w:r>
      <w:r>
        <w:rPr>
          <w:rFonts w:hint="eastAsia" w:ascii="仿宋" w:hAnsi="仿宋" w:eastAsia="仿宋"/>
          <w:sz w:val="32"/>
          <w:szCs w:val="32"/>
          <w:lang w:eastAsia="zh-CN"/>
        </w:rPr>
        <w:t>，</w:t>
      </w:r>
      <w:r>
        <w:rPr>
          <w:rFonts w:hint="eastAsia" w:ascii="仿宋" w:hAnsi="仿宋" w:eastAsia="仿宋"/>
          <w:sz w:val="32"/>
          <w:szCs w:val="32"/>
        </w:rPr>
        <w:t>中心全年年共组织学习五次，将上级的有关平安建设（综治工作）的文件及时传达每位干部职工。做好疫情防控相关工作；按要求参加各种安全生产培训讲座和培训，提升中心人员的安全生产和增强知识更新水平。在2022年全国“安全生产月”活动中，</w:t>
      </w:r>
      <w:r>
        <w:rPr>
          <w:rFonts w:hint="eastAsia" w:ascii="仿宋" w:hAnsi="仿宋" w:eastAsia="仿宋" w:cs="仿宋"/>
          <w:sz w:val="32"/>
          <w:szCs w:val="32"/>
        </w:rPr>
        <w:t>主办了一次种子管理服务站系统安全生产培训，</w:t>
      </w:r>
      <w:r>
        <w:rPr>
          <w:rFonts w:hint="eastAsia" w:ascii="仿宋" w:hAnsi="仿宋" w:eastAsia="仿宋"/>
          <w:sz w:val="32"/>
          <w:szCs w:val="32"/>
        </w:rPr>
        <w:t>邀请湖南省应急管理厅工贸处副处长卢斌荣专门讲授了《安全生产形势分析》</w:t>
      </w:r>
      <w:r>
        <w:rPr>
          <w:rFonts w:hint="eastAsia" w:ascii="仿宋" w:hAnsi="仿宋" w:eastAsia="仿宋" w:cs="仿宋"/>
          <w:sz w:val="32"/>
          <w:szCs w:val="32"/>
        </w:rPr>
        <w:t>，受到了站领导和站系统全体人员的肯定。</w:t>
      </w:r>
    </w:p>
    <w:p>
      <w:pPr>
        <w:pStyle w:val="12"/>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2"/>
        <w:keepNext w:val="0"/>
        <w:keepLines w:val="0"/>
        <w:pageBreakBefore w:val="0"/>
        <w:widowControl w:val="0"/>
        <w:numPr>
          <w:ilvl w:val="0"/>
          <w:numId w:val="0"/>
        </w:numPr>
        <w:kinsoku/>
        <w:wordWrap/>
        <w:overflowPunct/>
        <w:topLinePunct w:val="0"/>
        <w:bidi w:val="0"/>
        <w:snapToGrid/>
        <w:spacing w:line="600" w:lineRule="exact"/>
        <w:ind w:left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通过各项工作的开展，社会公众和服务对象满意度均在90%以上。</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我单位整体支出预算执行率有待提高，我单位2022年整体预算执行率为64.66%，其中基本执行预算执行率为83.52%，项目支出全预算执行率为64.66%，主要原因为一是因为人员经费中绩效工资跨年发放，二是项目跨年实施，政府采购工作未完成。</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下一步改进措施：一是通过定期对各项财政资金的执行情况进行梳理，督促项目早启动、早规划、早实施、早验收、早结算，二是完善单位的预算编制管理，定期对项目资金的预算执行情况进行分析，作为下年预算编制的重要依据，进一步提高我单位预算的执行率。</w:t>
      </w:r>
    </w:p>
    <w:p>
      <w:pPr>
        <w:pStyle w:val="12"/>
        <w:jc w:val="center"/>
        <w:rPr>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numPr>
          <w:ilvl w:val="0"/>
          <w:numId w:val="4"/>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基本支出：指为保障机构正常运转、完成日常工作任务而发生的各项支出，包括人员支出和公用支出。</w:t>
      </w:r>
    </w:p>
    <w:p>
      <w:pPr>
        <w:numPr>
          <w:ilvl w:val="0"/>
          <w:numId w:val="4"/>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项目支出：指在基本支出以外为完成相关行政任务和事业发展目标所发生的各项支出。 </w:t>
      </w:r>
    </w:p>
    <w:p>
      <w:pPr>
        <w:pStyle w:val="12"/>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汉仪中宋简">
    <w:panose1 w:val="02010600000101010101"/>
    <w:charset w:val="86"/>
    <w:family w:val="auto"/>
    <w:pitch w:val="default"/>
    <w:sig w:usb0="00000001" w:usb1="080E0800" w:usb2="00000002" w:usb3="00000000" w:csb0="00040000" w:csb1="00000000"/>
  </w:font>
  <w:font w:name="Arial">
    <w:altName w:val="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DE2A6C"/>
    <w:multiLevelType w:val="singleLevel"/>
    <w:tmpl w:val="BCDE2A6C"/>
    <w:lvl w:ilvl="0" w:tentative="0">
      <w:start w:val="1"/>
      <w:numFmt w:val="chineseCounting"/>
      <w:suff w:val="nothing"/>
      <w:lvlText w:val="%1、"/>
      <w:lvlJc w:val="left"/>
      <w:rPr>
        <w:rFonts w:hint="eastAsia"/>
      </w:rPr>
    </w:lvl>
  </w:abstractNum>
  <w:abstractNum w:abstractNumId="1">
    <w:nsid w:val="CB21674F"/>
    <w:multiLevelType w:val="singleLevel"/>
    <w:tmpl w:val="CB21674F"/>
    <w:lvl w:ilvl="0" w:tentative="0">
      <w:start w:val="6"/>
      <w:numFmt w:val="decimal"/>
      <w:suff w:val="nothing"/>
      <w:lvlText w:val="%1、"/>
      <w:lvlJc w:val="left"/>
    </w:lvl>
  </w:abstractNum>
  <w:abstractNum w:abstractNumId="2">
    <w:nsid w:val="CF092B84"/>
    <w:multiLevelType w:val="multilevel"/>
    <w:tmpl w:val="CF092B84"/>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DC10AEE"/>
    <w:multiLevelType w:val="singleLevel"/>
    <w:tmpl w:val="5DC10AEE"/>
    <w:lvl w:ilvl="0" w:tentative="0">
      <w:start w:val="7"/>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NotTrackMoves/>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C3534"/>
    <w:rsid w:val="0AF2711A"/>
    <w:rsid w:val="0C82271A"/>
    <w:rsid w:val="15AE3323"/>
    <w:rsid w:val="17582782"/>
    <w:rsid w:val="1BC135FF"/>
    <w:rsid w:val="26C14491"/>
    <w:rsid w:val="28601C9B"/>
    <w:rsid w:val="2ED74B8F"/>
    <w:rsid w:val="3C3D17A9"/>
    <w:rsid w:val="3FE65328"/>
    <w:rsid w:val="421639CF"/>
    <w:rsid w:val="47CE0F30"/>
    <w:rsid w:val="49303A9F"/>
    <w:rsid w:val="50BB38E4"/>
    <w:rsid w:val="533F2846"/>
    <w:rsid w:val="565A130F"/>
    <w:rsid w:val="60856D3E"/>
    <w:rsid w:val="60F8409B"/>
    <w:rsid w:val="6125278B"/>
    <w:rsid w:val="6FB36940"/>
    <w:rsid w:val="73595893"/>
    <w:rsid w:val="76EA3E66"/>
    <w:rsid w:val="797FEF1B"/>
    <w:rsid w:val="7BA4168C"/>
    <w:rsid w:val="ED87C2A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qFormat/>
    <w:uiPriority w:val="0"/>
    <w:pPr>
      <w:ind w:firstLine="420" w:firstLineChars="200"/>
    </w:p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
    <w:name w:val="页眉 Char"/>
    <w:basedOn w:val="9"/>
    <w:link w:val="5"/>
    <w:qFormat/>
    <w:uiPriority w:val="99"/>
    <w:rPr>
      <w:sz w:val="18"/>
      <w:szCs w:val="18"/>
    </w:rPr>
  </w:style>
  <w:style w:type="character" w:customStyle="1" w:styleId="11">
    <w:name w:val="页脚 Char"/>
    <w:basedOn w:val="9"/>
    <w:link w:val="4"/>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 w:type="paragraph" w:customStyle="1" w:styleId="18">
    <w:name w:val="BodyText"/>
    <w:basedOn w:val="1"/>
    <w:qFormat/>
    <w:uiPriority w:val="0"/>
    <w:pPr>
      <w:spacing w:after="120"/>
      <w:jc w:val="both"/>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6441</Words>
  <Characters>7033</Characters>
  <Lines>63</Lines>
  <Paragraphs>18</Paragraphs>
  <TotalTime>1</TotalTime>
  <ScaleCrop>false</ScaleCrop>
  <LinksUpToDate>false</LinksUpToDate>
  <CharactersWithSpaces>7064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2020-07-05T02:32:00Z</dcterms:created>
  <dc:creator>李航 null</dc:creator>
  <cp:lastModifiedBy>greatwall</cp:lastModifiedBy>
  <cp:lastPrinted>2023-08-15T17:28:00Z</cp:lastPrinted>
  <dcterms:modified xsi:type="dcterms:W3CDTF">2025-05-07T09:10:31Z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