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jc w:val="center"/>
        <w:rPr>
          <w:sz w:val="56"/>
          <w:szCs w:val="56"/>
        </w:rPr>
      </w:pPr>
    </w:p>
    <w:p>
      <w:pPr>
        <w:pStyle w:val="12"/>
        <w:jc w:val="center"/>
        <w:rPr>
          <w:sz w:val="56"/>
          <w:szCs w:val="56"/>
        </w:rPr>
      </w:pPr>
    </w:p>
    <w:p>
      <w:pPr>
        <w:pStyle w:val="12"/>
        <w:jc w:val="center"/>
        <w:rPr>
          <w:sz w:val="84"/>
          <w:szCs w:val="84"/>
        </w:rPr>
      </w:pPr>
    </w:p>
    <w:p>
      <w:pPr>
        <w:pStyle w:val="12"/>
        <w:jc w:val="center"/>
        <w:rPr>
          <w:sz w:val="84"/>
          <w:szCs w:val="84"/>
        </w:rPr>
      </w:pPr>
    </w:p>
    <w:p>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2</w:t>
      </w:r>
      <w:r>
        <w:rPr>
          <w:rFonts w:hint="eastAsia" w:ascii="方正小标宋_GBK" w:hAnsi="方正小标宋_GBK" w:eastAsia="方正小标宋_GBK" w:cs="方正小标宋_GBK"/>
          <w:sz w:val="84"/>
          <w:szCs w:val="84"/>
        </w:rPr>
        <w:t>年度</w:t>
      </w:r>
    </w:p>
    <w:p>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eastAsia="zh-CN"/>
        </w:rPr>
        <w:t>湖南省农作物良种引进示范中心</w:t>
      </w:r>
      <w:r>
        <w:rPr>
          <w:rFonts w:hint="eastAsia" w:ascii="方正小标宋_GBK" w:hAnsi="方正小标宋_GBK" w:eastAsia="方正小标宋_GBK" w:cs="方正小标宋_GBK"/>
          <w:sz w:val="84"/>
          <w:szCs w:val="84"/>
        </w:rPr>
        <w:t>部门决算</w:t>
      </w:r>
    </w:p>
    <w:p>
      <w:pPr>
        <w:pStyle w:val="12"/>
        <w:jc w:val="center"/>
        <w:rPr>
          <w:rFonts w:hint="eastAsia" w:ascii="方正小标宋_GBK" w:hAnsi="方正小标宋_GBK" w:eastAsia="方正小标宋_GBK" w:cs="方正小标宋_GBK"/>
          <w:sz w:val="56"/>
          <w:szCs w:val="56"/>
        </w:rPr>
      </w:pPr>
    </w:p>
    <w:p>
      <w:pPr>
        <w:pStyle w:val="12"/>
        <w:jc w:val="center"/>
        <w:rPr>
          <w:sz w:val="56"/>
          <w:szCs w:val="56"/>
        </w:rPr>
      </w:pPr>
    </w:p>
    <w:p>
      <w:pPr>
        <w:pStyle w:val="12"/>
        <w:jc w:val="center"/>
        <w:rPr>
          <w:sz w:val="56"/>
          <w:szCs w:val="56"/>
        </w:rPr>
      </w:pPr>
    </w:p>
    <w:p>
      <w:pPr>
        <w:pStyle w:val="12"/>
        <w:jc w:val="center"/>
        <w:rPr>
          <w:sz w:val="56"/>
          <w:szCs w:val="56"/>
        </w:rPr>
      </w:pPr>
    </w:p>
    <w:p>
      <w:pPr>
        <w:pStyle w:val="12"/>
        <w:jc w:val="center"/>
        <w:rPr>
          <w:sz w:val="32"/>
          <w:szCs w:val="32"/>
        </w:rPr>
      </w:pPr>
    </w:p>
    <w:p>
      <w:pPr>
        <w:pStyle w:val="12"/>
        <w:jc w:val="center"/>
        <w:rPr>
          <w:sz w:val="32"/>
          <w:szCs w:val="32"/>
        </w:rPr>
      </w:pPr>
    </w:p>
    <w:p>
      <w:pPr>
        <w:pStyle w:val="12"/>
        <w:jc w:val="center"/>
        <w:rPr>
          <w:sz w:val="32"/>
          <w:szCs w:val="32"/>
        </w:rPr>
      </w:pPr>
    </w:p>
    <w:p>
      <w:pPr>
        <w:pStyle w:val="12"/>
        <w:spacing w:line="500" w:lineRule="exact"/>
        <w:jc w:val="center"/>
        <w:rPr>
          <w:b/>
          <w:sz w:val="36"/>
          <w:szCs w:val="28"/>
        </w:rPr>
      </w:pPr>
      <w:r>
        <w:rPr>
          <w:rFonts w:hint="eastAsia"/>
          <w:b/>
          <w:sz w:val="36"/>
          <w:szCs w:val="28"/>
        </w:rPr>
        <w:t>目录</w:t>
      </w:r>
    </w:p>
    <w:p>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湖南省农作物良种引进示范中心</w:t>
      </w:r>
      <w:r>
        <w:rPr>
          <w:rFonts w:hint="eastAsia" w:ascii="黑体" w:hAnsi="黑体" w:eastAsia="黑体" w:cs="黑体"/>
          <w:b w:val="0"/>
          <w:bCs/>
          <w:sz w:val="28"/>
          <w:szCs w:val="28"/>
        </w:rPr>
        <w:t>概况</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二、机构设置</w:t>
      </w:r>
    </w:p>
    <w:p>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七、一般公共预算财政拨款三公经费支出决算情况说明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八、政府性基金预算收入支出决算情况</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九、关于机关运行经费支出说明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十、一般性支出情况说明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十一、关于政府采购支出说明</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十二、关于国有资产占用情况说明</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十三、关于预算绩效情况的说明</w:t>
      </w:r>
    </w:p>
    <w:p>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pPr>
        <w:jc w:val="center"/>
        <w:rPr>
          <w:sz w:val="72"/>
          <w:szCs w:val="72"/>
        </w:rPr>
      </w:pPr>
    </w:p>
    <w:p>
      <w:pPr>
        <w:jc w:val="center"/>
        <w:rPr>
          <w:sz w:val="72"/>
          <w:szCs w:val="72"/>
        </w:rPr>
      </w:pPr>
    </w:p>
    <w:p>
      <w:pPr>
        <w:jc w:val="center"/>
        <w:rPr>
          <w:sz w:val="72"/>
          <w:szCs w:val="72"/>
        </w:rPr>
      </w:pPr>
    </w:p>
    <w:p>
      <w:pPr>
        <w:jc w:val="center"/>
        <w:rPr>
          <w:sz w:val="72"/>
          <w:szCs w:val="72"/>
        </w:rPr>
      </w:pPr>
    </w:p>
    <w:p>
      <w:pPr>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pPr>
        <w:pStyle w:val="12"/>
        <w:jc w:val="center"/>
        <w:rPr>
          <w:rFonts w:hint="eastAsia" w:ascii="方正小标宋_GBK" w:hAnsi="方正小标宋_GBK" w:eastAsia="方正小标宋_GBK" w:cs="方正小标宋_GBK"/>
          <w:sz w:val="84"/>
          <w:szCs w:val="84"/>
        </w:rPr>
      </w:pPr>
    </w:p>
    <w:p>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eastAsia="zh-CN"/>
        </w:rPr>
        <w:t>湖南省农作物良种引进示范中心</w:t>
      </w:r>
      <w:r>
        <w:rPr>
          <w:rFonts w:hint="eastAsia" w:ascii="方正小标宋_GBK" w:hAnsi="方正小标宋_GBK" w:eastAsia="方正小标宋_GBK" w:cs="方正小标宋_GBK"/>
          <w:sz w:val="84"/>
          <w:szCs w:val="84"/>
        </w:rPr>
        <w:t>概况</w:t>
      </w:r>
    </w:p>
    <w:p>
      <w:pPr>
        <w:jc w:val="center"/>
        <w:rPr>
          <w:rFonts w:hint="eastAsia" w:ascii="方正小标宋_GBK" w:hAnsi="方正小标宋_GBK" w:eastAsia="方正小标宋_GBK" w:cs="方正小标宋_GBK"/>
          <w:sz w:val="72"/>
          <w:szCs w:val="72"/>
        </w:rPr>
      </w:pPr>
    </w:p>
    <w:p>
      <w:pPr>
        <w:jc w:val="center"/>
        <w:rPr>
          <w:rFonts w:hint="eastAsia" w:ascii="方正小标宋_GBK" w:hAnsi="方正小标宋_GBK" w:eastAsia="方正小标宋_GBK" w:cs="方正小标宋_GBK"/>
          <w:sz w:val="72"/>
          <w:szCs w:val="72"/>
        </w:rPr>
      </w:pPr>
    </w:p>
    <w:p>
      <w:pPr>
        <w:jc w:val="center"/>
        <w:rPr>
          <w:rFonts w:hint="eastAsia" w:ascii="方正小标宋_GBK" w:hAnsi="方正小标宋_GBK" w:eastAsia="方正小标宋_GBK" w:cs="方正小标宋_GBK"/>
          <w:sz w:val="24"/>
          <w:szCs w:val="24"/>
        </w:rPr>
      </w:pPr>
    </w:p>
    <w:p>
      <w:pPr>
        <w:pStyle w:val="13"/>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pPr>
        <w:ind w:firstLine="640" w:firstLineChars="20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一）制定省级农作物品种区域试验实施方案和工作计划，完成省级区域试验数据资料的汇总工作。常年完成水稻、玉米、棉花等共180个以上区试样品收集、整理、编密、寄送工作，完成国家标准样品分类、包装和上交工作。参与全省水稻区试点测产和试验点专家考察任务。与全省各区试承担单位签订区</w:t>
      </w:r>
      <w:r>
        <w:rPr>
          <w:rFonts w:hint="eastAsia" w:ascii="Times New Roman" w:hAnsi="Times New Roman" w:eastAsia="仿宋_GB2312" w:cs="仿宋_GB2312"/>
          <w:sz w:val="32"/>
          <w:szCs w:val="32"/>
          <w:lang w:eastAsia="zh-CN"/>
        </w:rPr>
        <w:t>域</w:t>
      </w:r>
      <w:r>
        <w:rPr>
          <w:rFonts w:hint="eastAsia" w:ascii="Times New Roman" w:hAnsi="Times New Roman" w:eastAsia="仿宋_GB2312" w:cs="仿宋_GB2312"/>
          <w:sz w:val="32"/>
          <w:szCs w:val="32"/>
        </w:rPr>
        <w:t>试验合同，支付试验费。每年撰写100万字左右的试验总结报告。</w:t>
      </w:r>
    </w:p>
    <w:p>
      <w:pPr>
        <w:ind w:firstLine="640" w:firstLineChars="20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二）承担国家和省级农业行政主管部门下达的农作物新品种区域试验任务。在永安试验站承担早稻区域试验、中稻迟熟二组区域试验、晚稻区域试验、水稻高、低温鉴定试验；承担普通玉米区域试验；开展“镉低积累水稻品种大田验证试验”。按照试验方案要求开展试验、观察记载，获取全面、准确的试验数据。</w:t>
      </w:r>
    </w:p>
    <w:p>
      <w:pPr>
        <w:ind w:firstLine="640" w:firstLineChars="20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（三）品种登记工作。受省种子管理服务站的委托承担非主要农作物品种登记材料的受理和初步审查工作，每年向农业部上报完成省级初步审查的品种80个以上，完成登记程序并取得登记证书的品种50个左右。</w:t>
      </w:r>
    </w:p>
    <w:p>
      <w:pPr>
        <w:ind w:firstLine="640" w:firstLineChars="20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四）承担我省农作物新品种的引进和展示示范工作，推广农作物新品种；承担国外引进良种的隔离试种、试验工作；承担湖南省新品种区试基地的日常管理工作；完成省种子管理服务站及有关部门交办的其他工作。…</w:t>
      </w:r>
    </w:p>
    <w:p>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pPr>
        <w:ind w:firstLine="640" w:firstLineChars="200"/>
        <w:rPr>
          <w:rFonts w:ascii="仿宋" w:hAnsi="仿宋" w:eastAsia="仿宋"/>
          <w:color w:val="auto"/>
          <w:sz w:val="32"/>
          <w:szCs w:val="32"/>
        </w:rPr>
      </w:pPr>
      <w:r>
        <w:rPr>
          <w:rFonts w:hint="eastAsia" w:ascii="Times New Roman" w:hAnsi="Times New Roman" w:eastAsia="仿宋_GB2312" w:cs="仿宋_GB2312"/>
          <w:bCs/>
          <w:kern w:val="0"/>
          <w:sz w:val="32"/>
          <w:szCs w:val="32"/>
        </w:rPr>
        <w:t>（一）内设机构设置。</w:t>
      </w:r>
      <w:r>
        <w:rPr>
          <w:rFonts w:hint="eastAsia" w:ascii="仿宋" w:hAnsi="仿宋" w:eastAsia="仿宋"/>
          <w:color w:val="auto"/>
          <w:sz w:val="32"/>
          <w:szCs w:val="32"/>
        </w:rPr>
        <w:t>湖南省农作物良种引进示范中心内设机构包括：综合财务科，品种试验科，示范推广科等三个科室。</w:t>
      </w:r>
    </w:p>
    <w:p>
      <w:pPr>
        <w:widowControl/>
        <w:spacing w:line="600" w:lineRule="exact"/>
        <w:ind w:firstLine="640" w:firstLineChars="200"/>
        <w:rPr>
          <w:rFonts w:hint="eastAsia" w:ascii="仿宋_GB2312" w:eastAsia="仿宋_GB2312" w:hAnsiTheme="minorEastAsia"/>
          <w:sz w:val="28"/>
          <w:szCs w:val="32"/>
          <w:lang w:eastAsia="zh-CN"/>
        </w:rPr>
      </w:pPr>
      <w:r>
        <w:rPr>
          <w:rFonts w:hint="eastAsia" w:ascii="Times New Roman" w:hAnsi="Times New Roman" w:eastAsia="仿宋_GB2312" w:cs="仿宋_GB2312"/>
          <w:bCs/>
          <w:kern w:val="0"/>
          <w:sz w:val="32"/>
          <w:szCs w:val="32"/>
        </w:rPr>
        <w:t>（二）决算单位构成。</w:t>
      </w:r>
      <w:r>
        <w:rPr>
          <w:rFonts w:hint="eastAsia" w:ascii="仿宋" w:hAnsi="仿宋" w:eastAsia="仿宋"/>
          <w:color w:val="auto"/>
          <w:sz w:val="32"/>
          <w:szCs w:val="32"/>
        </w:rPr>
        <w:t>湖南省农作物良种引进示范中心</w:t>
      </w:r>
      <w:r>
        <w:rPr>
          <w:rFonts w:hint="eastAsia" w:ascii="Times New Roman" w:hAnsi="Times New Roman" w:eastAsia="仿宋_GB2312" w:cs="仿宋_GB2312"/>
          <w:bCs/>
          <w:kern w:val="0"/>
          <w:sz w:val="32"/>
          <w:szCs w:val="32"/>
        </w:rPr>
        <w:t>202</w:t>
      </w:r>
      <w:r>
        <w:rPr>
          <w:rFonts w:hint="eastAsia" w:ascii="Times New Roman" w:hAnsi="Times New Roman" w:eastAsia="仿宋_GB2312" w:cs="仿宋_GB2312"/>
          <w:bCs/>
          <w:kern w:val="0"/>
          <w:sz w:val="32"/>
          <w:szCs w:val="32"/>
          <w:lang w:val="en-US" w:eastAsia="zh-CN"/>
        </w:rPr>
        <w:t>2</w:t>
      </w:r>
      <w:r>
        <w:rPr>
          <w:rFonts w:hint="eastAsia" w:ascii="Times New Roman" w:hAnsi="Times New Roman" w:eastAsia="仿宋_GB2312" w:cs="仿宋_GB2312"/>
          <w:bCs/>
          <w:kern w:val="0"/>
          <w:sz w:val="32"/>
          <w:szCs w:val="32"/>
        </w:rPr>
        <w:t>年部门决算汇总公开单位构成包括：</w:t>
      </w:r>
      <w:r>
        <w:rPr>
          <w:rFonts w:hint="eastAsia" w:ascii="仿宋" w:hAnsi="仿宋" w:eastAsia="仿宋"/>
          <w:color w:val="auto"/>
          <w:sz w:val="32"/>
          <w:szCs w:val="32"/>
        </w:rPr>
        <w:t>湖南省农作物良种引进示范中心</w:t>
      </w:r>
      <w:r>
        <w:rPr>
          <w:rFonts w:hint="eastAsia" w:ascii="Times New Roman" w:hAnsi="Times New Roman" w:eastAsia="仿宋_GB2312" w:cs="仿宋_GB2312"/>
          <w:bCs/>
          <w:kern w:val="0"/>
          <w:sz w:val="32"/>
          <w:szCs w:val="32"/>
        </w:rPr>
        <w:t>本级</w:t>
      </w:r>
      <w:r>
        <w:rPr>
          <w:rFonts w:hint="eastAsia" w:ascii="Times New Roman" w:hAnsi="Times New Roman" w:eastAsia="仿宋_GB2312" w:cs="仿宋_GB2312"/>
          <w:bCs/>
          <w:kern w:val="0"/>
          <w:sz w:val="32"/>
          <w:szCs w:val="32"/>
          <w:lang w:eastAsia="zh-CN"/>
        </w:rPr>
        <w:t>。</w:t>
      </w: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pPr>
        <w:pStyle w:val="12"/>
        <w:jc w:val="center"/>
        <w:rPr>
          <w:rFonts w:hint="eastAsia" w:ascii="方正小标宋_GBK" w:hAnsi="方正小标宋_GBK" w:eastAsia="方正小标宋_GBK" w:cs="方正小标宋_GBK"/>
          <w:sz w:val="84"/>
          <w:szCs w:val="84"/>
        </w:rPr>
      </w:pPr>
    </w:p>
    <w:p>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sz w:val="32"/>
          <w:szCs w:val="3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p>
      <w:pPr>
        <w:widowControl/>
        <w:jc w:val="lef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 xml:space="preserve"> </w:t>
      </w:r>
      <w:r>
        <w:drawing>
          <wp:inline distT="0" distB="0" distL="114300" distR="114300">
            <wp:extent cx="9237345" cy="6511925"/>
            <wp:effectExtent l="0" t="0" r="8255" b="317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4"/>
                    <a:stretch>
                      <a:fillRect/>
                    </a:stretch>
                  </pic:blipFill>
                  <pic:spPr>
                    <a:xfrm>
                      <a:off x="0" y="0"/>
                      <a:ext cx="9237345" cy="6511925"/>
                    </a:xfrm>
                    <a:prstGeom prst="rect">
                      <a:avLst/>
                    </a:prstGeom>
                    <a:noFill/>
                    <a:ln>
                      <a:noFill/>
                    </a:ln>
                  </pic:spPr>
                </pic:pic>
              </a:graphicData>
            </a:graphic>
          </wp:inline>
        </w:drawing>
      </w:r>
      <w:r>
        <w:br w:type="page"/>
      </w:r>
    </w:p>
    <w:p>
      <w:pPr>
        <w:widowControl/>
        <w:rPr>
          <w:rFonts w:ascii="Times New Roman" w:hAnsi="Times New Roman" w:eastAsia="方正小标宋_GBK" w:cs="Times New Roman"/>
          <w:color w:val="000000"/>
          <w:kern w:val="0"/>
          <w:sz w:val="36"/>
          <w:szCs w:val="36"/>
        </w:rPr>
      </w:pPr>
      <w:r>
        <w:drawing>
          <wp:inline distT="0" distB="0" distL="114300" distR="114300">
            <wp:extent cx="9769475" cy="4027170"/>
            <wp:effectExtent l="0" t="0" r="9525" b="1143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9769475" cy="4027170"/>
                    </a:xfrm>
                    <a:prstGeom prst="rect">
                      <a:avLst/>
                    </a:prstGeom>
                    <a:noFill/>
                    <a:ln>
                      <a:noFill/>
                    </a:ln>
                  </pic:spPr>
                </pic:pic>
              </a:graphicData>
            </a:graphic>
          </wp:inline>
        </w:drawing>
      </w:r>
    </w:p>
    <w:p>
      <w:pPr>
        <w:widowControl/>
        <w:jc w:val="both"/>
        <w:rPr>
          <w:rFonts w:ascii="Times New Roman" w:hAnsi="Times New Roman" w:eastAsia="方正小标宋_GBK" w:cs="Times New Roman"/>
          <w:color w:val="000000"/>
          <w:kern w:val="0"/>
          <w:sz w:val="36"/>
          <w:szCs w:val="21"/>
        </w:rPr>
      </w:pPr>
    </w:p>
    <w:p>
      <w:pPr>
        <w:widowControl/>
        <w:jc w:val="left"/>
        <w:rPr>
          <w:rFonts w:ascii="Times New Roman" w:hAnsi="Times New Roman" w:eastAsia="仿宋_GB2312" w:cs="Times New Roman"/>
          <w:bCs/>
          <w:kern w:val="0"/>
          <w:szCs w:val="21"/>
        </w:rPr>
      </w:pPr>
      <w:bookmarkStart w:id="0" w:name="RANGE!A1:I22"/>
      <w:bookmarkEnd w:id="0"/>
    </w:p>
    <w:p>
      <w:pPr>
        <w:widowControl/>
        <w:jc w:val="left"/>
        <w:rPr>
          <w:rFonts w:ascii="Times New Roman" w:hAnsi="Times New Roman" w:eastAsia="仿宋_GB2312" w:cs="Times New Roman"/>
          <w:bCs/>
          <w:kern w:val="0"/>
          <w:szCs w:val="21"/>
        </w:rPr>
      </w:pPr>
      <w:r>
        <w:br w:type="page"/>
      </w:r>
      <w:r>
        <w:drawing>
          <wp:inline distT="0" distB="0" distL="114300" distR="114300">
            <wp:extent cx="9150350" cy="439420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9150350" cy="4394200"/>
                    </a:xfrm>
                    <a:prstGeom prst="rect">
                      <a:avLst/>
                    </a:prstGeom>
                    <a:noFill/>
                    <a:ln>
                      <a:noFill/>
                    </a:ln>
                  </pic:spPr>
                </pic:pic>
              </a:graphicData>
            </a:graphic>
          </wp:inline>
        </w:drawing>
      </w:r>
      <w:r>
        <w:drawing>
          <wp:inline distT="0" distB="0" distL="114300" distR="114300">
            <wp:extent cx="9347835" cy="6562725"/>
            <wp:effectExtent l="0" t="0" r="12065"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9347835" cy="6562725"/>
                    </a:xfrm>
                    <a:prstGeom prst="rect">
                      <a:avLst/>
                    </a:prstGeom>
                    <a:noFill/>
                    <a:ln>
                      <a:noFill/>
                    </a:ln>
                  </pic:spPr>
                </pic:pic>
              </a:graphicData>
            </a:graphic>
          </wp:inline>
        </w:drawing>
      </w:r>
      <w:r>
        <w:drawing>
          <wp:inline distT="0" distB="0" distL="114300" distR="114300">
            <wp:extent cx="9086850" cy="4375150"/>
            <wp:effectExtent l="0" t="0" r="635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9086850" cy="4375150"/>
                    </a:xfrm>
                    <a:prstGeom prst="rect">
                      <a:avLst/>
                    </a:prstGeom>
                    <a:noFill/>
                    <a:ln>
                      <a:noFill/>
                    </a:ln>
                  </pic:spPr>
                </pic:pic>
              </a:graphicData>
            </a:graphic>
          </wp:inline>
        </w:drawing>
      </w:r>
      <w:r>
        <w:drawing>
          <wp:inline distT="0" distB="0" distL="114300" distR="114300">
            <wp:extent cx="9777095" cy="6113780"/>
            <wp:effectExtent l="0" t="0" r="1905" b="762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9"/>
                    <a:stretch>
                      <a:fillRect/>
                    </a:stretch>
                  </pic:blipFill>
                  <pic:spPr>
                    <a:xfrm>
                      <a:off x="0" y="0"/>
                      <a:ext cx="9777095" cy="6113780"/>
                    </a:xfrm>
                    <a:prstGeom prst="rect">
                      <a:avLst/>
                    </a:prstGeom>
                    <a:noFill/>
                    <a:ln>
                      <a:noFill/>
                    </a:ln>
                  </pic:spPr>
                </pic:pic>
              </a:graphicData>
            </a:graphic>
          </wp:inline>
        </w:drawing>
      </w:r>
    </w:p>
    <w:tbl>
      <w:tblPr>
        <w:tblStyle w:val="7"/>
        <w:tblW w:w="15614" w:type="dxa"/>
        <w:tblInd w:w="0" w:type="dxa"/>
        <w:tblLayout w:type="fixed"/>
        <w:tblCellMar>
          <w:top w:w="0" w:type="dxa"/>
          <w:left w:w="108" w:type="dxa"/>
          <w:bottom w:w="0" w:type="dxa"/>
          <w:right w:w="108" w:type="dxa"/>
        </w:tblCellMar>
      </w:tblPr>
      <w:tblGrid>
        <w:gridCol w:w="1003"/>
        <w:gridCol w:w="240"/>
        <w:gridCol w:w="1402"/>
        <w:gridCol w:w="2119"/>
        <w:gridCol w:w="2119"/>
        <w:gridCol w:w="2119"/>
        <w:gridCol w:w="2119"/>
        <w:gridCol w:w="2119"/>
        <w:gridCol w:w="2120"/>
        <w:gridCol w:w="254"/>
      </w:tblGrid>
      <w:tr>
        <w:tblPrEx>
          <w:tblLayout w:type="fixed"/>
          <w:tblCellMar>
            <w:top w:w="0" w:type="dxa"/>
            <w:left w:w="108" w:type="dxa"/>
            <w:bottom w:w="0" w:type="dxa"/>
            <w:right w:w="108" w:type="dxa"/>
          </w:tblCellMar>
        </w:tblPrEx>
        <w:trPr>
          <w:trHeight w:val="113" w:hRule="atLeast"/>
        </w:trPr>
        <w:tc>
          <w:tcPr>
            <w:tcW w:w="15614" w:type="dxa"/>
            <w:gridSpan w:val="10"/>
            <w:tcBorders>
              <w:top w:val="nil"/>
              <w:left w:val="nil"/>
              <w:bottom w:val="nil"/>
              <w:right w:val="nil"/>
            </w:tcBorders>
            <w:shd w:val="clear" w:color="auto" w:fill="auto"/>
            <w:noWrap/>
            <w:vAlign w:val="center"/>
          </w:tcPr>
          <w:p>
            <w:pPr>
              <w:widowControl/>
              <w:jc w:val="right"/>
              <w:rPr>
                <w:rFonts w:ascii="华文中宋" w:hAnsi="华文中宋" w:eastAsia="华文中宋" w:cs="宋体"/>
                <w:color w:val="000000"/>
                <w:kern w:val="0"/>
                <w:szCs w:val="32"/>
              </w:rPr>
            </w:pPr>
          </w:p>
          <w:p>
            <w:pPr>
              <w:widowControl/>
              <w:jc w:val="right"/>
              <w:rPr>
                <w:rFonts w:ascii="华文中宋" w:hAnsi="华文中宋" w:eastAsia="华文中宋" w:cs="宋体"/>
                <w:color w:val="000000"/>
                <w:kern w:val="0"/>
                <w:szCs w:val="32"/>
              </w:rPr>
            </w:pPr>
          </w:p>
          <w:p>
            <w:pPr>
              <w:widowControl/>
              <w:jc w:val="right"/>
              <w:rPr>
                <w:rFonts w:ascii="华文中宋" w:hAnsi="华文中宋" w:eastAsia="华文中宋" w:cs="宋体"/>
                <w:color w:val="000000"/>
                <w:kern w:val="0"/>
                <w:szCs w:val="3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690" w:hRule="atLeast"/>
        </w:trPr>
        <w:tc>
          <w:tcPr>
            <w:tcW w:w="15360" w:type="dxa"/>
            <w:gridSpan w:val="9"/>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u w:val="none"/>
                <w:lang w:val="en-US" w:eastAsia="zh-CN"/>
              </w:rPr>
            </w:pPr>
          </w:p>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rPr>
              <w:t>政府性基金预算财政拨款收入支出决算表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345" w:hRule="atLeast"/>
        </w:trPr>
        <w:tc>
          <w:tcPr>
            <w:tcW w:w="1003"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40"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1402"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2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公开07表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690" w:hRule="atLeast"/>
        </w:trPr>
        <w:tc>
          <w:tcPr>
            <w:tcW w:w="4764" w:type="dxa"/>
            <w:gridSpan w:val="4"/>
            <w:tcBorders>
              <w:top w:val="nil"/>
              <w:left w:val="nil"/>
              <w:bottom w:val="nil"/>
              <w:right w:val="nil"/>
            </w:tcBorders>
            <w:shd w:val="clear" w:color="auto" w:fill="FFFFFF"/>
            <w:noWrap/>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部门：湖南省农作物良种引进示范中心</w:t>
            </w: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2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459" w:hRule="atLeast"/>
        </w:trPr>
        <w:tc>
          <w:tcPr>
            <w:tcW w:w="26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 xml:space="preserve">项 </w:t>
            </w:r>
            <w:r>
              <w:rPr>
                <w:rStyle w:val="15"/>
                <w:lang w:val="en-US" w:eastAsia="zh-CN"/>
              </w:rPr>
              <w:t xml:space="preserve">   </w:t>
            </w:r>
            <w:r>
              <w:rPr>
                <w:rStyle w:val="16"/>
                <w:lang w:val="en-US" w:eastAsia="zh-CN"/>
              </w:rPr>
              <w:t>目</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年初结转和结余</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本年收入</w:t>
            </w:r>
          </w:p>
        </w:tc>
        <w:tc>
          <w:tcPr>
            <w:tcW w:w="635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本年支出</w:t>
            </w:r>
          </w:p>
        </w:tc>
        <w:tc>
          <w:tcPr>
            <w:tcW w:w="21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年末结转和结余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609" w:hRule="atLeast"/>
        </w:trPr>
        <w:tc>
          <w:tcPr>
            <w:tcW w:w="124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科目代码</w:t>
            </w:r>
          </w:p>
        </w:tc>
        <w:tc>
          <w:tcPr>
            <w:tcW w:w="14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科目名称</w:t>
            </w: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小计</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 xml:space="preserve">基本支出  </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项目支出</w:t>
            </w: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409" w:hRule="atLeast"/>
        </w:trPr>
        <w:tc>
          <w:tcPr>
            <w:tcW w:w="124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509" w:hRule="atLeast"/>
        </w:trPr>
        <w:tc>
          <w:tcPr>
            <w:tcW w:w="124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509" w:hRule="atLeast"/>
        </w:trPr>
        <w:tc>
          <w:tcPr>
            <w:tcW w:w="26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栏次</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1</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2</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3</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4</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5</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509" w:hRule="atLeast"/>
        </w:trPr>
        <w:tc>
          <w:tcPr>
            <w:tcW w:w="26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合计</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725" w:hRule="atLeast"/>
        </w:trPr>
        <w:tc>
          <w:tcPr>
            <w:tcW w:w="15360" w:type="dxa"/>
            <w:gridSpan w:val="9"/>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rPr>
            </w:pPr>
            <w:r>
              <w:rPr>
                <w:rFonts w:hint="eastAsia" w:ascii="宋体" w:hAnsi="宋体" w:eastAsia="宋体" w:cs="宋体"/>
                <w:i w:val="0"/>
                <w:color w:val="000000"/>
                <w:kern w:val="0"/>
                <w:sz w:val="24"/>
                <w:szCs w:val="24"/>
                <w:u w:val="none"/>
                <w:lang w:val="en-US" w:eastAsia="zh-CN"/>
              </w:rPr>
              <w:t>注：本表反映部门本年度政府性基金预算财政拨款收入、支出及结转和结余情况。</w:t>
            </w: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rPr>
            </w:pPr>
            <w:r>
              <w:rPr>
                <w:rFonts w:hint="eastAsia" w:ascii="楷体" w:hAnsi="楷体" w:eastAsia="楷体" w:cs="楷体"/>
                <w:b/>
                <w:bCs/>
                <w:i w:val="0"/>
                <w:color w:val="auto"/>
                <w:kern w:val="0"/>
                <w:sz w:val="24"/>
                <w:szCs w:val="24"/>
                <w:u w:val="none"/>
                <w:lang w:val="en-US" w:eastAsia="zh-CN"/>
              </w:rPr>
              <w:t>说明：我单位没有政府性基金收入，也没有使用政府性基金安排的支出，故本表无数据。</w:t>
            </w:r>
          </w:p>
        </w:tc>
      </w:tr>
    </w:tbl>
    <w:p>
      <w:pPr>
        <w:widowControl/>
        <w:jc w:val="center"/>
        <w:rPr>
          <w:rFonts w:hint="eastAsia" w:ascii="Times New Roman" w:hAnsi="Times New Roman" w:eastAsia="方正小标宋_GBK" w:cs="Times New Roman"/>
          <w:color w:val="000000"/>
          <w:kern w:val="0"/>
          <w:sz w:val="36"/>
          <w:szCs w:val="36"/>
        </w:rPr>
      </w:pPr>
    </w:p>
    <w:p>
      <w:pPr>
        <w:widowControl/>
        <w:jc w:val="center"/>
        <w:rPr>
          <w:rFonts w:hint="eastAsia" w:ascii="Times New Roman" w:hAnsi="Times New Roman" w:eastAsia="方正小标宋_GBK" w:cs="Times New Roman"/>
          <w:color w:val="000000"/>
          <w:kern w:val="0"/>
          <w:sz w:val="36"/>
          <w:szCs w:val="36"/>
        </w:rPr>
      </w:pPr>
    </w:p>
    <w:tbl>
      <w:tblPr>
        <w:tblStyle w:val="7"/>
        <w:tblW w:w="151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26"/>
        <w:gridCol w:w="701"/>
        <w:gridCol w:w="2292"/>
        <w:gridCol w:w="3315"/>
        <w:gridCol w:w="3315"/>
        <w:gridCol w:w="41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63" w:hRule="atLeast"/>
        </w:trPr>
        <w:tc>
          <w:tcPr>
            <w:tcW w:w="15120" w:type="dxa"/>
            <w:gridSpan w:val="6"/>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rPr>
              <w:t>国有资本经营预算财政拨款支出决算表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17" w:hRule="atLeast"/>
        </w:trPr>
        <w:tc>
          <w:tcPr>
            <w:tcW w:w="1326"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701"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292"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4171"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公开08表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17" w:hRule="atLeast"/>
        </w:trPr>
        <w:tc>
          <w:tcPr>
            <w:tcW w:w="4319" w:type="dxa"/>
            <w:gridSpan w:val="3"/>
            <w:tcBorders>
              <w:top w:val="nil"/>
              <w:left w:val="nil"/>
              <w:bottom w:val="nil"/>
              <w:right w:val="nil"/>
            </w:tcBorders>
            <w:shd w:val="clear" w:color="auto" w:fill="FFFFFF"/>
            <w:noWrap/>
            <w:vAlign w:val="center"/>
          </w:tcPr>
          <w:p>
            <w:pPr>
              <w:jc w:val="left"/>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部门：湖南省农作物良种引进示范中心</w:t>
            </w: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4171"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 xml:space="preserve">项 </w:t>
            </w:r>
            <w:r>
              <w:rPr>
                <w:rFonts w:hint="eastAsia" w:ascii="宋体" w:hAnsi="宋体" w:eastAsia="宋体" w:cs="宋体"/>
                <w:i w:val="0"/>
                <w:color w:val="000000"/>
                <w:kern w:val="0"/>
                <w:sz w:val="22"/>
                <w:szCs w:val="22"/>
                <w:u w:val="none"/>
                <w:lang w:val="en-US" w:eastAsia="zh-CN"/>
              </w:rPr>
              <w:t xml:space="preserve">   </w:t>
            </w:r>
            <w:r>
              <w:rPr>
                <w:rStyle w:val="17"/>
                <w:lang w:val="en-US" w:eastAsia="zh-CN"/>
              </w:rPr>
              <w:t>目</w:t>
            </w:r>
          </w:p>
        </w:tc>
        <w:tc>
          <w:tcPr>
            <w:tcW w:w="108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科目代码</w:t>
            </w:r>
          </w:p>
        </w:tc>
        <w:tc>
          <w:tcPr>
            <w:tcW w:w="22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科目名称</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合计</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 xml:space="preserve">基本支出  </w:t>
            </w:r>
          </w:p>
        </w:tc>
        <w:tc>
          <w:tcPr>
            <w:tcW w:w="41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栏次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1</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2</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合计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976" w:hRule="atLeast"/>
        </w:trPr>
        <w:tc>
          <w:tcPr>
            <w:tcW w:w="15120" w:type="dxa"/>
            <w:gridSpan w:val="6"/>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rPr>
            </w:pPr>
            <w:r>
              <w:rPr>
                <w:rFonts w:hint="eastAsia" w:ascii="宋体" w:hAnsi="宋体" w:eastAsia="宋体" w:cs="宋体"/>
                <w:i w:val="0"/>
                <w:color w:val="000000"/>
                <w:kern w:val="0"/>
                <w:sz w:val="24"/>
                <w:szCs w:val="24"/>
                <w:u w:val="none"/>
                <w:lang w:val="en-US" w:eastAsia="zh-CN"/>
              </w:rPr>
              <w:t>注：本表反映部门本年度国有资本经营预算财政拨款支出情况。</w:t>
            </w: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rPr>
            </w:pPr>
            <w:r>
              <w:rPr>
                <w:rFonts w:hint="eastAsia" w:ascii="楷体" w:hAnsi="楷体" w:eastAsia="楷体" w:cs="楷体"/>
                <w:b/>
                <w:bCs/>
                <w:i w:val="0"/>
                <w:color w:val="auto"/>
                <w:kern w:val="0"/>
                <w:sz w:val="24"/>
                <w:szCs w:val="24"/>
                <w:u w:val="none"/>
                <w:lang w:val="en-US" w:eastAsia="zh-CN"/>
              </w:rPr>
              <w:t>说明：我单位没有使用国有资本经营预算安排的支出，故本表无数据。</w:t>
            </w:r>
          </w:p>
        </w:tc>
      </w:tr>
    </w:tbl>
    <w:p>
      <w:pPr>
        <w:widowControl/>
        <w:jc w:val="center"/>
        <w:rPr>
          <w:rFonts w:hint="eastAsia" w:ascii="Times New Roman" w:hAnsi="Times New Roman" w:eastAsia="方正小标宋_GBK" w:cs="Times New Roman"/>
          <w:color w:val="000000"/>
          <w:kern w:val="0"/>
          <w:sz w:val="36"/>
          <w:szCs w:val="36"/>
        </w:rPr>
      </w:pPr>
    </w:p>
    <w:tbl>
      <w:tblPr>
        <w:tblStyle w:val="7"/>
        <w:tblW w:w="151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60"/>
        <w:gridCol w:w="1261"/>
        <w:gridCol w:w="1261"/>
        <w:gridCol w:w="1261"/>
        <w:gridCol w:w="1261"/>
        <w:gridCol w:w="1261"/>
        <w:gridCol w:w="1261"/>
        <w:gridCol w:w="1261"/>
        <w:gridCol w:w="1261"/>
        <w:gridCol w:w="1261"/>
        <w:gridCol w:w="1261"/>
        <w:gridCol w:w="12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840" w:hRule="atLeast"/>
        </w:trPr>
        <w:tc>
          <w:tcPr>
            <w:tcW w:w="15140" w:type="dxa"/>
            <w:gridSpan w:val="12"/>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u w:val="none"/>
                <w:lang w:val="en-US" w:eastAsia="zh-CN"/>
              </w:rPr>
            </w:pPr>
          </w:p>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rPr>
              <w:t>财政拨款“三公”经费支出决算表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20" w:hRule="atLeast"/>
        </w:trPr>
        <w:tc>
          <w:tcPr>
            <w:tcW w:w="1260"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7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公开09表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20" w:hRule="atLeast"/>
        </w:trPr>
        <w:tc>
          <w:tcPr>
            <w:tcW w:w="3782" w:type="dxa"/>
            <w:gridSpan w:val="3"/>
            <w:tcBorders>
              <w:top w:val="nil"/>
              <w:left w:val="nil"/>
              <w:bottom w:val="nil"/>
              <w:right w:val="nil"/>
            </w:tcBorders>
            <w:shd w:val="clear" w:color="auto" w:fill="FFFFFF"/>
            <w:noWrap/>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部门：湖南省农作物良种引进示范中心</w:t>
            </w: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7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66" w:hRule="atLeast"/>
        </w:trPr>
        <w:tc>
          <w:tcPr>
            <w:tcW w:w="75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预算数</w:t>
            </w:r>
          </w:p>
        </w:tc>
        <w:tc>
          <w:tcPr>
            <w:tcW w:w="75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822" w:hRule="atLeast"/>
        </w:trPr>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公务用车购置及运行维护费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公务接待费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公务用车购置及运行维护费</w:t>
            </w: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公务接待费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274" w:hRule="atLeast"/>
        </w:trPr>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公务用车</w:t>
            </w:r>
            <w:r>
              <w:rPr>
                <w:rFonts w:hint="eastAsia" w:ascii="宋体" w:hAnsi="宋体" w:eastAsia="宋体" w:cs="宋体"/>
                <w:i w:val="0"/>
                <w:color w:val="000000"/>
                <w:kern w:val="0"/>
                <w:sz w:val="22"/>
                <w:szCs w:val="22"/>
                <w:u w:val="none"/>
                <w:lang w:val="en-US" w:eastAsia="zh-CN"/>
              </w:rPr>
              <w:br w:type="textWrapping"/>
            </w:r>
            <w:r>
              <w:rPr>
                <w:rFonts w:hint="eastAsia" w:ascii="宋体" w:hAnsi="宋体" w:eastAsia="宋体" w:cs="宋体"/>
                <w:i w:val="0"/>
                <w:color w:val="000000"/>
                <w:kern w:val="0"/>
                <w:sz w:val="22"/>
                <w:szCs w:val="22"/>
                <w:u w:val="none"/>
                <w:lang w:val="en-US" w:eastAsia="zh-CN"/>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公务用车</w:t>
            </w:r>
            <w:r>
              <w:rPr>
                <w:rFonts w:hint="eastAsia" w:ascii="宋体" w:hAnsi="宋体" w:eastAsia="宋体" w:cs="宋体"/>
                <w:i w:val="0"/>
                <w:color w:val="000000"/>
                <w:kern w:val="0"/>
                <w:sz w:val="22"/>
                <w:szCs w:val="22"/>
                <w:u w:val="none"/>
                <w:lang w:val="en-US" w:eastAsia="zh-CN"/>
              </w:rPr>
              <w:br w:type="textWrapping"/>
            </w:r>
            <w:r>
              <w:rPr>
                <w:rFonts w:hint="eastAsia" w:ascii="宋体" w:hAnsi="宋体" w:eastAsia="宋体" w:cs="宋体"/>
                <w:i w:val="0"/>
                <w:color w:val="000000"/>
                <w:kern w:val="0"/>
                <w:sz w:val="22"/>
                <w:szCs w:val="22"/>
                <w:u w:val="none"/>
                <w:lang w:val="en-US" w:eastAsia="zh-CN"/>
              </w:rPr>
              <w:t>运行维护费</w:t>
            </w: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公务用车</w:t>
            </w:r>
            <w:r>
              <w:rPr>
                <w:rFonts w:hint="eastAsia" w:ascii="宋体" w:hAnsi="宋体" w:eastAsia="宋体" w:cs="宋体"/>
                <w:i w:val="0"/>
                <w:color w:val="000000"/>
                <w:kern w:val="0"/>
                <w:sz w:val="22"/>
                <w:szCs w:val="22"/>
                <w:u w:val="none"/>
                <w:lang w:val="en-US" w:eastAsia="zh-CN"/>
              </w:rPr>
              <w:br w:type="textWrapping"/>
            </w:r>
            <w:r>
              <w:rPr>
                <w:rFonts w:hint="eastAsia" w:ascii="宋体" w:hAnsi="宋体" w:eastAsia="宋体" w:cs="宋体"/>
                <w:i w:val="0"/>
                <w:color w:val="000000"/>
                <w:kern w:val="0"/>
                <w:sz w:val="22"/>
                <w:szCs w:val="22"/>
                <w:u w:val="none"/>
                <w:lang w:val="en-US" w:eastAsia="zh-CN"/>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公务用车</w:t>
            </w:r>
            <w:r>
              <w:rPr>
                <w:rFonts w:hint="eastAsia" w:ascii="宋体" w:hAnsi="宋体" w:eastAsia="宋体" w:cs="宋体"/>
                <w:i w:val="0"/>
                <w:color w:val="000000"/>
                <w:kern w:val="0"/>
                <w:sz w:val="22"/>
                <w:szCs w:val="22"/>
                <w:u w:val="none"/>
                <w:lang w:val="en-US" w:eastAsia="zh-CN"/>
              </w:rPr>
              <w:br w:type="textWrapping"/>
            </w:r>
            <w:r>
              <w:rPr>
                <w:rFonts w:hint="eastAsia" w:ascii="宋体" w:hAnsi="宋体" w:eastAsia="宋体" w:cs="宋体"/>
                <w:i w:val="0"/>
                <w:color w:val="000000"/>
                <w:kern w:val="0"/>
                <w:sz w:val="22"/>
                <w:szCs w:val="22"/>
                <w:u w:val="none"/>
                <w:lang w:val="en-US" w:eastAsia="zh-CN"/>
              </w:rPr>
              <w:t>运行维护费</w:t>
            </w: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66"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7</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9</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11</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65"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0.33</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0.33</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226" w:hRule="atLeast"/>
        </w:trPr>
        <w:tc>
          <w:tcPr>
            <w:tcW w:w="15140" w:type="dxa"/>
            <w:gridSpan w:val="1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注：本表反映部门本年度财政拨款“三公”经费支出预决算情况。其中，预算数为“三公”经费全年预算数，反映按规定程序调整后的预算数；决算数是包括当年财政拨款和以前年度结转资金安排的实际支出。</w:t>
            </w:r>
          </w:p>
        </w:tc>
      </w:tr>
    </w:tbl>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widowControl/>
        <w:jc w:val="both"/>
        <w:rPr>
          <w:sz w:val="72"/>
          <w:szCs w:val="72"/>
        </w:rPr>
        <w:sectPr>
          <w:pgSz w:w="16838" w:h="11906" w:orient="landscape"/>
          <w:pgMar w:top="720" w:right="720" w:bottom="720" w:left="720" w:header="851" w:footer="992" w:gutter="0"/>
          <w:cols w:space="425" w:num="1"/>
          <w:docGrid w:type="lines" w:linePitch="312" w:charSpace="0"/>
        </w:sectPr>
      </w:pPr>
      <w:r>
        <w:br w:type="page"/>
      </w:r>
    </w:p>
    <w:p>
      <w:pPr>
        <w:pStyle w:val="12"/>
        <w:rPr>
          <w:sz w:val="72"/>
          <w:szCs w:val="72"/>
        </w:rPr>
      </w:pPr>
    </w:p>
    <w:p>
      <w:pPr>
        <w:pStyle w:val="12"/>
        <w:rPr>
          <w:sz w:val="72"/>
          <w:szCs w:val="72"/>
        </w:rPr>
      </w:pPr>
    </w:p>
    <w:p>
      <w:pPr>
        <w:pStyle w:val="12"/>
        <w:rPr>
          <w:sz w:val="72"/>
          <w:szCs w:val="72"/>
        </w:rPr>
      </w:pPr>
    </w:p>
    <w:p>
      <w:pPr>
        <w:pStyle w:val="12"/>
        <w:rPr>
          <w:sz w:val="72"/>
          <w:szCs w:val="72"/>
        </w:rPr>
      </w:pPr>
    </w:p>
    <w:p>
      <w:pPr>
        <w:pStyle w:val="12"/>
        <w:jc w:val="center"/>
        <w:rPr>
          <w:sz w:val="72"/>
          <w:szCs w:val="72"/>
        </w:rPr>
      </w:pPr>
    </w:p>
    <w:p>
      <w:pPr>
        <w:pStyle w:val="12"/>
        <w:jc w:val="center"/>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pPr>
        <w:pStyle w:val="12"/>
        <w:jc w:val="center"/>
        <w:rPr>
          <w:rFonts w:hint="eastAsia" w:ascii="方正小标宋_GBK" w:hAnsi="方正小标宋_GBK" w:eastAsia="方正小标宋_GBK" w:cs="方正小标宋_GBK"/>
          <w:sz w:val="70"/>
          <w:szCs w:val="70"/>
        </w:rPr>
      </w:pPr>
    </w:p>
    <w:p>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2</w:t>
      </w:r>
      <w:r>
        <w:rPr>
          <w:rFonts w:hint="eastAsia" w:ascii="方正小标宋_GBK" w:hAnsi="方正小标宋_GBK" w:eastAsia="方正小标宋_GBK" w:cs="方正小标宋_GBK"/>
          <w:sz w:val="70"/>
          <w:szCs w:val="70"/>
        </w:rPr>
        <w:t>年度部门决算情况说明</w:t>
      </w:r>
    </w:p>
    <w:p>
      <w:pPr>
        <w:widowControl/>
        <w:jc w:val="left"/>
        <w:rPr>
          <w:rFonts w:asciiTheme="minorEastAsia" w:hAnsiTheme="minorEastAsia" w:eastAsiaTheme="minorEastAsia"/>
          <w:sz w:val="32"/>
          <w:szCs w:val="32"/>
        </w:rPr>
      </w:pPr>
      <w:r>
        <w:br w:type="page"/>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年度收、支总计</w:t>
      </w:r>
      <w:r>
        <w:rPr>
          <w:rFonts w:hint="eastAsia" w:ascii="Times New Roman" w:hAnsi="Times New Roman" w:eastAsia="仿宋_GB2312"/>
          <w:sz w:val="32"/>
          <w:szCs w:val="32"/>
          <w:lang w:val="en-US" w:eastAsia="zh-CN"/>
        </w:rPr>
        <w:t>576.68</w:t>
      </w:r>
      <w:r>
        <w:rPr>
          <w:rFonts w:hint="eastAsia" w:ascii="Times New Roman" w:hAnsi="Times New Roman" w:eastAsia="仿宋_GB2312"/>
          <w:sz w:val="32"/>
          <w:szCs w:val="32"/>
        </w:rPr>
        <w:t>万元。与上年相比，增加</w:t>
      </w:r>
      <w:r>
        <w:rPr>
          <w:rFonts w:hint="eastAsia" w:ascii="Times New Roman" w:hAnsi="Times New Roman" w:eastAsia="仿宋_GB2312"/>
          <w:sz w:val="32"/>
          <w:szCs w:val="32"/>
          <w:lang w:val="en-US" w:eastAsia="zh-CN"/>
        </w:rPr>
        <w:t>25.56</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4.64</w:t>
      </w:r>
      <w:r>
        <w:rPr>
          <w:rFonts w:hint="eastAsia" w:ascii="Times New Roman" w:hAnsi="Times New Roman" w:eastAsia="仿宋_GB2312"/>
          <w:sz w:val="32"/>
          <w:szCs w:val="32"/>
        </w:rPr>
        <w:t>%，主要是因为</w:t>
      </w:r>
      <w:r>
        <w:rPr>
          <w:rFonts w:hint="eastAsia" w:ascii="Times New Roman" w:hAnsi="Times New Roman" w:eastAsia="仿宋_GB2312"/>
          <w:sz w:val="32"/>
          <w:szCs w:val="32"/>
          <w:lang w:val="en-US" w:eastAsia="zh-CN"/>
        </w:rPr>
        <w:t>年初结转结余增加。</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年度收入合计</w:t>
      </w:r>
      <w:r>
        <w:rPr>
          <w:rFonts w:hint="eastAsia" w:ascii="Times New Roman" w:hAnsi="Times New Roman" w:eastAsia="仿宋_GB2312"/>
          <w:sz w:val="32"/>
          <w:szCs w:val="32"/>
          <w:lang w:val="en-US" w:eastAsia="zh-CN"/>
        </w:rPr>
        <w:t>527.33</w:t>
      </w:r>
      <w:r>
        <w:rPr>
          <w:rFonts w:hint="eastAsia" w:ascii="Times New Roman" w:hAnsi="Times New Roman" w:eastAsia="仿宋_GB2312"/>
          <w:sz w:val="32"/>
          <w:szCs w:val="32"/>
        </w:rPr>
        <w:t>万元，其中：财政拨款收入</w:t>
      </w:r>
      <w:r>
        <w:rPr>
          <w:rFonts w:hint="eastAsia" w:ascii="Times New Roman" w:hAnsi="Times New Roman" w:eastAsia="仿宋_GB2312"/>
          <w:sz w:val="32"/>
          <w:szCs w:val="32"/>
          <w:lang w:val="en-US" w:eastAsia="zh-CN"/>
        </w:rPr>
        <w:t>527.33</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%；上级补助收入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%；事业收入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%；经营收入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%；附属单位上缴收入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%；其他收入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年度支出合计</w:t>
      </w:r>
      <w:r>
        <w:rPr>
          <w:rFonts w:hint="eastAsia" w:ascii="Times New Roman" w:hAnsi="Times New Roman" w:eastAsia="仿宋_GB2312"/>
          <w:sz w:val="32"/>
          <w:szCs w:val="32"/>
          <w:lang w:val="en-US" w:eastAsia="zh-CN"/>
        </w:rPr>
        <w:t>484.89</w:t>
      </w:r>
      <w:r>
        <w:rPr>
          <w:rFonts w:hint="eastAsia" w:ascii="Times New Roman" w:hAnsi="Times New Roman" w:eastAsia="仿宋_GB2312"/>
          <w:sz w:val="32"/>
          <w:szCs w:val="32"/>
        </w:rPr>
        <w:t>万元，其中：基本支出</w:t>
      </w:r>
      <w:r>
        <w:rPr>
          <w:rFonts w:hint="eastAsia" w:ascii="Times New Roman" w:hAnsi="Times New Roman" w:eastAsia="仿宋_GB2312"/>
          <w:sz w:val="32"/>
          <w:szCs w:val="32"/>
          <w:lang w:val="en-US" w:eastAsia="zh-CN"/>
        </w:rPr>
        <w:t>280.82</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57.92</w:t>
      </w:r>
      <w:r>
        <w:rPr>
          <w:rFonts w:hint="eastAsia" w:ascii="Times New Roman" w:hAnsi="Times New Roman" w:eastAsia="仿宋_GB2312"/>
          <w:sz w:val="32"/>
          <w:szCs w:val="32"/>
        </w:rPr>
        <w:t>%；项目支出</w:t>
      </w:r>
      <w:r>
        <w:rPr>
          <w:rFonts w:hint="eastAsia" w:ascii="Times New Roman" w:hAnsi="Times New Roman" w:eastAsia="仿宋_GB2312"/>
          <w:sz w:val="32"/>
          <w:szCs w:val="32"/>
          <w:lang w:val="en-US" w:eastAsia="zh-CN"/>
        </w:rPr>
        <w:t>204.06</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42.08</w:t>
      </w:r>
      <w:r>
        <w:rPr>
          <w:rFonts w:hint="eastAsia" w:ascii="Times New Roman" w:hAnsi="Times New Roman" w:eastAsia="仿宋_GB2312"/>
          <w:sz w:val="32"/>
          <w:szCs w:val="32"/>
        </w:rPr>
        <w:t>%。</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pPr>
        <w:pStyle w:val="12"/>
        <w:keepNext w:val="0"/>
        <w:keepLines w:val="0"/>
        <w:pageBreakBefore w:val="0"/>
        <w:widowControl w:val="0"/>
        <w:kinsoku/>
        <w:wordWrap/>
        <w:overflowPunct/>
        <w:topLinePunct w:val="0"/>
        <w:bidi w:val="0"/>
        <w:snapToGrid/>
        <w:spacing w:line="600" w:lineRule="exac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 xml:space="preserve">    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年度财政拨款收、支总计</w:t>
      </w:r>
      <w:r>
        <w:rPr>
          <w:rFonts w:hint="eastAsia" w:ascii="Times New Roman" w:hAnsi="Times New Roman" w:eastAsia="仿宋_GB2312"/>
          <w:sz w:val="32"/>
          <w:szCs w:val="32"/>
          <w:lang w:val="en-US" w:eastAsia="zh-CN"/>
        </w:rPr>
        <w:t>569.97</w:t>
      </w:r>
      <w:r>
        <w:rPr>
          <w:rFonts w:hint="eastAsia" w:ascii="Times New Roman" w:hAnsi="Times New Roman" w:eastAsia="仿宋_GB2312"/>
          <w:sz w:val="32"/>
          <w:szCs w:val="32"/>
        </w:rPr>
        <w:t>万元，与上年相比，增加</w:t>
      </w:r>
      <w:r>
        <w:rPr>
          <w:rFonts w:hint="eastAsia" w:ascii="Times New Roman" w:hAnsi="Times New Roman" w:eastAsia="仿宋_GB2312"/>
          <w:sz w:val="32"/>
          <w:szCs w:val="32"/>
          <w:lang w:val="en-US" w:eastAsia="zh-CN"/>
        </w:rPr>
        <w:t>25.61</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4.70</w:t>
      </w:r>
      <w:r>
        <w:rPr>
          <w:rFonts w:hint="eastAsia" w:ascii="Times New Roman" w:hAnsi="Times New Roman" w:eastAsia="仿宋_GB2312"/>
          <w:sz w:val="32"/>
          <w:szCs w:val="32"/>
        </w:rPr>
        <w:t>%，主要是因为</w:t>
      </w:r>
      <w:r>
        <w:rPr>
          <w:rFonts w:hint="eastAsia" w:ascii="Times New Roman" w:hAnsi="Times New Roman" w:eastAsia="仿宋_GB2312"/>
          <w:sz w:val="32"/>
          <w:szCs w:val="32"/>
          <w:lang w:val="en-US" w:eastAsia="zh-CN"/>
        </w:rPr>
        <w:t>年初结转结余增加。</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（一）财政拨款支出决算总体情况</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年度财政拨款支出</w:t>
      </w:r>
      <w:r>
        <w:rPr>
          <w:rFonts w:hint="eastAsia" w:ascii="Times New Roman" w:hAnsi="Times New Roman" w:eastAsia="仿宋_GB2312"/>
          <w:sz w:val="32"/>
          <w:szCs w:val="32"/>
          <w:lang w:val="en-US" w:eastAsia="zh-CN"/>
        </w:rPr>
        <w:t>484.74</w:t>
      </w:r>
      <w:r>
        <w:rPr>
          <w:rFonts w:hint="eastAsia" w:ascii="Times New Roman" w:hAnsi="Times New Roman" w:eastAsia="仿宋_GB2312"/>
          <w:sz w:val="32"/>
          <w:szCs w:val="32"/>
        </w:rPr>
        <w:t>万元，占本年支出合计的</w:t>
      </w:r>
      <w:r>
        <w:rPr>
          <w:rFonts w:hint="eastAsia" w:ascii="Times New Roman" w:hAnsi="Times New Roman" w:eastAsia="仿宋_GB2312"/>
          <w:sz w:val="32"/>
          <w:szCs w:val="32"/>
          <w:lang w:val="en-US" w:eastAsia="zh-CN"/>
        </w:rPr>
        <w:t>99.97</w:t>
      </w:r>
      <w:r>
        <w:rPr>
          <w:rFonts w:hint="eastAsia" w:ascii="Times New Roman" w:hAnsi="Times New Roman" w:eastAsia="仿宋_GB2312"/>
          <w:sz w:val="32"/>
          <w:szCs w:val="32"/>
        </w:rPr>
        <w:t>%，与上年相比，财政拨款支出增加</w:t>
      </w:r>
      <w:r>
        <w:rPr>
          <w:rFonts w:hint="eastAsia" w:ascii="Times New Roman" w:hAnsi="Times New Roman" w:eastAsia="仿宋_GB2312"/>
          <w:sz w:val="32"/>
          <w:szCs w:val="32"/>
          <w:lang w:val="en-US" w:eastAsia="zh-CN"/>
        </w:rPr>
        <w:t>11.46</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2.42</w:t>
      </w:r>
      <w:r>
        <w:rPr>
          <w:rFonts w:hint="eastAsia" w:ascii="Times New Roman" w:hAnsi="Times New Roman" w:eastAsia="仿宋_GB2312"/>
          <w:sz w:val="32"/>
          <w:szCs w:val="32"/>
        </w:rPr>
        <w:t>%，主要是因为</w:t>
      </w:r>
      <w:r>
        <w:rPr>
          <w:rFonts w:hint="eastAsia" w:ascii="Times New Roman" w:hAnsi="Times New Roman" w:eastAsia="仿宋_GB2312"/>
          <w:sz w:val="32"/>
          <w:szCs w:val="32"/>
          <w:lang w:val="en-US" w:eastAsia="zh-CN"/>
        </w:rPr>
        <w:t>年中追加绩效奖金。</w:t>
      </w:r>
    </w:p>
    <w:p>
      <w:pPr>
        <w:pStyle w:val="12"/>
        <w:keepNext w:val="0"/>
        <w:keepLines w:val="0"/>
        <w:pageBreakBefore w:val="0"/>
        <w:widowControl w:val="0"/>
        <w:kinsoku/>
        <w:wordWrap/>
        <w:overflowPunct/>
        <w:topLinePunct w:val="0"/>
        <w:bidi w:val="0"/>
        <w:snapToGrid/>
        <w:spacing w:line="600" w:lineRule="exact"/>
        <w:ind w:firstLine="480" w:firstLineChars="15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（二）财政拨款支出决算结构情况</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年度财政拨款支出</w:t>
      </w:r>
      <w:r>
        <w:rPr>
          <w:rFonts w:hint="eastAsia" w:ascii="Times New Roman" w:hAnsi="Times New Roman" w:eastAsia="仿宋_GB2312"/>
          <w:sz w:val="32"/>
          <w:szCs w:val="32"/>
          <w:lang w:val="en-US" w:eastAsia="zh-CN"/>
        </w:rPr>
        <w:t>484.74</w:t>
      </w:r>
      <w:r>
        <w:rPr>
          <w:rFonts w:hint="eastAsia" w:ascii="Times New Roman" w:hAnsi="Times New Roman" w:eastAsia="仿宋_GB2312"/>
          <w:sz w:val="32"/>
          <w:szCs w:val="32"/>
        </w:rPr>
        <w:t>万元，主要用于以下方面：社会保障和就业（类）支出</w:t>
      </w:r>
      <w:r>
        <w:rPr>
          <w:rFonts w:hint="eastAsia" w:ascii="Times New Roman" w:hAnsi="Times New Roman" w:eastAsia="仿宋_GB2312"/>
          <w:sz w:val="32"/>
          <w:szCs w:val="32"/>
          <w:lang w:val="en-US" w:eastAsia="zh-CN"/>
        </w:rPr>
        <w:t>16.93</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3.49</w:t>
      </w:r>
      <w:r>
        <w:rPr>
          <w:rFonts w:hint="eastAsia" w:ascii="Times New Roman" w:hAnsi="Times New Roman" w:eastAsia="仿宋_GB2312"/>
          <w:sz w:val="32"/>
          <w:szCs w:val="32"/>
        </w:rPr>
        <w:t>%；农林水（类）支出</w:t>
      </w:r>
      <w:r>
        <w:rPr>
          <w:rFonts w:hint="eastAsia" w:ascii="Times New Roman" w:hAnsi="Times New Roman" w:eastAsia="仿宋_GB2312"/>
          <w:sz w:val="32"/>
          <w:szCs w:val="32"/>
          <w:lang w:val="en-US" w:eastAsia="zh-CN"/>
        </w:rPr>
        <w:t>446.41</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92.09</w:t>
      </w:r>
      <w:r>
        <w:rPr>
          <w:rFonts w:hint="eastAsia" w:ascii="Times New Roman" w:hAnsi="Times New Roman" w:eastAsia="仿宋_GB2312"/>
          <w:sz w:val="32"/>
          <w:szCs w:val="32"/>
        </w:rPr>
        <w:t>%;住房保障（类）支出</w:t>
      </w:r>
      <w:r>
        <w:rPr>
          <w:rFonts w:hint="eastAsia" w:ascii="Times New Roman" w:hAnsi="Times New Roman" w:eastAsia="仿宋_GB2312"/>
          <w:sz w:val="32"/>
          <w:szCs w:val="32"/>
          <w:lang w:val="en-US" w:eastAsia="zh-CN"/>
        </w:rPr>
        <w:t>21.39</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4.41</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（三）财政拨款支出决算具体情况</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年度财政拨款支出年初预算数为</w:t>
      </w:r>
      <w:r>
        <w:rPr>
          <w:rFonts w:hint="eastAsia" w:ascii="Times New Roman" w:hAnsi="Times New Roman" w:eastAsia="仿宋_GB2312"/>
          <w:sz w:val="32"/>
          <w:szCs w:val="32"/>
          <w:lang w:val="en-US" w:eastAsia="zh-CN"/>
        </w:rPr>
        <w:t>528.70</w:t>
      </w:r>
      <w:r>
        <w:rPr>
          <w:rFonts w:hint="eastAsia" w:ascii="Times New Roman" w:hAnsi="Times New Roman" w:eastAsia="仿宋_GB2312"/>
          <w:sz w:val="32"/>
          <w:szCs w:val="32"/>
        </w:rPr>
        <w:t>万元，支出决算数为</w:t>
      </w:r>
      <w:r>
        <w:rPr>
          <w:rFonts w:hint="eastAsia" w:ascii="Times New Roman" w:hAnsi="Times New Roman" w:eastAsia="仿宋_GB2312"/>
          <w:sz w:val="32"/>
          <w:szCs w:val="32"/>
          <w:lang w:val="en-US" w:eastAsia="zh-CN"/>
        </w:rPr>
        <w:t>484.74</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91.68</w:t>
      </w:r>
      <w:r>
        <w:rPr>
          <w:rFonts w:hint="eastAsia" w:ascii="Times New Roman" w:hAnsi="Times New Roman" w:eastAsia="仿宋_GB2312"/>
          <w:sz w:val="32"/>
          <w:szCs w:val="32"/>
        </w:rPr>
        <w:t>%，其中：</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1、社会保障和就业（类）行政事业单位养老支出（款）机关事业单位基本养老保险缴费支出（项）。</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16.93</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16.93</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2、农林水（类）农业农村（款）行政运行（项）。</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年初预算</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为万元，支出决算为</w:t>
      </w:r>
      <w:r>
        <w:rPr>
          <w:rFonts w:hint="eastAsia" w:ascii="Times New Roman" w:hAnsi="Times New Roman" w:eastAsia="仿宋_GB2312"/>
          <w:sz w:val="32"/>
          <w:szCs w:val="32"/>
          <w:lang w:val="en-US" w:eastAsia="zh-CN"/>
        </w:rPr>
        <w:t>7.37</w:t>
      </w:r>
      <w:r>
        <w:rPr>
          <w:rFonts w:hint="eastAsia" w:ascii="Times New Roman" w:hAnsi="Times New Roman" w:eastAsia="仿宋_GB2312"/>
          <w:sz w:val="32"/>
          <w:szCs w:val="32"/>
        </w:rPr>
        <w:t>万元，决算数大于年初预算数的主要原因是：</w:t>
      </w:r>
      <w:r>
        <w:rPr>
          <w:rFonts w:hint="eastAsia" w:ascii="Times New Roman" w:hAnsi="Times New Roman" w:eastAsia="仿宋_GB2312"/>
          <w:sz w:val="32"/>
          <w:szCs w:val="32"/>
          <w:lang w:val="en-US" w:eastAsia="zh-CN"/>
        </w:rPr>
        <w:t>年中追加绩效奖金。</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、农林水（类）农业农村（款）事业运行（项）。</w:t>
      </w:r>
    </w:p>
    <w:p>
      <w:pPr>
        <w:pStyle w:val="12"/>
        <w:ind w:firstLine="640" w:firstLineChars="20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253.74</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235.13</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92.67</w:t>
      </w:r>
      <w:r>
        <w:rPr>
          <w:rFonts w:hint="eastAsia" w:ascii="Times New Roman" w:hAnsi="Times New Roman" w:eastAsia="仿宋_GB2312"/>
          <w:sz w:val="32"/>
          <w:szCs w:val="32"/>
        </w:rPr>
        <w:t>%，决算数小于年初预算数的主要原因是：</w:t>
      </w:r>
      <w:r>
        <w:rPr>
          <w:rFonts w:hint="eastAsia" w:ascii="Times New Roman" w:hAnsi="Times New Roman" w:eastAsia="仿宋_GB2312"/>
          <w:sz w:val="32"/>
          <w:szCs w:val="32"/>
          <w:lang w:val="en-US" w:eastAsia="zh-CN"/>
        </w:rPr>
        <w:t>绩效工资跨年发放。</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4</w:t>
      </w:r>
      <w:r>
        <w:rPr>
          <w:rFonts w:hint="eastAsia" w:ascii="Times New Roman" w:hAnsi="Times New Roman" w:eastAsia="仿宋_GB2312"/>
          <w:sz w:val="32"/>
          <w:szCs w:val="32"/>
        </w:rPr>
        <w:t>、农林水（类）农业农村（款）科技转化与推广服务（项）。</w:t>
      </w:r>
    </w:p>
    <w:p>
      <w:pPr>
        <w:pStyle w:val="12"/>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201.44</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167.38</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83.09</w:t>
      </w:r>
      <w:r>
        <w:rPr>
          <w:rFonts w:hint="eastAsia" w:ascii="Times New Roman" w:hAnsi="Times New Roman" w:eastAsia="仿宋_GB2312"/>
          <w:sz w:val="32"/>
          <w:szCs w:val="32"/>
        </w:rPr>
        <w:t>%，决算数小于年初预算数的主要原因是：</w:t>
      </w:r>
      <w:r>
        <w:rPr>
          <w:rFonts w:hint="eastAsia" w:ascii="Times New Roman" w:hAnsi="Times New Roman" w:eastAsia="仿宋_GB2312"/>
          <w:sz w:val="32"/>
          <w:szCs w:val="32"/>
          <w:lang w:val="en-US" w:eastAsia="zh-CN"/>
        </w:rPr>
        <w:t>项目因疫情原因出差任务减少</w:t>
      </w:r>
      <w:r>
        <w:rPr>
          <w:rFonts w:hint="eastAsia" w:ascii="Times New Roman" w:hAnsi="Times New Roman" w:eastAsia="仿宋_GB2312"/>
          <w:sz w:val="32"/>
          <w:szCs w:val="32"/>
          <w:lang w:eastAsia="zh-CN"/>
        </w:rPr>
        <w:t>。</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5</w:t>
      </w:r>
      <w:r>
        <w:rPr>
          <w:rFonts w:hint="eastAsia" w:ascii="Times New Roman" w:hAnsi="Times New Roman" w:eastAsia="仿宋_GB2312"/>
          <w:sz w:val="32"/>
          <w:szCs w:val="32"/>
        </w:rPr>
        <w:t>、农林水（类）农业农村（款）农产品质量安全（项）。</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3.41</w:t>
      </w:r>
      <w:r>
        <w:rPr>
          <w:rFonts w:hint="eastAsia" w:ascii="Times New Roman" w:hAnsi="Times New Roman" w:eastAsia="仿宋_GB2312"/>
          <w:sz w:val="32"/>
          <w:szCs w:val="32"/>
        </w:rPr>
        <w:t>万元，决算数大于年初预算数的主要原因是：</w:t>
      </w:r>
      <w:r>
        <w:rPr>
          <w:rFonts w:hint="eastAsia" w:ascii="Times New Roman" w:hAnsi="Times New Roman" w:eastAsia="仿宋_GB2312"/>
          <w:sz w:val="32"/>
          <w:szCs w:val="32"/>
          <w:lang w:val="en-US" w:eastAsia="zh-CN"/>
        </w:rPr>
        <w:t>年中追加农作物、畜禽种业安全监管项目资金。</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6</w:t>
      </w:r>
      <w:r>
        <w:rPr>
          <w:rFonts w:hint="eastAsia" w:ascii="Times New Roman" w:hAnsi="Times New Roman" w:eastAsia="仿宋_GB2312"/>
          <w:sz w:val="32"/>
          <w:szCs w:val="32"/>
        </w:rPr>
        <w:t>、农林水（类）农业农村（款）农业生产发展（项）。</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33.12</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33.12</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7</w:t>
      </w:r>
      <w:r>
        <w:rPr>
          <w:rFonts w:hint="eastAsia" w:ascii="Times New Roman" w:hAnsi="Times New Roman" w:eastAsia="仿宋_GB2312"/>
          <w:sz w:val="32"/>
          <w:szCs w:val="32"/>
        </w:rPr>
        <w:t>、住房保障（类）农住房改革支出（款）住房公积金（项）。</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23.47</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21.39</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91.14</w:t>
      </w:r>
      <w:r>
        <w:rPr>
          <w:rFonts w:hint="eastAsia" w:ascii="Times New Roman" w:hAnsi="Times New Roman" w:eastAsia="仿宋_GB2312"/>
          <w:sz w:val="32"/>
          <w:szCs w:val="32"/>
        </w:rPr>
        <w:t>%，决算数小于年初预算数的主要原因是：</w:t>
      </w:r>
      <w:r>
        <w:rPr>
          <w:rFonts w:hint="eastAsia" w:ascii="Times New Roman" w:hAnsi="Times New Roman" w:eastAsia="仿宋_GB2312"/>
          <w:sz w:val="32"/>
          <w:szCs w:val="32"/>
          <w:lang w:val="en-US" w:eastAsia="zh-CN"/>
        </w:rPr>
        <w:t>人员支出执行中与年初测算有一定差异。</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年度财政拨款基本支出</w:t>
      </w:r>
      <w:r>
        <w:rPr>
          <w:rFonts w:hint="eastAsia" w:ascii="Times New Roman" w:hAnsi="Times New Roman" w:eastAsia="仿宋_GB2312"/>
          <w:sz w:val="32"/>
          <w:szCs w:val="32"/>
          <w:lang w:val="en-US" w:eastAsia="zh-CN"/>
        </w:rPr>
        <w:t>280.82</w:t>
      </w:r>
      <w:r>
        <w:rPr>
          <w:rFonts w:hint="eastAsia" w:ascii="Times New Roman" w:hAnsi="Times New Roman" w:eastAsia="仿宋_GB2312"/>
          <w:sz w:val="32"/>
          <w:szCs w:val="32"/>
        </w:rPr>
        <w:t>万元，其中：</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b/>
          <w:bCs/>
          <w:sz w:val="32"/>
          <w:szCs w:val="32"/>
        </w:rPr>
        <w:t>人员经费</w:t>
      </w:r>
      <w:r>
        <w:rPr>
          <w:rFonts w:hint="eastAsia" w:ascii="Times New Roman" w:hAnsi="Times New Roman" w:eastAsia="仿宋_GB2312"/>
          <w:sz w:val="32"/>
          <w:szCs w:val="32"/>
          <w:lang w:val="en-US" w:eastAsia="zh-CN"/>
        </w:rPr>
        <w:t>253.97</w:t>
      </w:r>
      <w:r>
        <w:rPr>
          <w:rFonts w:hint="eastAsia" w:ascii="Times New Roman" w:hAnsi="Times New Roman" w:eastAsia="仿宋_GB2312"/>
          <w:sz w:val="32"/>
          <w:szCs w:val="32"/>
        </w:rPr>
        <w:t>万元，占基本支出的</w:t>
      </w:r>
      <w:r>
        <w:rPr>
          <w:rFonts w:hint="eastAsia" w:ascii="Times New Roman" w:hAnsi="Times New Roman" w:eastAsia="仿宋_GB2312"/>
          <w:sz w:val="32"/>
          <w:szCs w:val="32"/>
          <w:lang w:val="en-US" w:eastAsia="zh-CN"/>
        </w:rPr>
        <w:t>90.44</w:t>
      </w:r>
      <w:r>
        <w:rPr>
          <w:rFonts w:hint="eastAsia" w:ascii="Times New Roman" w:hAnsi="Times New Roman" w:eastAsia="仿宋_GB2312"/>
          <w:sz w:val="32"/>
          <w:szCs w:val="32"/>
        </w:rPr>
        <w:t>%,主要包括基本工资、津贴补贴、奖金、伙食补助费</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绩效工资、机关事业单位基本养老保险缴费、职工基本医疗保险缴费、其他社会保障缴费、医疗费、退休费、住房公积金、生活补助、奖励金等</w:t>
      </w:r>
      <w:r>
        <w:rPr>
          <w:rFonts w:hint="eastAsia" w:ascii="Times New Roman" w:hAnsi="Times New Roman" w:eastAsia="仿宋_GB2312"/>
          <w:sz w:val="32"/>
          <w:szCs w:val="32"/>
          <w:lang w:eastAsia="zh-CN"/>
        </w:rPr>
        <w:t>。</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b/>
          <w:bCs/>
          <w:sz w:val="32"/>
          <w:szCs w:val="32"/>
        </w:rPr>
        <w:t>公用经费</w:t>
      </w:r>
      <w:r>
        <w:rPr>
          <w:rFonts w:hint="eastAsia" w:ascii="Times New Roman" w:hAnsi="Times New Roman" w:eastAsia="仿宋_GB2312"/>
          <w:sz w:val="32"/>
          <w:szCs w:val="32"/>
          <w:lang w:val="en-US" w:eastAsia="zh-CN"/>
        </w:rPr>
        <w:t>26.85</w:t>
      </w:r>
      <w:r>
        <w:rPr>
          <w:rFonts w:hint="eastAsia" w:ascii="Times New Roman" w:hAnsi="Times New Roman" w:eastAsia="仿宋_GB2312"/>
          <w:sz w:val="32"/>
          <w:szCs w:val="32"/>
        </w:rPr>
        <w:t>万元，占基本支出的</w:t>
      </w:r>
      <w:r>
        <w:rPr>
          <w:rFonts w:hint="eastAsia" w:ascii="Times New Roman" w:hAnsi="Times New Roman" w:eastAsia="仿宋_GB2312"/>
          <w:sz w:val="32"/>
          <w:szCs w:val="32"/>
          <w:lang w:val="en-US" w:eastAsia="zh-CN"/>
        </w:rPr>
        <w:t>9.56</w:t>
      </w:r>
      <w:r>
        <w:rPr>
          <w:rFonts w:hint="eastAsia" w:ascii="Times New Roman" w:hAnsi="Times New Roman" w:eastAsia="仿宋_GB2312"/>
          <w:sz w:val="32"/>
          <w:szCs w:val="32"/>
        </w:rPr>
        <w:t>%，主要包括办公费、印刷费、咨询费、</w:t>
      </w:r>
      <w:r>
        <w:rPr>
          <w:rFonts w:hint="eastAsia" w:ascii="Times New Roman" w:hAnsi="Times New Roman" w:eastAsia="仿宋_GB2312"/>
          <w:sz w:val="32"/>
          <w:szCs w:val="32"/>
          <w:lang w:val="en-US" w:eastAsia="zh-CN"/>
        </w:rPr>
        <w:t>水费、电费、邮电费、差旅费、维修（护）费、培训费、劳务费、工会经费、福利费、其他交通费、其他商品和服务支出。</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ascii="黑体" w:hAnsi="黑体" w:eastAsia="黑体" w:cs="黑体"/>
          <w:b w:val="0"/>
          <w:bCs/>
          <w:sz w:val="32"/>
          <w:szCs w:val="32"/>
        </w:rPr>
        <w:t>七、财政拨款三公经费支出决算情况说明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“三公”经费财政拨款支出预算为</w:t>
      </w:r>
      <w:r>
        <w:rPr>
          <w:rFonts w:hint="eastAsia" w:ascii="Times New Roman" w:hAnsi="Times New Roman" w:eastAsia="仿宋_GB2312"/>
          <w:sz w:val="32"/>
          <w:szCs w:val="32"/>
          <w:lang w:val="en-US" w:eastAsia="zh-CN"/>
        </w:rPr>
        <w:t>0.33</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%，其中：</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因公出国（境）费支出预算为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val="en-US" w:eastAsia="zh-CN"/>
        </w:rPr>
        <w:t>与上年持平</w:t>
      </w:r>
      <w:r>
        <w:rPr>
          <w:rFonts w:hint="eastAsia" w:ascii="Times New Roman" w:hAnsi="Times New Roman" w:eastAsia="仿宋_GB2312"/>
          <w:sz w:val="32"/>
          <w:szCs w:val="32"/>
        </w:rPr>
        <w:t>。</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公务接待费支出预算为</w:t>
      </w:r>
      <w:r>
        <w:rPr>
          <w:rFonts w:hint="eastAsia" w:ascii="Times New Roman" w:hAnsi="Times New Roman" w:eastAsia="仿宋_GB2312"/>
          <w:sz w:val="32"/>
          <w:szCs w:val="32"/>
          <w:lang w:val="en-US" w:eastAsia="zh-CN"/>
        </w:rPr>
        <w:t>0.33</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%，决算数小于预算数的主要原因是</w:t>
      </w:r>
      <w:r>
        <w:rPr>
          <w:rFonts w:hint="eastAsia" w:ascii="Times New Roman" w:hAnsi="Times New Roman" w:eastAsia="仿宋_GB2312"/>
          <w:sz w:val="32"/>
          <w:szCs w:val="32"/>
          <w:lang w:val="en-US" w:eastAsia="zh-CN"/>
        </w:rPr>
        <w:t>单位厉行节约，未安排公务接待活动</w:t>
      </w:r>
      <w:r>
        <w:rPr>
          <w:rFonts w:hint="eastAsia" w:ascii="Times New Roman" w:hAnsi="Times New Roman" w:eastAsia="仿宋_GB2312"/>
          <w:sz w:val="32"/>
          <w:szCs w:val="32"/>
        </w:rPr>
        <w:t>，与上年相比减少</w:t>
      </w:r>
      <w:r>
        <w:rPr>
          <w:rFonts w:hint="eastAsia" w:ascii="Times New Roman" w:hAnsi="Times New Roman" w:eastAsia="仿宋_GB2312"/>
          <w:sz w:val="32"/>
          <w:szCs w:val="32"/>
          <w:lang w:val="en-US" w:eastAsia="zh-CN"/>
        </w:rPr>
        <w:t>0.33</w:t>
      </w:r>
      <w:r>
        <w:rPr>
          <w:rFonts w:hint="eastAsia" w:ascii="Times New Roman" w:hAnsi="Times New Roman" w:eastAsia="仿宋_GB2312"/>
          <w:sz w:val="32"/>
          <w:szCs w:val="32"/>
        </w:rPr>
        <w:t>万元，减少</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%,减少的主要原因是</w:t>
      </w:r>
      <w:r>
        <w:rPr>
          <w:rFonts w:hint="eastAsia" w:ascii="Times New Roman" w:hAnsi="Times New Roman" w:eastAsia="仿宋_GB2312"/>
          <w:sz w:val="32"/>
          <w:szCs w:val="32"/>
          <w:lang w:val="en-US" w:eastAsia="zh-CN"/>
        </w:rPr>
        <w:t>单位厉行节约，未安排公务接待活动</w:t>
      </w:r>
      <w:r>
        <w:rPr>
          <w:rFonts w:hint="eastAsia" w:ascii="Times New Roman" w:hAnsi="Times New Roman" w:eastAsia="仿宋_GB2312"/>
          <w:sz w:val="32"/>
          <w:szCs w:val="32"/>
        </w:rPr>
        <w:t>。</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公务用车购置费支出预算为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val="en-US" w:eastAsia="zh-CN"/>
        </w:rPr>
        <w:t>与上年持平</w:t>
      </w:r>
      <w:r>
        <w:rPr>
          <w:rFonts w:hint="eastAsia" w:ascii="Times New Roman" w:hAnsi="Times New Roman" w:eastAsia="仿宋_GB2312"/>
          <w:sz w:val="32"/>
          <w:szCs w:val="32"/>
        </w:rPr>
        <w:t>。</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公务用车运行维护费支出预算为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val="en-US" w:eastAsia="zh-CN"/>
        </w:rPr>
        <w:t>与上年持平</w:t>
      </w:r>
      <w:r>
        <w:rPr>
          <w:rFonts w:hint="eastAsia" w:ascii="Times New Roman" w:hAnsi="Times New Roman" w:eastAsia="仿宋_GB2312"/>
          <w:sz w:val="32"/>
          <w:szCs w:val="32"/>
        </w:rPr>
        <w:t>。</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2</w:t>
      </w:r>
      <w:r>
        <w:rPr>
          <w:rFonts w:hint="eastAsia" w:ascii="Times New Roman" w:hAnsi="Times New Roman" w:eastAsia="仿宋_GB2312"/>
          <w:color w:val="auto"/>
          <w:sz w:val="32"/>
          <w:szCs w:val="32"/>
        </w:rPr>
        <w:t>年度“三公”经费财政拨款支出决算中，公务接待费支出决算</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lang w:val="en-US" w:eastAsia="zh-CN"/>
        </w:rPr>
        <w:t>占100%，</w:t>
      </w:r>
      <w:r>
        <w:rPr>
          <w:rFonts w:hint="eastAsia" w:ascii="Times New Roman" w:hAnsi="Times New Roman" w:eastAsia="仿宋_GB2312"/>
          <w:color w:val="auto"/>
          <w:sz w:val="32"/>
          <w:szCs w:val="32"/>
        </w:rPr>
        <w:t>因公出国（境）费支出决算</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lang w:val="en-US" w:eastAsia="zh-CN"/>
        </w:rPr>
        <w:t>占0%</w:t>
      </w:r>
      <w:r>
        <w:rPr>
          <w:rFonts w:hint="eastAsia" w:ascii="Times New Roman" w:hAnsi="Times New Roman" w:eastAsia="仿宋_GB2312"/>
          <w:color w:val="auto"/>
          <w:sz w:val="32"/>
          <w:szCs w:val="32"/>
        </w:rPr>
        <w:t>，公务用车购置费及运行维护费支出决算</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lang w:val="en-US" w:eastAsia="zh-CN"/>
        </w:rPr>
        <w:t>占0%</w:t>
      </w:r>
      <w:r>
        <w:rPr>
          <w:rFonts w:hint="eastAsia" w:ascii="Times New Roman" w:hAnsi="Times New Roman" w:eastAsia="仿宋_GB2312"/>
          <w:color w:val="auto"/>
          <w:sz w:val="32"/>
          <w:szCs w:val="32"/>
          <w:lang w:eastAsia="zh-CN"/>
        </w:rPr>
        <w:t>。</w:t>
      </w:r>
      <w:r>
        <w:rPr>
          <w:rFonts w:hint="eastAsia" w:ascii="Times New Roman" w:hAnsi="Times New Roman" w:eastAsia="仿宋_GB2312"/>
          <w:sz w:val="32"/>
          <w:szCs w:val="32"/>
        </w:rPr>
        <w:t>其中：</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仿宋_GB2312" w:cs="楷体"/>
          <w:b/>
          <w:bCs/>
          <w:i/>
          <w:color w:val="auto"/>
          <w:sz w:val="32"/>
          <w:szCs w:val="32"/>
          <w:lang w:eastAsia="zh-CN"/>
        </w:rPr>
      </w:pP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因公出国（境）费支出决算为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highlight w:val="none"/>
        </w:rPr>
        <w:t>，全年安排因公出国（境）团组0个，累计0人次</w:t>
      </w:r>
      <w:r>
        <w:rPr>
          <w:rFonts w:hint="eastAsia" w:ascii="Times New Roman" w:hAnsi="Times New Roman" w:eastAsia="仿宋_GB2312"/>
          <w:sz w:val="32"/>
          <w:szCs w:val="32"/>
          <w:lang w:eastAsia="zh-CN"/>
        </w:rPr>
        <w:t>。</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2、公务接待费支出决算为</w:t>
      </w:r>
      <w:r>
        <w:rPr>
          <w:rFonts w:hint="eastAsia" w:ascii="Times New Roman" w:hAnsi="Times New Roman" w:eastAsia="仿宋_GB2312"/>
          <w:sz w:val="32"/>
          <w:szCs w:val="32"/>
          <w:lang w:val="en-US" w:eastAsia="zh-CN"/>
        </w:rPr>
        <w:t>0.03</w:t>
      </w:r>
      <w:r>
        <w:rPr>
          <w:rFonts w:hint="eastAsia" w:ascii="Times New Roman" w:hAnsi="Times New Roman" w:eastAsia="仿宋_GB2312"/>
          <w:sz w:val="32"/>
          <w:szCs w:val="32"/>
        </w:rPr>
        <w:t>万元，全年共接待来访团组</w:t>
      </w: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个、来宾</w:t>
      </w:r>
      <w:r>
        <w:rPr>
          <w:rFonts w:hint="eastAsia" w:ascii="Times New Roman" w:hAnsi="Times New Roman" w:eastAsia="仿宋_GB2312"/>
          <w:sz w:val="32"/>
          <w:szCs w:val="32"/>
          <w:lang w:val="en-US" w:eastAsia="zh-CN"/>
        </w:rPr>
        <w:t>3</w:t>
      </w:r>
      <w:bookmarkStart w:id="1" w:name="_GoBack"/>
      <w:bookmarkEnd w:id="1"/>
      <w:r>
        <w:rPr>
          <w:rFonts w:hint="eastAsia" w:ascii="Times New Roman" w:hAnsi="Times New Roman" w:eastAsia="仿宋_GB2312"/>
          <w:sz w:val="32"/>
          <w:szCs w:val="32"/>
        </w:rPr>
        <w:t>人次。</w:t>
      </w:r>
    </w:p>
    <w:p>
      <w:pPr>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bCs/>
          <w:i/>
          <w:color w:val="auto"/>
          <w:kern w:val="0"/>
          <w:sz w:val="32"/>
          <w:szCs w:val="32"/>
          <w:lang w:val="en-US" w:eastAsia="zh-CN" w:bidi="ar-SA"/>
        </w:rPr>
      </w:pPr>
      <w:r>
        <w:rPr>
          <w:rFonts w:hint="eastAsia" w:ascii="Times New Roman" w:hAnsi="Times New Roman" w:eastAsia="仿宋_GB2312"/>
          <w:sz w:val="32"/>
          <w:szCs w:val="32"/>
        </w:rPr>
        <w:t>3、公务用车购置费及运行维护费支出决算为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万元，其中：公务用车购置费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万元，单位本级更新公务用车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公务用车运行维护费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万元，截止202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年12月31日，我单位开支财政拨款的公务用车保有量为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八、政府性基金预算收入支出决算情况</w:t>
      </w:r>
    </w:p>
    <w:p>
      <w:pPr>
        <w:pStyle w:val="12"/>
        <w:keepNext w:val="0"/>
        <w:keepLines w:val="0"/>
        <w:pageBreakBefore w:val="0"/>
        <w:widowControl w:val="0"/>
        <w:kinsoku/>
        <w:wordWrap/>
        <w:overflowPunct/>
        <w:topLinePunct w:val="0"/>
        <w:bidi w:val="0"/>
        <w:snapToGrid/>
        <w:spacing w:line="600" w:lineRule="exact"/>
        <w:textAlignment w:val="auto"/>
        <w:rPr>
          <w:rFonts w:hint="eastAsia" w:ascii="楷体" w:hAnsi="楷体" w:eastAsia="楷体" w:cs="楷体"/>
          <w:b w:val="0"/>
          <w:bCs w:val="0"/>
          <w:i w:val="0"/>
          <w:iCs/>
          <w:color w:val="auto"/>
          <w:kern w:val="0"/>
          <w:sz w:val="32"/>
          <w:szCs w:val="32"/>
          <w:lang w:val="en-US" w:eastAsia="zh-CN" w:bidi="ar-SA"/>
        </w:rPr>
      </w:pPr>
      <w:r>
        <w:rPr>
          <w:rFonts w:hint="eastAsia" w:ascii="Times New Roman" w:hAnsi="Times New Roman" w:eastAsia="仿宋_GB2312"/>
          <w:sz w:val="32"/>
          <w:szCs w:val="32"/>
        </w:rPr>
        <w:t xml:space="preserve">     </w:t>
      </w:r>
      <w:r>
        <w:rPr>
          <w:rFonts w:hint="eastAsia" w:ascii="楷体" w:hAnsi="楷体" w:eastAsia="楷体" w:cs="楷体"/>
          <w:b w:val="0"/>
          <w:bCs w:val="0"/>
          <w:i w:val="0"/>
          <w:iCs/>
          <w:color w:val="auto"/>
          <w:kern w:val="0"/>
          <w:sz w:val="32"/>
          <w:szCs w:val="32"/>
          <w:lang w:val="en-US" w:eastAsia="zh-CN" w:bidi="ar-SA"/>
        </w:rPr>
        <w:t>本单位无政府性基金收支。</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ascii="Times New Roman" w:hAnsi="Times New Roman" w:eastAsia="仿宋_GB2312"/>
          <w:b/>
          <w:sz w:val="32"/>
          <w:szCs w:val="32"/>
        </w:rPr>
        <w:t>九、关于机关运行经费支出说明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本部门202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年度机关运行经费支出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与上年持平</w:t>
      </w:r>
      <w:r>
        <w:rPr>
          <w:rFonts w:hint="eastAsia" w:ascii="Times New Roman" w:hAnsi="Times New Roman" w:eastAsia="仿宋_GB2312"/>
          <w:sz w:val="32"/>
          <w:szCs w:val="32"/>
        </w:rPr>
        <w:t>。</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十、一般性支出情况说明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年本部门开支会议费</w:t>
      </w:r>
      <w:r>
        <w:rPr>
          <w:rFonts w:hint="eastAsia" w:ascii="Times New Roman" w:hAnsi="Times New Roman" w:eastAsia="仿宋_GB2312"/>
          <w:sz w:val="32"/>
          <w:szCs w:val="32"/>
          <w:lang w:val="en-US" w:eastAsia="zh-CN"/>
        </w:rPr>
        <w:t>0.06</w:t>
      </w:r>
      <w:r>
        <w:rPr>
          <w:rFonts w:hint="eastAsia" w:ascii="Times New Roman" w:hAnsi="Times New Roman" w:eastAsia="仿宋_GB2312"/>
          <w:sz w:val="32"/>
          <w:szCs w:val="32"/>
        </w:rPr>
        <w:t>万元，用于召开</w:t>
      </w:r>
      <w:r>
        <w:rPr>
          <w:rFonts w:hint="eastAsia" w:ascii="Times New Roman" w:hAnsi="Times New Roman" w:eastAsia="仿宋_GB2312"/>
          <w:sz w:val="32"/>
          <w:szCs w:val="32"/>
          <w:lang w:val="en-US" w:eastAsia="zh-CN"/>
        </w:rPr>
        <w:t>非主要农作物品种登记材料专家审议</w:t>
      </w:r>
      <w:r>
        <w:rPr>
          <w:rFonts w:hint="eastAsia" w:ascii="Times New Roman" w:hAnsi="Times New Roman" w:eastAsia="仿宋_GB2312"/>
          <w:sz w:val="32"/>
          <w:szCs w:val="32"/>
        </w:rPr>
        <w:t>会议，人数</w:t>
      </w:r>
      <w:r>
        <w:rPr>
          <w:rFonts w:hint="eastAsia" w:ascii="Times New Roman" w:hAnsi="Times New Roman" w:eastAsia="仿宋_GB2312"/>
          <w:sz w:val="32"/>
          <w:szCs w:val="32"/>
          <w:lang w:val="en-US" w:eastAsia="zh-CN"/>
        </w:rPr>
        <w:t>12</w:t>
      </w:r>
      <w:r>
        <w:rPr>
          <w:rFonts w:hint="eastAsia" w:ascii="Times New Roman" w:hAnsi="Times New Roman" w:eastAsia="仿宋_GB2312"/>
          <w:sz w:val="32"/>
          <w:szCs w:val="32"/>
        </w:rPr>
        <w:t>人，内容为</w:t>
      </w:r>
      <w:r>
        <w:rPr>
          <w:rFonts w:hint="eastAsia" w:ascii="Times New Roman" w:hAnsi="Times New Roman" w:eastAsia="仿宋_GB2312"/>
          <w:sz w:val="32"/>
          <w:szCs w:val="32"/>
          <w:lang w:val="en-US" w:eastAsia="zh-CN"/>
        </w:rPr>
        <w:t>要农作物品种登记材料专家审议</w:t>
      </w:r>
      <w:r>
        <w:rPr>
          <w:rFonts w:hint="eastAsia" w:ascii="Times New Roman" w:hAnsi="Times New Roman" w:eastAsia="仿宋_GB2312"/>
          <w:sz w:val="32"/>
          <w:szCs w:val="32"/>
        </w:rPr>
        <w:t>；开支培训费</w:t>
      </w:r>
      <w:r>
        <w:rPr>
          <w:rFonts w:hint="eastAsia" w:ascii="Times New Roman" w:hAnsi="Times New Roman" w:eastAsia="仿宋_GB2312"/>
          <w:sz w:val="32"/>
          <w:szCs w:val="32"/>
          <w:lang w:val="en-US" w:eastAsia="zh-CN"/>
        </w:rPr>
        <w:t>0.52</w:t>
      </w:r>
      <w:r>
        <w:rPr>
          <w:rFonts w:hint="eastAsia" w:ascii="Times New Roman" w:hAnsi="Times New Roman" w:eastAsia="仿宋_GB2312"/>
          <w:sz w:val="32"/>
          <w:szCs w:val="32"/>
        </w:rPr>
        <w:t>万元，用于开展</w:t>
      </w:r>
      <w:r>
        <w:rPr>
          <w:rFonts w:hint="eastAsia" w:ascii="Times New Roman" w:hAnsi="Times New Roman" w:eastAsia="仿宋_GB2312"/>
          <w:sz w:val="32"/>
          <w:szCs w:val="32"/>
          <w:lang w:val="en-US" w:eastAsia="zh-CN"/>
        </w:rPr>
        <w:t>事业单位人员</w:t>
      </w:r>
      <w:r>
        <w:rPr>
          <w:rFonts w:hint="eastAsia" w:ascii="Times New Roman" w:hAnsi="Times New Roman" w:eastAsia="仿宋_GB2312"/>
          <w:sz w:val="32"/>
          <w:szCs w:val="32"/>
        </w:rPr>
        <w:t>培训，人数</w:t>
      </w:r>
      <w:r>
        <w:rPr>
          <w:rFonts w:hint="eastAsia" w:ascii="Times New Roman" w:hAnsi="Times New Roman" w:eastAsia="仿宋_GB2312"/>
          <w:sz w:val="32"/>
          <w:szCs w:val="32"/>
          <w:lang w:val="en-US" w:eastAsia="zh-CN"/>
        </w:rPr>
        <w:t>8</w:t>
      </w:r>
      <w:r>
        <w:rPr>
          <w:rFonts w:hint="eastAsia" w:ascii="Times New Roman" w:hAnsi="Times New Roman" w:eastAsia="仿宋_GB2312"/>
          <w:sz w:val="32"/>
          <w:szCs w:val="32"/>
        </w:rPr>
        <w:t>人，内容为</w:t>
      </w:r>
      <w:r>
        <w:rPr>
          <w:rFonts w:hint="eastAsia" w:ascii="Times New Roman" w:hAnsi="Times New Roman" w:eastAsia="仿宋_GB2312"/>
          <w:sz w:val="32"/>
          <w:szCs w:val="32"/>
          <w:lang w:val="en-US" w:eastAsia="zh-CN"/>
        </w:rPr>
        <w:t>事业单位人员</w:t>
      </w:r>
      <w:r>
        <w:rPr>
          <w:rFonts w:hint="eastAsia" w:ascii="Times New Roman" w:hAnsi="Times New Roman" w:eastAsia="仿宋_GB2312"/>
          <w:sz w:val="32"/>
          <w:szCs w:val="32"/>
        </w:rPr>
        <w:t>培训；</w:t>
      </w:r>
      <w:r>
        <w:rPr>
          <w:rFonts w:hint="eastAsia" w:ascii="Times New Roman" w:hAnsi="Times New Roman" w:eastAsia="仿宋_GB2312"/>
          <w:sz w:val="32"/>
          <w:szCs w:val="32"/>
          <w:lang w:val="en-US" w:eastAsia="zh-CN"/>
        </w:rPr>
        <w:t>未</w:t>
      </w:r>
      <w:r>
        <w:rPr>
          <w:rFonts w:hint="eastAsia" w:ascii="Times New Roman" w:hAnsi="Times New Roman" w:eastAsia="仿宋_GB2312"/>
          <w:sz w:val="32"/>
          <w:szCs w:val="32"/>
        </w:rPr>
        <w:t>举办节庆、晚会、论坛、赛事活动</w:t>
      </w:r>
      <w:r>
        <w:rPr>
          <w:rFonts w:hint="eastAsia" w:ascii="Times New Roman" w:hAnsi="Times New Roman" w:eastAsia="仿宋_GB2312"/>
          <w:sz w:val="32"/>
          <w:szCs w:val="32"/>
          <w:lang w:eastAsia="zh-CN"/>
        </w:rPr>
        <w:t>。</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十一、关于政府采购支出说明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i/>
          <w:color w:val="auto"/>
          <w:kern w:val="0"/>
          <w:sz w:val="32"/>
          <w:szCs w:val="32"/>
          <w:lang w:val="en-US" w:eastAsia="zh-CN" w:bidi="ar-SA"/>
        </w:rPr>
      </w:pPr>
      <w:r>
        <w:rPr>
          <w:rFonts w:hint="eastAsia" w:ascii="Times New Roman" w:hAnsi="Times New Roman" w:eastAsia="仿宋_GB2312"/>
          <w:sz w:val="32"/>
          <w:szCs w:val="32"/>
        </w:rPr>
        <w:t>本部门202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年度政府采购支出总额</w:t>
      </w:r>
      <w:r>
        <w:rPr>
          <w:rFonts w:hint="eastAsia" w:ascii="Times New Roman" w:hAnsi="Times New Roman" w:eastAsia="仿宋_GB2312"/>
          <w:sz w:val="32"/>
          <w:szCs w:val="32"/>
          <w:lang w:val="en-US" w:eastAsia="zh-CN"/>
        </w:rPr>
        <w:t>20.88</w:t>
      </w:r>
      <w:r>
        <w:rPr>
          <w:rFonts w:hint="eastAsia" w:ascii="Times New Roman" w:hAnsi="Times New Roman" w:eastAsia="仿宋_GB2312"/>
          <w:sz w:val="32"/>
          <w:szCs w:val="32"/>
        </w:rPr>
        <w:t>万元，其中：政府采购货物支出</w:t>
      </w:r>
      <w:r>
        <w:rPr>
          <w:rFonts w:hint="eastAsia" w:ascii="Times New Roman" w:hAnsi="Times New Roman" w:eastAsia="仿宋_GB2312"/>
          <w:sz w:val="32"/>
          <w:szCs w:val="32"/>
          <w:lang w:val="en-US" w:eastAsia="zh-CN"/>
        </w:rPr>
        <w:t>8.15</w:t>
      </w:r>
      <w:r>
        <w:rPr>
          <w:rFonts w:hint="eastAsia" w:ascii="Times New Roman" w:hAnsi="Times New Roman" w:eastAsia="仿宋_GB2312"/>
          <w:sz w:val="32"/>
          <w:szCs w:val="32"/>
        </w:rPr>
        <w:t>万元、政府采购工程支出</w:t>
      </w:r>
      <w:r>
        <w:rPr>
          <w:rFonts w:hint="eastAsia" w:ascii="Times New Roman" w:hAnsi="Times New Roman" w:eastAsia="仿宋_GB2312"/>
          <w:sz w:val="32"/>
          <w:szCs w:val="32"/>
          <w:lang w:val="en-US" w:eastAsia="zh-CN"/>
        </w:rPr>
        <w:t>2.10</w:t>
      </w:r>
      <w:r>
        <w:rPr>
          <w:rFonts w:hint="eastAsia" w:ascii="Times New Roman" w:hAnsi="Times New Roman" w:eastAsia="仿宋_GB2312"/>
          <w:sz w:val="32"/>
          <w:szCs w:val="32"/>
        </w:rPr>
        <w:t>万元、政府采购服务支出</w:t>
      </w:r>
      <w:r>
        <w:rPr>
          <w:rFonts w:hint="eastAsia" w:ascii="Times New Roman" w:hAnsi="Times New Roman" w:eastAsia="仿宋_GB2312"/>
          <w:sz w:val="32"/>
          <w:szCs w:val="32"/>
          <w:lang w:val="en-US" w:eastAsia="zh-CN"/>
        </w:rPr>
        <w:t>10.63</w:t>
      </w:r>
      <w:r>
        <w:rPr>
          <w:rFonts w:hint="eastAsia" w:ascii="Times New Roman" w:hAnsi="Times New Roman" w:eastAsia="仿宋_GB2312"/>
          <w:sz w:val="32"/>
          <w:szCs w:val="32"/>
        </w:rPr>
        <w:t>万元。授予中小企业合同金额</w:t>
      </w:r>
      <w:r>
        <w:rPr>
          <w:rFonts w:hint="eastAsia" w:ascii="Times New Roman" w:hAnsi="Times New Roman" w:eastAsia="仿宋_GB2312"/>
          <w:sz w:val="32"/>
          <w:szCs w:val="32"/>
          <w:lang w:val="en-US" w:eastAsia="zh-CN"/>
        </w:rPr>
        <w:t>20.88</w:t>
      </w:r>
      <w:r>
        <w:rPr>
          <w:rFonts w:hint="eastAsia" w:ascii="Times New Roman" w:hAnsi="Times New Roman" w:eastAsia="仿宋_GB2312"/>
          <w:sz w:val="32"/>
          <w:szCs w:val="32"/>
        </w:rPr>
        <w:t>万元，占政府采购支出总额的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%，其中：授予小微企业合同金额</w:t>
      </w:r>
      <w:r>
        <w:rPr>
          <w:rFonts w:hint="eastAsia" w:ascii="Times New Roman" w:hAnsi="Times New Roman" w:eastAsia="仿宋_GB2312"/>
          <w:sz w:val="32"/>
          <w:szCs w:val="32"/>
          <w:lang w:val="en-US" w:eastAsia="zh-CN"/>
        </w:rPr>
        <w:t>20.88</w:t>
      </w:r>
      <w:r>
        <w:rPr>
          <w:rFonts w:hint="eastAsia" w:ascii="Times New Roman" w:hAnsi="Times New Roman" w:eastAsia="仿宋_GB2312"/>
          <w:sz w:val="32"/>
          <w:szCs w:val="32"/>
        </w:rPr>
        <w:t>万元，占政府采购支出总额的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%。货物采购授予中小企业合同金额占货物支出金额的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%，工程采购授予中小企业合同金额占工程支出金额的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%，服务采购授予中小企业合同金额占服务支出金额的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十二、关于国有资产占用情况说明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截至202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年12月31日，本单位共有车辆</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辆，其中，主要领导干部用车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辆，机要通信用车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辆、应急保障用车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辆、执法执勤用车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辆、特种专业技术用车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辆、其他用车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辆；单位价值50万元以上通用设备</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台（套）；单位价值100万元以上专用设备</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台（套）。</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十三、关于</w:t>
      </w: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黑体" w:hAnsi="黑体" w:eastAsia="黑体" w:cs="黑体"/>
          <w:b w:val="0"/>
          <w:bCs/>
          <w:sz w:val="32"/>
          <w:szCs w:val="32"/>
        </w:rPr>
        <w:t>年度预算绩效情况的说明</w:t>
      </w:r>
    </w:p>
    <w:p>
      <w:pPr>
        <w:pStyle w:val="12"/>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（一）</w:t>
      </w:r>
      <w:r>
        <w:rPr>
          <w:rFonts w:hint="eastAsia" w:ascii="楷体" w:hAnsi="楷体" w:eastAsia="楷体" w:cs="楷体"/>
          <w:b/>
          <w:bCs/>
          <w:sz w:val="32"/>
          <w:szCs w:val="32"/>
        </w:rPr>
        <w:t>部门整体支出绩效情况</w:t>
      </w:r>
    </w:p>
    <w:p>
      <w:pPr>
        <w:pStyle w:val="12"/>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运行成本</w:t>
      </w:r>
    </w:p>
    <w:p>
      <w:pPr>
        <w:pStyle w:val="12"/>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全年预算数576.69万元，决算数484.89万元，执行率84.08%，我单位全年整体支出控制在预算范围内。</w:t>
      </w:r>
    </w:p>
    <w:p>
      <w:pPr>
        <w:pStyle w:val="12"/>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人员经费预算数288.23万元，决算数253.97万元，公用经费数27.34万元，决算数26.85万元，均控制在预算范围内。</w:t>
      </w:r>
    </w:p>
    <w:p>
      <w:pPr>
        <w:pStyle w:val="12"/>
        <w:keepNext w:val="0"/>
        <w:keepLines w:val="0"/>
        <w:pageBreakBefore w:val="0"/>
        <w:widowControl w:val="0"/>
        <w:numPr>
          <w:ilvl w:val="0"/>
          <w:numId w:val="2"/>
        </w:numPr>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管理效率</w:t>
      </w:r>
    </w:p>
    <w:p>
      <w:pPr>
        <w:spacing w:line="50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完成辣椒、油菜、茶树、番茄、西瓜、甜瓜等作物59个申请登记品种的受理和初步审查，纸质材料的收集，召开了第二十三批非主要农作物品种登记材料专家审核会议，按照相关程序报省种子管理服务站和种业管理处审核，完成湖南省农业农村厅《关于“沣油330”等59个申请登记的非主要农作物品种审查情况的报告》，10月17日已报农业部审批。</w:t>
      </w:r>
    </w:p>
    <w:p>
      <w:pPr>
        <w:spacing w:line="50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完成“油菜已登记品种符合性验证试验”工作，形成试验报告；6月24日召开专家评议会，对参试品种的DUS数据进行了逐一比对，确定了参试品种的符合性并对下一步规范开展符合性验证试验提出了建议。完成了“辣椒已登记品种符合性验证试验”工作，形成试验报告；7月26日召开专家现场评议会，对参试品种的田间表现与申请材料进行了逐一比对，确定了参试品种的符合性并对下一步规范开展符合性验证试验提出了建议。</w:t>
      </w:r>
    </w:p>
    <w:p>
      <w:pPr>
        <w:spacing w:line="50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开展“油菜已登记品种符合性验证试验”和“辣椒已登记品种符合性验证试验”工作，目前，已完成2022-2023年度已登记油菜品种符合性验证试验的品种征集和编密工作，并移交试验承担单位完成播种工作；辣椒试验正在征集品种。</w:t>
      </w:r>
    </w:p>
    <w:p>
      <w:pPr>
        <w:pStyle w:val="12"/>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、履职效能</w:t>
      </w:r>
    </w:p>
    <w:p>
      <w:pPr>
        <w:spacing w:line="50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省级主要农作物品种试验报告。完成了“省级主要农作物品种试验数据汇总与分析系统”的升级与改造。已完成早稻、中稻迟熟二组</w:t>
      </w:r>
      <w:r>
        <w:rPr>
          <w:rFonts w:hint="eastAsia" w:ascii="仿宋" w:hAnsi="仿宋" w:eastAsia="仿宋" w:cs="仿宋"/>
          <w:sz w:val="32"/>
          <w:szCs w:val="32"/>
          <w:lang w:eastAsia="zh-CN"/>
        </w:rPr>
        <w:t>、</w:t>
      </w:r>
      <w:r>
        <w:rPr>
          <w:rFonts w:hint="eastAsia" w:ascii="仿宋" w:hAnsi="仿宋" w:eastAsia="仿宋" w:cs="仿宋"/>
          <w:sz w:val="32"/>
          <w:szCs w:val="32"/>
        </w:rPr>
        <w:t>玉米、中稻和春大豆</w:t>
      </w:r>
      <w:r>
        <w:rPr>
          <w:rFonts w:hint="eastAsia" w:ascii="仿宋" w:hAnsi="仿宋" w:eastAsia="仿宋" w:cs="仿宋"/>
          <w:sz w:val="32"/>
          <w:szCs w:val="32"/>
          <w:lang w:eastAsia="zh-CN"/>
        </w:rPr>
        <w:t>、</w:t>
      </w:r>
      <w:r>
        <w:rPr>
          <w:rFonts w:hint="eastAsia" w:ascii="仿宋" w:hAnsi="仿宋" w:eastAsia="仿宋" w:cs="仿宋"/>
          <w:sz w:val="32"/>
          <w:szCs w:val="32"/>
        </w:rPr>
        <w:t>夏大豆品种区域试验总结。</w:t>
      </w:r>
    </w:p>
    <w:p>
      <w:pPr>
        <w:spacing w:line="50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完成了2021年省级主要农作物品种试验拟审定品种的资料汇编。包括13个水稻品种，9个玉米品种，1个棉花品种2年关键试验数据汇总、审定公告(草案)审核修改等,为全省主要农作物品种初审会议做好了资料准备，确保在年前完成(省级)品种初审定工作。</w:t>
      </w:r>
    </w:p>
    <w:p>
      <w:pPr>
        <w:spacing w:line="50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针对今年新纳入省级统一试验的大豆品种试验，编写“大豆品种试验观察记载项目、方法及标准”，编制“大豆品种试验记载手册”，印刷成册后发给各试验点用于试验数据记载。</w:t>
      </w:r>
    </w:p>
    <w:p>
      <w:pPr>
        <w:spacing w:line="50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按照“三专一档”的要求，完成《2021年湖南省农作物区域试验品种报告》编辑、印刷和归档。报送《报告》纸质版二份给省种子管理服务站存档。</w:t>
      </w:r>
    </w:p>
    <w:p>
      <w:pPr>
        <w:spacing w:line="50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协助省种子管理服务站完成了早稻、玉米、大豆区试苗期检查工作，并形成了苗期考察报告。协助省种子管理服务站完成了全省水稻、玉米、大豆品种试验专家考察工作，并形成专家考察报告。参与了国家水稻品种多渠道试验监督检查。</w:t>
      </w:r>
    </w:p>
    <w:p>
      <w:pPr>
        <w:spacing w:line="50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（6）</w:t>
      </w:r>
      <w:r>
        <w:rPr>
          <w:rFonts w:hint="eastAsia" w:ascii="仿宋" w:hAnsi="仿宋" w:eastAsia="仿宋" w:cs="仿宋"/>
          <w:sz w:val="32"/>
          <w:szCs w:val="32"/>
        </w:rPr>
        <w:t>完成了水稻、玉米、大豆区域试验和抗性鉴定等试验合同签订，试验费已经全部支付完成。</w:t>
      </w:r>
    </w:p>
    <w:p>
      <w:pPr>
        <w:spacing w:line="50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（7）</w:t>
      </w:r>
      <w:r>
        <w:rPr>
          <w:rFonts w:hint="eastAsia" w:ascii="仿宋" w:hAnsi="仿宋" w:eastAsia="仿宋" w:cs="仿宋"/>
          <w:sz w:val="32"/>
          <w:szCs w:val="32"/>
        </w:rPr>
        <w:t>对2022年省级审定品种的国家标准样品进行整理，同时对部分不合格的国家标准样品进行再征集，征集完成后上交国家样品库。</w:t>
      </w:r>
    </w:p>
    <w:p>
      <w:pPr>
        <w:spacing w:line="500" w:lineRule="exact"/>
        <w:ind w:firstLine="784" w:firstLineChars="245"/>
        <w:rPr>
          <w:rFonts w:hint="eastAsia" w:ascii="仿宋" w:hAnsi="仿宋" w:eastAsia="仿宋" w:cs="仿宋"/>
          <w:sz w:val="32"/>
          <w:szCs w:val="32"/>
        </w:rPr>
      </w:pPr>
      <w:r>
        <w:rPr>
          <w:rFonts w:hint="eastAsia" w:ascii="Times New Roman" w:hAnsi="Times New Roman" w:eastAsia="仿宋_GB2312"/>
          <w:sz w:val="32"/>
          <w:szCs w:val="32"/>
          <w:lang w:val="en-US" w:eastAsia="zh-CN"/>
        </w:rPr>
        <w:t>（8）</w:t>
      </w:r>
      <w:r>
        <w:rPr>
          <w:rFonts w:hint="eastAsia" w:ascii="仿宋" w:hAnsi="仿宋" w:eastAsia="仿宋" w:cs="仿宋"/>
          <w:sz w:val="32"/>
          <w:szCs w:val="32"/>
        </w:rPr>
        <w:t>按照省农业农村厅办公室发布的《2022年湖南省主要农作物品种试验方案》，根据永安基地实际情况，分别制定了“早稻早熟区试、中稻迟熟二组区试、晚稻区试、玉米区试、中稻续试品种田间耐高温、水稻续试品种田间耐低温、优质稻品种展示、优质糯玉米品种展示、镉低积累水稻品种大田验证试验、节水抗旱稻新品种品比试验和展示”等10个具体的实施方案，确保各项试验的规范实施。</w:t>
      </w:r>
    </w:p>
    <w:p>
      <w:pPr>
        <w:pStyle w:val="12"/>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4、</w:t>
      </w:r>
      <w:r>
        <w:rPr>
          <w:rFonts w:hint="eastAsia" w:ascii="Times New Roman" w:hAnsi="Times New Roman" w:eastAsia="仿宋_GB2312"/>
          <w:sz w:val="32"/>
          <w:szCs w:val="32"/>
        </w:rPr>
        <w:t>社会效应</w:t>
      </w:r>
    </w:p>
    <w:p>
      <w:pPr>
        <w:spacing w:line="5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早稻集中育秧工作。中心抽调5位骨干力量参加全省早稻集中育秧调研指导组工作。从3月10日-4月25日，前往4个县市区参加早稻集中育秧调研指导工作，5位同志克服新冠疫情影响和本职工作压力，较好完成工作任务。</w:t>
      </w:r>
    </w:p>
    <w:p>
      <w:pPr>
        <w:pStyle w:val="12"/>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5、</w:t>
      </w:r>
      <w:r>
        <w:rPr>
          <w:rFonts w:hint="eastAsia" w:ascii="Times New Roman" w:hAnsi="Times New Roman" w:eastAsia="仿宋_GB2312"/>
          <w:sz w:val="32"/>
          <w:szCs w:val="32"/>
        </w:rPr>
        <w:t>可持续发展能力</w:t>
      </w:r>
    </w:p>
    <w:p>
      <w:pPr>
        <w:spacing w:line="5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种子市场调研指导工作。4位同志参加了全省种业市场监管调研指导工作，对株洲、衡阳、怀化、邵阳、长沙、湘潭等六市的种业市场进行调研和检查，并形成报告上报种业处。</w:t>
      </w:r>
    </w:p>
    <w:p>
      <w:pPr>
        <w:pStyle w:val="12"/>
        <w:keepNext w:val="0"/>
        <w:keepLines w:val="0"/>
        <w:pageBreakBefore w:val="0"/>
        <w:widowControl w:val="0"/>
        <w:numPr>
          <w:ilvl w:val="0"/>
          <w:numId w:val="3"/>
        </w:numPr>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服务对象满意度</w:t>
      </w:r>
    </w:p>
    <w:p>
      <w:pPr>
        <w:pStyle w:val="12"/>
        <w:keepNext w:val="0"/>
        <w:keepLines w:val="0"/>
        <w:pageBreakBefore w:val="0"/>
        <w:widowControl w:val="0"/>
        <w:numPr>
          <w:ilvl w:val="0"/>
          <w:numId w:val="0"/>
        </w:numPr>
        <w:kinsoku/>
        <w:wordWrap/>
        <w:overflowPunct/>
        <w:topLinePunct w:val="0"/>
        <w:bidi w:val="0"/>
        <w:snapToGrid/>
        <w:spacing w:line="600" w:lineRule="exact"/>
        <w:jc w:val="lef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 xml:space="preserve">    通过各项工作的开展，服务对象和社会公众满意度在90%以上。 </w:t>
      </w:r>
    </w:p>
    <w:p>
      <w:pPr>
        <w:pStyle w:val="12"/>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存在的问题及原因分析</w:t>
      </w:r>
    </w:p>
    <w:p>
      <w:pPr>
        <w:pStyle w:val="12"/>
        <w:ind w:firstLine="640" w:firstLineChars="200"/>
        <w:rPr>
          <w:rFonts w:ascii="Times New Roman" w:hAnsi="Times New Roman" w:eastAsia="仿宋_GB2312"/>
          <w:sz w:val="32"/>
          <w:szCs w:val="32"/>
        </w:rPr>
      </w:pPr>
      <w:r>
        <w:rPr>
          <w:rFonts w:hint="eastAsia" w:ascii="Times New Roman" w:hAnsi="Times New Roman" w:eastAsia="仿宋_GB2312"/>
          <w:sz w:val="32"/>
          <w:szCs w:val="32"/>
          <w:lang w:val="en-US" w:eastAsia="zh-CN"/>
        </w:rPr>
        <w:t>1、我单位项目支出预算执行率有待提高，我单位2022年项目预算执行率为78.15%，主要原因是项目因疫情原因</w:t>
      </w:r>
      <w:r>
        <w:rPr>
          <w:rFonts w:hint="eastAsia" w:ascii="Times New Roman" w:hAnsi="Times New Roman" w:eastAsia="仿宋_GB2312"/>
          <w:sz w:val="32"/>
          <w:szCs w:val="32"/>
        </w:rPr>
        <w:t>工作未及</w:t>
      </w:r>
      <w:r>
        <w:rPr>
          <w:rFonts w:hint="eastAsia" w:ascii="Times New Roman" w:hAnsi="Times New Roman" w:eastAsia="仿宋_GB2312"/>
          <w:sz w:val="32"/>
          <w:szCs w:val="32"/>
          <w:lang w:val="en-US" w:eastAsia="zh-CN"/>
        </w:rPr>
        <w:t>时</w:t>
      </w:r>
      <w:r>
        <w:rPr>
          <w:rFonts w:hint="eastAsia" w:ascii="Times New Roman" w:hAnsi="Times New Roman" w:eastAsia="仿宋_GB2312"/>
          <w:sz w:val="32"/>
          <w:szCs w:val="32"/>
        </w:rPr>
        <w:t>开展</w:t>
      </w:r>
      <w:r>
        <w:rPr>
          <w:rFonts w:hint="eastAsia" w:ascii="Times New Roman" w:hAnsi="Times New Roman" w:eastAsia="仿宋_GB2312"/>
          <w:sz w:val="32"/>
          <w:szCs w:val="32"/>
          <w:lang w:eastAsia="zh-CN"/>
        </w:rPr>
        <w:t>。</w:t>
      </w:r>
    </w:p>
    <w:p>
      <w:pPr>
        <w:pStyle w:val="12"/>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下一步改进措施：一是通过定期对项目资金的执行情况进行梳理，督促项目早启动、早规划、早实施、早验收、早结算，二是完善单位的预算编制管理，定期对项目资金的预算执行情况进行分析，作为下年预算编制的重要依据，进一步提高我单位的预算执行率。</w:t>
      </w: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both"/>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pPr>
        <w:jc w:val="center"/>
        <w:rPr>
          <w:rFonts w:hint="eastAsia" w:ascii="方正小标宋_GBK" w:hAnsi="方正小标宋_GBK" w:eastAsia="方正小标宋_GBK" w:cs="方正小标宋_GBK"/>
          <w:color w:val="000000"/>
          <w:kern w:val="0"/>
          <w:sz w:val="70"/>
          <w:szCs w:val="70"/>
        </w:rPr>
      </w:pPr>
    </w:p>
    <w:p>
      <w:pPr>
        <w:jc w:val="center"/>
        <w:rPr>
          <w:rFonts w:hint="eastAsia" w:ascii="方正小标宋_GBK" w:hAnsi="方正小标宋_GBK" w:eastAsia="方正小标宋_GBK" w:cs="方正小标宋_GBK"/>
          <w:color w:val="000000"/>
          <w:kern w:val="0"/>
          <w:sz w:val="70"/>
          <w:szCs w:val="70"/>
        </w:rPr>
      </w:pPr>
      <w:r>
        <w:rPr>
          <w:rFonts w:hint="eastAsia" w:ascii="方正小标宋_GBK" w:hAnsi="方正小标宋_GBK" w:eastAsia="方正小标宋_GBK" w:cs="方正小标宋_GBK"/>
          <w:color w:val="000000"/>
          <w:kern w:val="0"/>
          <w:sz w:val="70"/>
          <w:szCs w:val="70"/>
        </w:rPr>
        <w:t>名词解释</w:t>
      </w:r>
    </w:p>
    <w:p>
      <w:pPr>
        <w:widowControl/>
        <w:jc w:val="left"/>
        <w:rPr>
          <w:rFonts w:cs="黑体" w:asciiTheme="minorEastAsia" w:hAnsiTheme="minorEastAsia"/>
          <w:color w:val="000000"/>
          <w:kern w:val="0"/>
          <w:sz w:val="32"/>
          <w:szCs w:val="32"/>
        </w:rPr>
      </w:pPr>
      <w:r>
        <w:br w:type="page"/>
      </w:r>
    </w:p>
    <w:p>
      <w:pPr>
        <w:numPr>
          <w:ilvl w:val="0"/>
          <w:numId w:val="4"/>
        </w:numPr>
        <w:ind w:firstLine="640" w:firstLineChars="200"/>
        <w:jc w:val="left"/>
        <w:rPr>
          <w:rFonts w:hint="eastAsia" w:ascii="仿宋" w:hAnsi="仿宋" w:eastAsia="仿宋" w:cs="黑体"/>
          <w:bCs/>
          <w:color w:val="000000"/>
          <w:kern w:val="0"/>
          <w:sz w:val="32"/>
          <w:szCs w:val="32"/>
          <w:lang w:val="en-US" w:eastAsia="zh-CN" w:bidi="ar-SA"/>
        </w:rPr>
      </w:pPr>
      <w:r>
        <w:rPr>
          <w:rFonts w:hint="eastAsia" w:ascii="仿宋" w:hAnsi="仿宋" w:eastAsia="仿宋" w:cs="黑体"/>
          <w:bCs/>
          <w:color w:val="000000"/>
          <w:kern w:val="0"/>
          <w:sz w:val="32"/>
          <w:szCs w:val="32"/>
          <w:lang w:val="en-US" w:eastAsia="zh-CN" w:bidi="ar-SA"/>
        </w:rPr>
        <w:t>基本支出：指为保障机构正常运转、完成日常工作任务而发生的各项支出，包括人员支出和公用支出。</w:t>
      </w:r>
    </w:p>
    <w:p>
      <w:pPr>
        <w:numPr>
          <w:ilvl w:val="0"/>
          <w:numId w:val="4"/>
        </w:numPr>
        <w:ind w:firstLine="640" w:firstLineChars="200"/>
        <w:jc w:val="left"/>
        <w:rPr>
          <w:rFonts w:hint="eastAsia" w:ascii="仿宋" w:hAnsi="仿宋" w:eastAsia="仿宋" w:cs="黑体"/>
          <w:bCs/>
          <w:color w:val="000000"/>
          <w:kern w:val="0"/>
          <w:sz w:val="32"/>
          <w:szCs w:val="32"/>
          <w:lang w:val="en-US" w:eastAsia="zh-CN" w:bidi="ar-SA"/>
        </w:rPr>
      </w:pPr>
      <w:r>
        <w:rPr>
          <w:rFonts w:hint="eastAsia" w:ascii="仿宋" w:hAnsi="仿宋" w:eastAsia="仿宋" w:cs="黑体"/>
          <w:bCs/>
          <w:color w:val="000000"/>
          <w:kern w:val="0"/>
          <w:sz w:val="32"/>
          <w:szCs w:val="32"/>
          <w:lang w:val="en-US" w:eastAsia="zh-CN" w:bidi="ar-SA"/>
        </w:rPr>
        <w:t xml:space="preserve">项目支出：指在基本支出以外为完成相关行政任务和事业发展目标所发生的各项支出。 </w:t>
      </w:r>
    </w:p>
    <w:p>
      <w:pPr>
        <w:pStyle w:val="12"/>
        <w:ind w:firstLine="640" w:firstLineChars="200"/>
        <w:rPr>
          <w:rFonts w:ascii="仿宋" w:hAnsi="仿宋" w:eastAsia="仿宋"/>
          <w:bCs/>
          <w:sz w:val="32"/>
          <w:szCs w:val="32"/>
        </w:rPr>
      </w:pPr>
      <w:r>
        <w:rPr>
          <w:rFonts w:hint="eastAsia" w:ascii="仿宋" w:hAnsi="仿宋" w:eastAsia="仿宋" w:cs="黑体"/>
          <w:bCs/>
          <w:color w:val="000000"/>
          <w:kern w:val="0"/>
          <w:sz w:val="32"/>
          <w:szCs w:val="32"/>
          <w:lang w:val="en-US" w:eastAsia="zh-CN" w:bidi="ar-SA"/>
        </w:rPr>
        <w:t>三、“三公”经费:纳入省财政预算管理的“三</w:t>
      </w:r>
      <w:r>
        <w:rPr>
          <w:rFonts w:hint="eastAsia" w:ascii="仿宋" w:hAnsi="仿宋" w:eastAsia="仿宋"/>
          <w:bCs/>
          <w:sz w:val="32"/>
          <w:szCs w:val="32"/>
        </w:rPr>
        <w:t>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jc w:val="left"/>
        <w:rPr>
          <w:rFonts w:cs="黑体" w:asciiTheme="minorEastAsia" w:hAnsiTheme="minorEastAsia"/>
          <w:color w:val="000000"/>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DE2A6C"/>
    <w:multiLevelType w:val="singleLevel"/>
    <w:tmpl w:val="BCDE2A6C"/>
    <w:lvl w:ilvl="0" w:tentative="0">
      <w:start w:val="1"/>
      <w:numFmt w:val="chineseCounting"/>
      <w:suff w:val="nothing"/>
      <w:lvlText w:val="%1、"/>
      <w:lvlJc w:val="left"/>
      <w:rPr>
        <w:rFonts w:hint="eastAsia"/>
      </w:rPr>
    </w:lvl>
  </w:abstractNum>
  <w:abstractNum w:abstractNumId="1">
    <w:nsid w:val="C8805216"/>
    <w:multiLevelType w:val="singleLevel"/>
    <w:tmpl w:val="C8805216"/>
    <w:lvl w:ilvl="0" w:tentative="0">
      <w:start w:val="2"/>
      <w:numFmt w:val="decimal"/>
      <w:suff w:val="nothing"/>
      <w:lvlText w:val="%1、"/>
      <w:lvlJc w:val="left"/>
    </w:lvl>
  </w:abstractNum>
  <w:abstractNum w:abstractNumId="2">
    <w:nsid w:val="0053208E"/>
    <w:multiLevelType w:val="multilevel"/>
    <w:tmpl w:val="005320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05F7B16"/>
    <w:multiLevelType w:val="singleLevel"/>
    <w:tmpl w:val="505F7B16"/>
    <w:lvl w:ilvl="0" w:tentative="0">
      <w:start w:val="6"/>
      <w:numFmt w:val="decimal"/>
      <w:suff w:val="nothing"/>
      <w:lvlText w:val="%1、"/>
      <w:lvlJc w:val="left"/>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NotTrackMove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D9798F"/>
    <w:rsid w:val="0A511F57"/>
    <w:rsid w:val="1E076466"/>
    <w:rsid w:val="220F6479"/>
    <w:rsid w:val="226852A0"/>
    <w:rsid w:val="23B958D1"/>
    <w:rsid w:val="29073B33"/>
    <w:rsid w:val="2BB20D8E"/>
    <w:rsid w:val="365969AA"/>
    <w:rsid w:val="3D463873"/>
    <w:rsid w:val="46100BA5"/>
    <w:rsid w:val="4DF2318A"/>
    <w:rsid w:val="52FE775E"/>
    <w:rsid w:val="56327E9B"/>
    <w:rsid w:val="5FB657E7"/>
    <w:rsid w:val="603644F6"/>
    <w:rsid w:val="71A00E0C"/>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style>
  <w:style w:type="paragraph" w:styleId="3">
    <w:name w:val="Balloon Text"/>
    <w:basedOn w:val="1"/>
    <w:link w:val="14"/>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qFormat/>
    <w:uiPriority w:val="0"/>
    <w:pPr>
      <w:ind w:firstLine="420" w:firstLineChars="200"/>
    </w:pPr>
  </w:style>
  <w:style w:type="table" w:styleId="8">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customStyle="1" w:styleId="10">
    <w:name w:val="页眉 Char"/>
    <w:basedOn w:val="9"/>
    <w:link w:val="5"/>
    <w:qFormat/>
    <w:uiPriority w:val="99"/>
    <w:rPr>
      <w:sz w:val="18"/>
      <w:szCs w:val="18"/>
    </w:rPr>
  </w:style>
  <w:style w:type="character" w:customStyle="1" w:styleId="11">
    <w:name w:val="页脚 Char"/>
    <w:basedOn w:val="9"/>
    <w:link w:val="4"/>
    <w:qFormat/>
    <w:uiPriority w:val="99"/>
    <w:rPr>
      <w:sz w:val="18"/>
      <w:szCs w:val="18"/>
    </w:rPr>
  </w:style>
  <w:style w:type="paragraph" w:customStyle="1" w:styleId="12">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3">
    <w:name w:val="List Paragraph"/>
    <w:basedOn w:val="1"/>
    <w:qFormat/>
    <w:uiPriority w:val="34"/>
    <w:pPr>
      <w:ind w:firstLine="420" w:firstLineChars="200"/>
    </w:pPr>
  </w:style>
  <w:style w:type="character" w:customStyle="1" w:styleId="14">
    <w:name w:val="批注框文本 Char"/>
    <w:basedOn w:val="9"/>
    <w:link w:val="3"/>
    <w:semiHidden/>
    <w:qFormat/>
    <w:uiPriority w:val="99"/>
    <w:rPr>
      <w:sz w:val="18"/>
      <w:szCs w:val="18"/>
    </w:rPr>
  </w:style>
  <w:style w:type="character" w:customStyle="1" w:styleId="15">
    <w:name w:val="font01"/>
    <w:basedOn w:val="9"/>
    <w:qFormat/>
    <w:uiPriority w:val="0"/>
    <w:rPr>
      <w:rFonts w:hint="eastAsia" w:ascii="宋体" w:hAnsi="宋体" w:eastAsia="宋体" w:cs="宋体"/>
      <w:color w:val="000000"/>
      <w:sz w:val="22"/>
      <w:szCs w:val="22"/>
      <w:u w:val="none"/>
    </w:rPr>
  </w:style>
  <w:style w:type="character" w:customStyle="1" w:styleId="16">
    <w:name w:val="font21"/>
    <w:basedOn w:val="9"/>
    <w:qFormat/>
    <w:uiPriority w:val="0"/>
    <w:rPr>
      <w:rFonts w:hint="eastAsia" w:ascii="宋体" w:hAnsi="宋体" w:eastAsia="宋体" w:cs="宋体"/>
      <w:color w:val="000000"/>
      <w:sz w:val="24"/>
      <w:szCs w:val="24"/>
      <w:u w:val="none"/>
    </w:rPr>
  </w:style>
  <w:style w:type="character" w:customStyle="1" w:styleId="17">
    <w:name w:val="font11"/>
    <w:basedOn w:val="9"/>
    <w:qFormat/>
    <w:uiPriority w:val="0"/>
    <w:rPr>
      <w:rFonts w:hint="eastAsia" w:ascii="宋体" w:hAnsi="宋体" w:eastAsia="宋体" w:cs="宋体"/>
      <w:color w:val="000000"/>
      <w:sz w:val="24"/>
      <w:szCs w:val="24"/>
      <w:u w:val="none"/>
    </w:rPr>
  </w:style>
  <w:style w:type="paragraph" w:customStyle="1" w:styleId="18">
    <w:name w:val="BodyText"/>
    <w:basedOn w:val="1"/>
    <w:qFormat/>
    <w:uiPriority w:val="0"/>
    <w:pPr>
      <w:spacing w:after="120"/>
      <w:jc w:val="both"/>
      <w:textAlignment w:val="baseline"/>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1" Type="http://schemas.openxmlformats.org/officeDocument/2006/relationships/fontTable" Target="fontTable.xml"/><Relationship Id="rId20" Type="http://schemas.openxmlformats.org/officeDocument/2006/relationships/customXml" Target="../customXml/item10.xml"/><Relationship Id="rId2" Type="http://schemas.openxmlformats.org/officeDocument/2006/relationships/settings" Target="settings.xml"/><Relationship Id="rId19" Type="http://schemas.openxmlformats.org/officeDocument/2006/relationships/customXml" Target="../customXml/item9.xml"/><Relationship Id="rId18" Type="http://schemas.openxmlformats.org/officeDocument/2006/relationships/customXml" Target="../customXml/item8.xml"/><Relationship Id="rId17" Type="http://schemas.openxmlformats.org/officeDocument/2006/relationships/customXml" Target="../customXml/item7.xml"/><Relationship Id="rId16" Type="http://schemas.openxmlformats.org/officeDocument/2006/relationships/customXml" Target="../customXml/item6.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1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2020-07-04T18:32:00Z</dcterms:created>
  <dc:creator>李航 null</dc:creator>
  <cp:lastModifiedBy>greatwall</cp:lastModifiedBy>
  <cp:lastPrinted>2023-08-15T09:28:45Z</cp:lastPrinted>
  <dcterms:modified xsi:type="dcterms:W3CDTF">2023-08-15T09:28:46Z</dcterms:modified>
  <cp:revision>67</cp:revision>
</cp:coreProperties>
</file>

<file path=customXml/item2.xml><?xml version="1.0" encoding="utf-8"?>
<Properties xmlns="http://schemas.openxmlformats.org/officeDocument/2006/extended-properties" xmlns:vt="http://schemas.openxmlformats.org/officeDocument/2006/docPropsVTypes">
  <Template>Normal</Template>
  <Company>Microsoft</Company>
  <Pages>24</Pages>
  <Words>1347</Words>
  <Characters>7679</Characters>
  <Lines>63</Lines>
  <Paragraphs>18</Paragraphs>
  <TotalTime>37</TotalTime>
  <ScaleCrop>false</ScaleCrop>
  <LinksUpToDate>false</LinksUpToDate>
  <CharactersWithSpaces>9008</CharactersWithSpaces>
  <Application>WPS Office_11.8.2.10125_F1E327BC-269C-435d-A152-05C5408002CA</Application>
  <DocSecurity>0</DocSecurity>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2020-07-04T18:32:00Z</dcterms:created>
  <dc:creator>李航 null</dc:creator>
  <cp:lastModifiedBy>greatwall</cp:lastModifiedBy>
  <cp:lastPrinted>2023-08-15T09:28:45Z</cp:lastPrinted>
  <dcterms:modified xsi:type="dcterms:W3CDTF">2023-08-15T09:28:46Z</dcterms:modified>
  <cp:revision>67</cp:revision>
</cp:coreProperties>
</file>

<file path=customXml/item4.xml><?xml version="1.0" encoding="utf-8"?>
<Properties xmlns:vt="http://schemas.openxmlformats.org/officeDocument/2006/docPropsVTypes" xmlns="http://schemas.openxmlformats.org/officeDocument/2006/custom-properties">
  <property fmtid="{D5CDD505-2E9C-101B-9397-08002B2CF9AE}" pid="2" name="KSOProductBuildVer">
    <vt:lpstr>2052-11.8.2.10125</vt:lpstr>
  </property>
</Properties>
</file>

<file path=customXml/item5.xml><?xml version="1.0" encoding="utf-8"?>
<Properties xmlns:vt="http://schemas.openxmlformats.org/officeDocument/2006/docPropsVTypes" xmlns="http://schemas.openxmlformats.org/officeDocument/2006/extended-properties">
  <Template>Normal</Template>
  <TotalTime>37</TotalTime>
  <Pages>24</Pages>
  <Words>1347</Words>
  <Characters>7679</Characters>
  <Application>WPS Office_11.8.2.10125_F1E327BC-269C-435d-A152-05C5408002CA</Application>
  <DocSecurity>0</DocSecurity>
  <Lines>63</Lines>
  <Paragraphs>18</Paragraphs>
  <Company>Microsoft</Company>
  <CharactersWithSpaces>9008</CharactersWithSpaces>
  <AppVersion>14.0000</AppVersion>
</Properties>
</file>

<file path=customXml/item6.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greatwall</cp:lastModifiedBy>
  <cp:revision>67</cp:revision>
  <cp:lastPrinted>2023-08-15T09:28:45Z</cp:lastPrinted>
  <dcterms:created xsi:type="dcterms:W3CDTF">2020-07-04T18:32:00Z</dcterms:created>
  <dcterms:modified xsi:type="dcterms:W3CDTF">2023-08-15T09:28:46Z</dcterms:modified>
</cp:coreProperties>
</file>

<file path=customXml/item7.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

<file path=customXml/item8.xml><?xml version="1.0" encoding="utf-8"?>
<Properties xmlns="http://schemas.openxmlformats.org/officeDocument/2006/extended-properties" xmlns:vt="http://schemas.openxmlformats.org/officeDocument/2006/docPropsVTypes">
  <Template>Normal</Template>
  <Company>Microsoft</Company>
  <Pages>24</Pages>
  <Words>1347</Words>
  <Characters>7679</Characters>
  <Lines>63</Lines>
  <Paragraphs>18</Paragraphs>
  <TotalTime>37</TotalTime>
  <ScaleCrop>false</ScaleCrop>
  <LinksUpToDate>false</LinksUpToDate>
  <CharactersWithSpaces>9008</CharactersWithSpaces>
  <Application>WPS Office_11.8.2.10125_F1E327BC-269C-435d-A152-05C5408002CA</Application>
  <DocSecurity>0</DocSecurity>
</Properties>
</file>

<file path=customXml/item9.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c6396d9a-1902-4e69-90d6-e641dd7ee584}">
  <ds:schemaRefs/>
</ds:datastoreItem>
</file>

<file path=customXml/itemProps2.xml><?xml version="1.0" encoding="utf-8"?>
<ds:datastoreItem xmlns:ds="http://schemas.openxmlformats.org/officeDocument/2006/customXml" ds:itemID="{7b611d47-d82a-418b-abf4-7046f1d95825}">
  <ds:schemaRefs/>
</ds:datastoreItem>
</file>

<file path=customXml/itemProps3.xml><?xml version="1.0" encoding="utf-8"?>
<ds:datastoreItem xmlns:ds="http://schemas.openxmlformats.org/officeDocument/2006/customXml" ds:itemID="{c70b1675-8b25-4fe3-bab9-0ad6bdee539f}">
  <ds:schemaRefs/>
</ds:datastoreItem>
</file>

<file path=customXml/itemProps4.xml><?xml version="1.0" encoding="utf-8"?>
<ds:datastoreItem xmlns:ds="http://schemas.openxmlformats.org/officeDocument/2006/customXml" ds:itemID="{e5d8c251-4d1b-47b1-9d37-bb5216ac7aa6}">
  <ds:schemaRefs/>
</ds:datastoreItem>
</file>

<file path=customXml/itemProps5.xml><?xml version="1.0" encoding="utf-8"?>
<ds:datastoreItem xmlns:ds="http://schemas.openxmlformats.org/officeDocument/2006/customXml" ds:itemID="{48326648-c9db-4483-8c31-8027a79d4db4}">
  <ds:schemaRefs/>
</ds:datastoreItem>
</file>

<file path=customXml/itemProps6.xml><?xml version="1.0" encoding="utf-8"?>
<ds:datastoreItem xmlns:ds="http://schemas.openxmlformats.org/officeDocument/2006/customXml" ds:itemID="{d5d1fc51-b0f6-4e55-9b32-71a70672d117}">
  <ds:schemaRefs/>
</ds:datastoreItem>
</file>

<file path=customXml/itemProps7.xml><?xml version="1.0" encoding="utf-8"?>
<ds:datastoreItem xmlns:ds="http://schemas.openxmlformats.org/officeDocument/2006/customXml" ds:itemID="{f7b6cd40-d7aa-401c-8a0d-7da5d269429d}">
  <ds:schemaRefs/>
</ds:datastoreItem>
</file>

<file path=customXml/itemProps8.xml><?xml version="1.0" encoding="utf-8"?>
<ds:datastoreItem xmlns:ds="http://schemas.openxmlformats.org/officeDocument/2006/customXml" ds:itemID="{be7735d6-1518-45d5-aae9-2d6d88912a85}">
  <ds:schemaRefs/>
</ds:datastoreItem>
</file>

<file path=customXml/itemProps9.xml><?xml version="1.0" encoding="utf-8"?>
<ds:datastoreItem xmlns:ds="http://schemas.openxmlformats.org/officeDocument/2006/customXml" ds:itemID="{492e90d0-4619-491b-9b82-097edd6cd063}">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24</Pages>
  <Words>1347</Words>
  <Characters>7679</Characters>
  <Lines>63</Lines>
  <Paragraphs>18</Paragraphs>
  <TotalTime>1</TotalTime>
  <ScaleCrop>false</ScaleCrop>
  <LinksUpToDate>false</LinksUpToDate>
  <CharactersWithSpaces>9008</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2020-07-04T18:32:00Z</dcterms:created>
  <dc:creator>李航 null</dc:creator>
  <cp:lastModifiedBy>lenovo</cp:lastModifiedBy>
  <cp:lastPrinted>2023-08-15T09:28:00Z</cp:lastPrinted>
  <dcterms:modified xsi:type="dcterms:W3CDTF">2024-08-31T13:13:37Z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ies>
</file>