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5"/>
        <w:jc w:val="center"/>
        <w:rPr>
          <w:sz w:val="56"/>
          <w:szCs w:val="56"/>
        </w:rPr>
      </w:pPr>
    </w:p>
    <w:p>
      <w:pPr>
        <w:pStyle w:val="15"/>
        <w:jc w:val="center"/>
        <w:rPr>
          <w:sz w:val="56"/>
          <w:szCs w:val="56"/>
        </w:rPr>
      </w:pPr>
    </w:p>
    <w:p>
      <w:pPr>
        <w:pStyle w:val="15"/>
        <w:jc w:val="center"/>
        <w:rPr>
          <w:sz w:val="84"/>
          <w:szCs w:val="84"/>
        </w:rPr>
      </w:pPr>
    </w:p>
    <w:p>
      <w:pPr>
        <w:pStyle w:val="15"/>
        <w:jc w:val="center"/>
        <w:rPr>
          <w:rFonts w:ascii="方正小标宋_GBK" w:hAnsi="方正小标宋_GBK" w:eastAsia="方正小标宋_GBK" w:cs="方正小标宋_GBK"/>
          <w:sz w:val="72"/>
          <w:szCs w:val="72"/>
        </w:rPr>
      </w:pPr>
      <w:r>
        <w:rPr>
          <w:rFonts w:ascii="方正小标宋_GBK" w:hAnsi="方正小标宋_GBK" w:eastAsia="方正小标宋_GBK" w:cs="方正小标宋_GBK"/>
          <w:sz w:val="72"/>
          <w:szCs w:val="72"/>
        </w:rPr>
        <w:t>2022</w:t>
      </w:r>
      <w:r>
        <w:rPr>
          <w:rFonts w:hint="eastAsia" w:ascii="方正小标宋_GBK" w:hAnsi="方正小标宋_GBK" w:eastAsia="方正小标宋_GBK" w:cs="方正小标宋_GBK"/>
          <w:sz w:val="72"/>
          <w:szCs w:val="72"/>
        </w:rPr>
        <w:t>年度</w:t>
      </w:r>
    </w:p>
    <w:p>
      <w:pPr>
        <w:pStyle w:val="15"/>
        <w:jc w:val="center"/>
        <w:rPr>
          <w:rFonts w:hint="eastAsia"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湖南省农业农村信息中心</w:t>
      </w:r>
    </w:p>
    <w:p>
      <w:pPr>
        <w:pStyle w:val="15"/>
        <w:jc w:val="center"/>
        <w:rPr>
          <w:rFonts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部门决算</w:t>
      </w:r>
    </w:p>
    <w:p>
      <w:pPr>
        <w:pStyle w:val="15"/>
        <w:jc w:val="center"/>
        <w:rPr>
          <w:rFonts w:ascii="方正小标宋_GBK" w:hAnsi="方正小标宋_GBK" w:eastAsia="方正小标宋_GBK" w:cs="方正小标宋_GBK"/>
          <w:sz w:val="56"/>
          <w:szCs w:val="56"/>
        </w:rPr>
      </w:pPr>
    </w:p>
    <w:p>
      <w:pPr>
        <w:pStyle w:val="15"/>
        <w:jc w:val="center"/>
        <w:rPr>
          <w:sz w:val="56"/>
          <w:szCs w:val="56"/>
        </w:rPr>
      </w:pPr>
    </w:p>
    <w:p>
      <w:pPr>
        <w:pStyle w:val="15"/>
        <w:jc w:val="center"/>
        <w:rPr>
          <w:sz w:val="56"/>
          <w:szCs w:val="56"/>
        </w:rPr>
      </w:pPr>
    </w:p>
    <w:p>
      <w:pPr>
        <w:pStyle w:val="15"/>
        <w:jc w:val="center"/>
        <w:rPr>
          <w:sz w:val="56"/>
          <w:szCs w:val="56"/>
        </w:rPr>
      </w:pPr>
    </w:p>
    <w:p>
      <w:pPr>
        <w:pStyle w:val="15"/>
        <w:jc w:val="center"/>
        <w:rPr>
          <w:sz w:val="32"/>
          <w:szCs w:val="32"/>
        </w:rPr>
      </w:pPr>
    </w:p>
    <w:p>
      <w:pPr>
        <w:pStyle w:val="15"/>
        <w:jc w:val="center"/>
        <w:rPr>
          <w:sz w:val="32"/>
          <w:szCs w:val="32"/>
        </w:rPr>
      </w:pPr>
    </w:p>
    <w:p>
      <w:pPr>
        <w:pStyle w:val="15"/>
        <w:jc w:val="center"/>
        <w:rPr>
          <w:sz w:val="32"/>
          <w:szCs w:val="32"/>
        </w:rPr>
      </w:pPr>
    </w:p>
    <w:p>
      <w:pPr>
        <w:pStyle w:val="15"/>
        <w:jc w:val="center"/>
        <w:rPr>
          <w:sz w:val="32"/>
          <w:szCs w:val="32"/>
        </w:rPr>
      </w:pPr>
    </w:p>
    <w:p>
      <w:pPr>
        <w:pStyle w:val="15"/>
        <w:jc w:val="center"/>
        <w:rPr>
          <w:sz w:val="32"/>
          <w:szCs w:val="32"/>
        </w:rPr>
      </w:pPr>
    </w:p>
    <w:p>
      <w:pPr>
        <w:pStyle w:val="15"/>
        <w:spacing w:line="500" w:lineRule="exact"/>
        <w:jc w:val="center"/>
        <w:rPr>
          <w:rFonts w:hint="eastAsia"/>
          <w:b/>
          <w:sz w:val="36"/>
          <w:szCs w:val="28"/>
        </w:rPr>
      </w:pPr>
    </w:p>
    <w:p>
      <w:pPr>
        <w:pStyle w:val="15"/>
        <w:spacing w:line="500" w:lineRule="exact"/>
        <w:jc w:val="center"/>
        <w:rPr>
          <w:rFonts w:hint="eastAsia"/>
          <w:b/>
          <w:sz w:val="36"/>
          <w:szCs w:val="28"/>
        </w:rPr>
      </w:pPr>
    </w:p>
    <w:p>
      <w:pPr>
        <w:pStyle w:val="15"/>
        <w:spacing w:line="500" w:lineRule="exact"/>
        <w:jc w:val="center"/>
        <w:rPr>
          <w:b/>
          <w:sz w:val="36"/>
          <w:szCs w:val="28"/>
        </w:rPr>
      </w:pPr>
      <w:r>
        <w:rPr>
          <w:rFonts w:hint="eastAsia"/>
          <w:b/>
          <w:sz w:val="36"/>
          <w:szCs w:val="28"/>
        </w:rPr>
        <w:t>目</w:t>
      </w:r>
      <w:r>
        <w:rPr>
          <w:rFonts w:hint="eastAsia"/>
          <w:b/>
          <w:sz w:val="36"/>
          <w:szCs w:val="28"/>
          <w:lang w:val="en-US" w:eastAsia="zh-CN"/>
        </w:rPr>
        <w:t xml:space="preserve"> </w:t>
      </w:r>
      <w:r>
        <w:rPr>
          <w:rFonts w:hint="eastAsia"/>
          <w:b/>
          <w:sz w:val="36"/>
          <w:szCs w:val="28"/>
        </w:rPr>
        <w:t>录</w:t>
      </w:r>
    </w:p>
    <w:p>
      <w:pPr>
        <w:pStyle w:val="15"/>
        <w:spacing w:line="500" w:lineRule="exact"/>
        <w:rPr>
          <w:rFonts w:hAnsi="黑体"/>
          <w:bCs/>
          <w:sz w:val="28"/>
          <w:szCs w:val="28"/>
        </w:rPr>
      </w:pPr>
      <w:r>
        <w:rPr>
          <w:rFonts w:hint="eastAsia" w:hAnsi="黑体"/>
          <w:bCs/>
          <w:sz w:val="28"/>
          <w:szCs w:val="28"/>
        </w:rPr>
        <w:t>第一部分</w:t>
      </w:r>
      <w:r>
        <w:rPr>
          <w:rFonts w:hAnsi="黑体"/>
          <w:bCs/>
          <w:sz w:val="28"/>
          <w:szCs w:val="28"/>
        </w:rPr>
        <w:t xml:space="preserve"> </w:t>
      </w:r>
      <w:r>
        <w:rPr>
          <w:rFonts w:hint="eastAsia" w:hAnsi="黑体"/>
          <w:bCs/>
          <w:sz w:val="28"/>
          <w:szCs w:val="28"/>
        </w:rPr>
        <w:t>湖南省农业农村信息中心概况</w:t>
      </w:r>
    </w:p>
    <w:p>
      <w:pPr>
        <w:pStyle w:val="15"/>
        <w:spacing w:line="500" w:lineRule="exact"/>
        <w:ind w:firstLine="700" w:firstLineChars="250"/>
        <w:rPr>
          <w:rFonts w:ascii="仿宋_GB2312" w:hAnsi="仿宋_GB2312" w:eastAsia="仿宋_GB2312" w:cs="仿宋_GB2312"/>
          <w:sz w:val="28"/>
          <w:szCs w:val="28"/>
        </w:rPr>
      </w:pPr>
      <w:r>
        <w:rPr>
          <w:rFonts w:hint="eastAsia" w:ascii="仿宋_GB2312" w:hAnsi="仿宋_GB2312" w:eastAsia="仿宋_GB2312" w:cs="仿宋_GB2312"/>
          <w:sz w:val="28"/>
          <w:szCs w:val="28"/>
        </w:rPr>
        <w:t>一、部门职责</w:t>
      </w:r>
    </w:p>
    <w:p>
      <w:pPr>
        <w:pStyle w:val="15"/>
        <w:spacing w:line="500" w:lineRule="exact"/>
        <w:ind w:firstLine="700" w:firstLineChars="250"/>
        <w:rPr>
          <w:rFonts w:ascii="仿宋_GB2312" w:hAnsi="仿宋_GB2312" w:eastAsia="仿宋_GB2312" w:cs="仿宋_GB2312"/>
          <w:sz w:val="28"/>
          <w:szCs w:val="28"/>
        </w:rPr>
      </w:pPr>
      <w:r>
        <w:rPr>
          <w:rFonts w:hint="eastAsia" w:ascii="仿宋_GB2312" w:hAnsi="仿宋_GB2312" w:eastAsia="仿宋_GB2312" w:cs="仿宋_GB2312"/>
          <w:sz w:val="28"/>
          <w:szCs w:val="28"/>
        </w:rPr>
        <w:t>二、机构设置</w:t>
      </w:r>
    </w:p>
    <w:p>
      <w:pPr>
        <w:pStyle w:val="15"/>
        <w:spacing w:line="500" w:lineRule="exact"/>
        <w:rPr>
          <w:rFonts w:hAnsi="黑体"/>
          <w:bCs/>
          <w:sz w:val="28"/>
          <w:szCs w:val="28"/>
        </w:rPr>
      </w:pPr>
      <w:r>
        <w:rPr>
          <w:rFonts w:hint="eastAsia" w:hAnsi="黑体"/>
          <w:bCs/>
          <w:sz w:val="28"/>
          <w:szCs w:val="28"/>
        </w:rPr>
        <w:t>第二部分</w:t>
      </w:r>
      <w:r>
        <w:rPr>
          <w:rFonts w:hAnsi="黑体"/>
          <w:bCs/>
          <w:sz w:val="28"/>
          <w:szCs w:val="28"/>
        </w:rPr>
        <w:t xml:space="preserve"> </w:t>
      </w:r>
      <w:r>
        <w:rPr>
          <w:rFonts w:hint="eastAsia" w:hAnsi="黑体"/>
          <w:bCs/>
          <w:sz w:val="28"/>
          <w:szCs w:val="28"/>
        </w:rPr>
        <w:t>部门决算表</w:t>
      </w:r>
    </w:p>
    <w:p>
      <w:pPr>
        <w:pStyle w:val="15"/>
        <w:spacing w:line="500" w:lineRule="exact"/>
        <w:ind w:firstLine="700" w:firstLineChars="250"/>
        <w:rPr>
          <w:rFonts w:ascii="仿宋_GB2312" w:hAnsi="仿宋_GB2312" w:eastAsia="仿宋_GB2312" w:cs="仿宋_GB2312"/>
          <w:sz w:val="28"/>
          <w:szCs w:val="28"/>
        </w:rPr>
      </w:pPr>
      <w:r>
        <w:rPr>
          <w:rFonts w:hint="eastAsia" w:ascii="仿宋_GB2312" w:hAnsi="仿宋_GB2312" w:eastAsia="仿宋_GB2312" w:cs="仿宋_GB2312"/>
          <w:sz w:val="28"/>
          <w:szCs w:val="28"/>
        </w:rPr>
        <w:t>一、收入支出决算总表</w:t>
      </w:r>
    </w:p>
    <w:p>
      <w:pPr>
        <w:pStyle w:val="15"/>
        <w:spacing w:line="500" w:lineRule="exact"/>
        <w:ind w:firstLine="700" w:firstLineChars="250"/>
        <w:rPr>
          <w:rFonts w:ascii="仿宋_GB2312" w:hAnsi="仿宋_GB2312" w:eastAsia="仿宋_GB2312" w:cs="仿宋_GB2312"/>
          <w:sz w:val="28"/>
          <w:szCs w:val="28"/>
        </w:rPr>
      </w:pPr>
      <w:r>
        <w:rPr>
          <w:rFonts w:hint="eastAsia" w:ascii="仿宋_GB2312" w:hAnsi="仿宋_GB2312" w:eastAsia="仿宋_GB2312" w:cs="仿宋_GB2312"/>
          <w:sz w:val="28"/>
          <w:szCs w:val="28"/>
        </w:rPr>
        <w:t>二、收入决算表</w:t>
      </w:r>
    </w:p>
    <w:p>
      <w:pPr>
        <w:pStyle w:val="15"/>
        <w:spacing w:line="500" w:lineRule="exact"/>
        <w:ind w:firstLine="700" w:firstLineChars="250"/>
        <w:rPr>
          <w:rFonts w:ascii="仿宋_GB2312" w:hAnsi="仿宋_GB2312" w:eastAsia="仿宋_GB2312" w:cs="仿宋_GB2312"/>
          <w:sz w:val="28"/>
          <w:szCs w:val="28"/>
        </w:rPr>
      </w:pPr>
      <w:r>
        <w:rPr>
          <w:rFonts w:hint="eastAsia" w:ascii="仿宋_GB2312" w:hAnsi="仿宋_GB2312" w:eastAsia="仿宋_GB2312" w:cs="仿宋_GB2312"/>
          <w:sz w:val="28"/>
          <w:szCs w:val="28"/>
        </w:rPr>
        <w:t>三、支出决算表</w:t>
      </w:r>
    </w:p>
    <w:p>
      <w:pPr>
        <w:pStyle w:val="15"/>
        <w:spacing w:line="500" w:lineRule="exact"/>
        <w:ind w:firstLine="700" w:firstLineChars="250"/>
        <w:rPr>
          <w:rFonts w:ascii="仿宋_GB2312" w:hAnsi="仿宋_GB2312" w:eastAsia="仿宋_GB2312" w:cs="仿宋_GB2312"/>
          <w:sz w:val="28"/>
          <w:szCs w:val="28"/>
        </w:rPr>
      </w:pPr>
      <w:r>
        <w:rPr>
          <w:rFonts w:hint="eastAsia" w:ascii="仿宋_GB2312" w:hAnsi="仿宋_GB2312" w:eastAsia="仿宋_GB2312" w:cs="仿宋_GB2312"/>
          <w:sz w:val="28"/>
          <w:szCs w:val="28"/>
        </w:rPr>
        <w:t>四、财政拨款收入支出决算总表</w:t>
      </w:r>
    </w:p>
    <w:p>
      <w:pPr>
        <w:pStyle w:val="15"/>
        <w:spacing w:line="500" w:lineRule="exact"/>
        <w:ind w:firstLine="700" w:firstLineChars="250"/>
        <w:rPr>
          <w:rFonts w:ascii="仿宋_GB2312" w:hAnsi="仿宋_GB2312" w:eastAsia="仿宋_GB2312" w:cs="仿宋_GB2312"/>
          <w:sz w:val="28"/>
          <w:szCs w:val="28"/>
        </w:rPr>
      </w:pPr>
      <w:r>
        <w:rPr>
          <w:rFonts w:hint="eastAsia" w:ascii="仿宋_GB2312" w:hAnsi="仿宋_GB2312" w:eastAsia="仿宋_GB2312" w:cs="仿宋_GB2312"/>
          <w:sz w:val="28"/>
          <w:szCs w:val="28"/>
        </w:rPr>
        <w:t>五、一般公共预算财政拨款支出决算表</w:t>
      </w:r>
    </w:p>
    <w:p>
      <w:pPr>
        <w:pStyle w:val="15"/>
        <w:spacing w:line="500" w:lineRule="exact"/>
        <w:ind w:firstLine="700" w:firstLineChars="250"/>
        <w:rPr>
          <w:rFonts w:ascii="仿宋_GB2312" w:hAnsi="仿宋_GB2312" w:eastAsia="仿宋_GB2312" w:cs="仿宋_GB2312"/>
          <w:sz w:val="28"/>
          <w:szCs w:val="28"/>
        </w:rPr>
      </w:pPr>
      <w:r>
        <w:rPr>
          <w:rFonts w:hint="eastAsia" w:ascii="仿宋_GB2312" w:hAnsi="仿宋_GB2312" w:eastAsia="仿宋_GB2312" w:cs="仿宋_GB2312"/>
          <w:sz w:val="28"/>
          <w:szCs w:val="28"/>
        </w:rPr>
        <w:t>六、一般公共预算财政拨款基本支出决算明细表</w:t>
      </w:r>
    </w:p>
    <w:p>
      <w:pPr>
        <w:pStyle w:val="15"/>
        <w:spacing w:line="500" w:lineRule="exact"/>
        <w:ind w:firstLine="700" w:firstLineChars="250"/>
        <w:rPr>
          <w:rFonts w:ascii="仿宋_GB2312" w:hAnsi="仿宋_GB2312" w:eastAsia="仿宋_GB2312" w:cs="仿宋_GB2312"/>
          <w:sz w:val="28"/>
          <w:szCs w:val="28"/>
        </w:rPr>
      </w:pPr>
      <w:r>
        <w:rPr>
          <w:rFonts w:hint="eastAsia" w:ascii="仿宋_GB2312" w:hAnsi="仿宋_GB2312" w:eastAsia="仿宋_GB2312" w:cs="仿宋_GB2312"/>
          <w:sz w:val="28"/>
          <w:szCs w:val="28"/>
        </w:rPr>
        <w:t>七、政府性基金预算财政拨款收入支出决算表</w:t>
      </w:r>
    </w:p>
    <w:p>
      <w:pPr>
        <w:pStyle w:val="15"/>
        <w:spacing w:line="500" w:lineRule="exact"/>
        <w:ind w:firstLine="700" w:firstLineChars="250"/>
        <w:rPr>
          <w:rFonts w:ascii="仿宋_GB2312" w:hAnsi="仿宋_GB2312" w:eastAsia="仿宋_GB2312" w:cs="仿宋_GB2312"/>
          <w:sz w:val="28"/>
          <w:szCs w:val="28"/>
        </w:rPr>
      </w:pPr>
      <w:r>
        <w:rPr>
          <w:rFonts w:hint="eastAsia" w:ascii="仿宋_GB2312" w:hAnsi="仿宋_GB2312" w:eastAsia="仿宋_GB2312" w:cs="仿宋_GB2312"/>
          <w:sz w:val="28"/>
          <w:szCs w:val="28"/>
        </w:rPr>
        <w:t>八、国有资本经营预算财政拨款支出决算表</w:t>
      </w:r>
    </w:p>
    <w:p>
      <w:pPr>
        <w:pStyle w:val="15"/>
        <w:spacing w:line="500" w:lineRule="exact"/>
        <w:ind w:firstLine="700" w:firstLineChars="250"/>
        <w:rPr>
          <w:rFonts w:ascii="仿宋_GB2312" w:hAnsi="仿宋_GB2312" w:eastAsia="仿宋_GB2312" w:cs="仿宋_GB2312"/>
          <w:sz w:val="28"/>
          <w:szCs w:val="28"/>
        </w:rPr>
      </w:pPr>
      <w:r>
        <w:rPr>
          <w:rFonts w:hint="eastAsia" w:ascii="仿宋_GB2312" w:hAnsi="仿宋_GB2312" w:eastAsia="仿宋_GB2312" w:cs="仿宋_GB2312"/>
          <w:sz w:val="28"/>
          <w:szCs w:val="28"/>
        </w:rPr>
        <w:t>九、财政拨款“三公”经费支出决算表</w:t>
      </w:r>
    </w:p>
    <w:p>
      <w:pPr>
        <w:pStyle w:val="15"/>
        <w:spacing w:line="500" w:lineRule="exact"/>
        <w:rPr>
          <w:rFonts w:hAnsi="黑体"/>
          <w:bCs/>
          <w:sz w:val="28"/>
          <w:szCs w:val="28"/>
        </w:rPr>
      </w:pPr>
      <w:r>
        <w:rPr>
          <w:rFonts w:hint="eastAsia" w:hAnsi="黑体"/>
          <w:bCs/>
          <w:sz w:val="28"/>
          <w:szCs w:val="28"/>
        </w:rPr>
        <w:t>第三部分</w:t>
      </w:r>
      <w:r>
        <w:rPr>
          <w:rFonts w:hAnsi="黑体"/>
          <w:bCs/>
          <w:sz w:val="28"/>
          <w:szCs w:val="28"/>
        </w:rPr>
        <w:t xml:space="preserve"> </w:t>
      </w:r>
      <w:r>
        <w:rPr>
          <w:rFonts w:hint="eastAsia" w:hAnsi="黑体"/>
          <w:bCs/>
          <w:sz w:val="28"/>
          <w:szCs w:val="28"/>
        </w:rPr>
        <w:t>部门决算情况说明</w:t>
      </w:r>
    </w:p>
    <w:p>
      <w:pPr>
        <w:pStyle w:val="15"/>
        <w:spacing w:line="500" w:lineRule="exact"/>
        <w:ind w:firstLine="700" w:firstLineChars="250"/>
        <w:rPr>
          <w:rFonts w:ascii="仿宋_GB2312" w:hAnsi="仿宋_GB2312" w:eastAsia="仿宋_GB2312" w:cs="仿宋_GB2312"/>
          <w:sz w:val="28"/>
          <w:szCs w:val="28"/>
        </w:rPr>
      </w:pPr>
      <w:r>
        <w:rPr>
          <w:rFonts w:hint="eastAsia" w:ascii="仿宋_GB2312" w:hAnsi="仿宋_GB2312" w:eastAsia="仿宋_GB2312" w:cs="仿宋_GB2312"/>
          <w:sz w:val="28"/>
          <w:szCs w:val="28"/>
        </w:rPr>
        <w:t>一、收入支出决算总体情况说明</w:t>
      </w:r>
    </w:p>
    <w:p>
      <w:pPr>
        <w:spacing w:line="500" w:lineRule="exact"/>
        <w:ind w:firstLine="700" w:firstLineChars="250"/>
        <w:jc w:val="left"/>
        <w:rPr>
          <w:rFonts w:ascii="仿宋_GB2312" w:hAnsi="仿宋_GB2312" w:eastAsia="仿宋_GB2312" w:cs="仿宋_GB2312"/>
          <w:sz w:val="28"/>
          <w:szCs w:val="28"/>
        </w:rPr>
      </w:pPr>
      <w:r>
        <w:rPr>
          <w:rFonts w:hint="eastAsia" w:ascii="仿宋_GB2312" w:hAnsi="仿宋_GB2312" w:eastAsia="仿宋_GB2312" w:cs="仿宋_GB2312"/>
          <w:sz w:val="28"/>
          <w:szCs w:val="28"/>
        </w:rPr>
        <w:t>二、收入决算情况说明</w:t>
      </w:r>
    </w:p>
    <w:p>
      <w:pPr>
        <w:autoSpaceDE w:val="0"/>
        <w:autoSpaceDN w:val="0"/>
        <w:adjustRightInd w:val="0"/>
        <w:spacing w:line="500" w:lineRule="exact"/>
        <w:ind w:firstLine="700" w:firstLineChars="250"/>
        <w:jc w:val="left"/>
        <w:rPr>
          <w:rFonts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三、支出决算情况说明</w:t>
      </w:r>
    </w:p>
    <w:p>
      <w:pPr>
        <w:autoSpaceDE w:val="0"/>
        <w:autoSpaceDN w:val="0"/>
        <w:adjustRightInd w:val="0"/>
        <w:spacing w:line="500" w:lineRule="exact"/>
        <w:ind w:firstLine="700" w:firstLineChars="250"/>
        <w:jc w:val="left"/>
        <w:rPr>
          <w:rFonts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四、财政拨款收入支出决算总体情况说明</w:t>
      </w:r>
    </w:p>
    <w:p>
      <w:pPr>
        <w:autoSpaceDE w:val="0"/>
        <w:autoSpaceDN w:val="0"/>
        <w:adjustRightInd w:val="0"/>
        <w:spacing w:line="500" w:lineRule="exact"/>
        <w:ind w:firstLine="700" w:firstLineChars="250"/>
        <w:jc w:val="left"/>
        <w:rPr>
          <w:rFonts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五、一般公共预算财政拨款支出决算情况说明</w:t>
      </w:r>
    </w:p>
    <w:p>
      <w:pPr>
        <w:autoSpaceDE w:val="0"/>
        <w:autoSpaceDN w:val="0"/>
        <w:adjustRightInd w:val="0"/>
        <w:spacing w:line="500" w:lineRule="exact"/>
        <w:ind w:firstLine="700" w:firstLineChars="250"/>
        <w:jc w:val="left"/>
        <w:rPr>
          <w:rFonts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六、一般公共预算财政拨款基本支出决算情况说明</w:t>
      </w:r>
    </w:p>
    <w:p>
      <w:pPr>
        <w:autoSpaceDE w:val="0"/>
        <w:autoSpaceDN w:val="0"/>
        <w:adjustRightInd w:val="0"/>
        <w:spacing w:line="500" w:lineRule="exact"/>
        <w:ind w:firstLine="700" w:firstLineChars="250"/>
        <w:jc w:val="left"/>
        <w:rPr>
          <w:rFonts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七、一般公共预算财政拨款三公经费支出决算情况说明</w:t>
      </w:r>
    </w:p>
    <w:p>
      <w:pPr>
        <w:autoSpaceDE w:val="0"/>
        <w:autoSpaceDN w:val="0"/>
        <w:adjustRightInd w:val="0"/>
        <w:spacing w:line="500" w:lineRule="exact"/>
        <w:ind w:firstLine="700" w:firstLineChars="250"/>
        <w:jc w:val="left"/>
        <w:rPr>
          <w:rFonts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八、政府性基金预算收入支出决算情况</w:t>
      </w:r>
    </w:p>
    <w:p>
      <w:pPr>
        <w:autoSpaceDE w:val="0"/>
        <w:autoSpaceDN w:val="0"/>
        <w:adjustRightInd w:val="0"/>
        <w:spacing w:line="500" w:lineRule="exact"/>
        <w:ind w:firstLine="700" w:firstLineChars="250"/>
        <w:jc w:val="left"/>
        <w:rPr>
          <w:rFonts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九、关于机关运行经费支出说明</w:t>
      </w:r>
    </w:p>
    <w:p>
      <w:pPr>
        <w:autoSpaceDE w:val="0"/>
        <w:autoSpaceDN w:val="0"/>
        <w:adjustRightInd w:val="0"/>
        <w:spacing w:line="500" w:lineRule="exact"/>
        <w:ind w:firstLine="700" w:firstLineChars="250"/>
        <w:jc w:val="left"/>
        <w:rPr>
          <w:rFonts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十、一般性支出情况说明</w:t>
      </w:r>
    </w:p>
    <w:p>
      <w:pPr>
        <w:autoSpaceDE w:val="0"/>
        <w:autoSpaceDN w:val="0"/>
        <w:adjustRightInd w:val="0"/>
        <w:spacing w:line="500" w:lineRule="exact"/>
        <w:ind w:firstLine="700" w:firstLineChars="250"/>
        <w:jc w:val="left"/>
        <w:rPr>
          <w:rFonts w:ascii="仿宋_GB2312" w:hAnsi="仿宋_GB2312" w:eastAsia="仿宋_GB2312" w:cs="仿宋_GB2312"/>
          <w:color w:val="000000"/>
          <w:kern w:val="0"/>
          <w:sz w:val="28"/>
          <w:szCs w:val="28"/>
        </w:rPr>
      </w:pPr>
      <w:r>
        <w:rPr>
          <w:rFonts w:hint="eastAsia" w:ascii="仿宋_GB2312" w:hAnsi="仿宋_GB2312" w:eastAsia="仿宋_GB2312" w:cs="仿宋_GB2312"/>
          <w:color w:val="000000"/>
          <w:kern w:val="0"/>
          <w:sz w:val="28"/>
          <w:szCs w:val="28"/>
        </w:rPr>
        <w:t>十一、关于政府采购支出说明</w:t>
      </w:r>
    </w:p>
    <w:p>
      <w:pPr>
        <w:pStyle w:val="15"/>
        <w:spacing w:line="500" w:lineRule="exact"/>
        <w:ind w:firstLine="700" w:firstLineChars="250"/>
        <w:rPr>
          <w:rFonts w:ascii="仿宋_GB2312" w:hAnsi="仿宋_GB2312" w:eastAsia="仿宋_GB2312" w:cs="仿宋_GB2312"/>
          <w:sz w:val="28"/>
          <w:szCs w:val="28"/>
        </w:rPr>
      </w:pPr>
      <w:r>
        <w:rPr>
          <w:rFonts w:hint="eastAsia" w:ascii="仿宋_GB2312" w:hAnsi="仿宋_GB2312" w:eastAsia="仿宋_GB2312" w:cs="仿宋_GB2312"/>
          <w:sz w:val="28"/>
          <w:szCs w:val="28"/>
        </w:rPr>
        <w:t>十二、关于国有资产占用情况说明</w:t>
      </w:r>
    </w:p>
    <w:p>
      <w:pPr>
        <w:pStyle w:val="15"/>
        <w:spacing w:line="500" w:lineRule="exact"/>
        <w:ind w:firstLine="700" w:firstLineChars="250"/>
        <w:rPr>
          <w:rFonts w:ascii="仿宋_GB2312" w:hAnsi="仿宋_GB2312" w:eastAsia="仿宋_GB2312" w:cs="仿宋_GB2312"/>
          <w:sz w:val="28"/>
          <w:szCs w:val="28"/>
        </w:rPr>
      </w:pPr>
      <w:r>
        <w:rPr>
          <w:rFonts w:hint="eastAsia" w:ascii="仿宋_GB2312" w:hAnsi="仿宋_GB2312" w:eastAsia="仿宋_GB2312" w:cs="仿宋_GB2312"/>
          <w:sz w:val="28"/>
          <w:szCs w:val="28"/>
        </w:rPr>
        <w:t>十三、关于预算绩效情况的说明</w:t>
      </w:r>
    </w:p>
    <w:p>
      <w:pPr>
        <w:pStyle w:val="15"/>
        <w:spacing w:line="500" w:lineRule="exact"/>
        <w:rPr>
          <w:rFonts w:hAnsi="黑体"/>
          <w:bCs/>
          <w:sz w:val="28"/>
          <w:szCs w:val="28"/>
        </w:rPr>
      </w:pPr>
      <w:r>
        <w:rPr>
          <w:rFonts w:hint="eastAsia" w:hAnsi="黑体"/>
          <w:bCs/>
          <w:sz w:val="28"/>
          <w:szCs w:val="28"/>
        </w:rPr>
        <w:t>第四部分</w:t>
      </w:r>
      <w:r>
        <w:rPr>
          <w:rFonts w:hAnsi="黑体"/>
          <w:bCs/>
          <w:sz w:val="28"/>
          <w:szCs w:val="28"/>
        </w:rPr>
        <w:t xml:space="preserve"> </w:t>
      </w:r>
      <w:r>
        <w:rPr>
          <w:rFonts w:hint="eastAsia" w:hAnsi="黑体"/>
          <w:bCs/>
          <w:sz w:val="28"/>
          <w:szCs w:val="28"/>
        </w:rPr>
        <w:t>名词解释</w:t>
      </w:r>
    </w:p>
    <w:p>
      <w:pPr>
        <w:jc w:val="center"/>
        <w:rPr>
          <w:sz w:val="72"/>
          <w:szCs w:val="72"/>
        </w:rPr>
      </w:pPr>
    </w:p>
    <w:p>
      <w:pPr>
        <w:rPr>
          <w:rFonts w:ascii="方正小标宋_GBK" w:hAnsi="方正小标宋_GBK" w:eastAsia="方正小标宋_GBK" w:cs="方正小标宋_GBK"/>
          <w:sz w:val="72"/>
          <w:szCs w:val="72"/>
        </w:rPr>
      </w:pPr>
    </w:p>
    <w:p>
      <w:pPr>
        <w:rPr>
          <w:rFonts w:ascii="方正小标宋_GBK" w:hAnsi="方正小标宋_GBK" w:eastAsia="方正小标宋_GBK" w:cs="方正小标宋_GBK"/>
          <w:sz w:val="72"/>
          <w:szCs w:val="72"/>
        </w:rPr>
      </w:pPr>
    </w:p>
    <w:p>
      <w:pPr>
        <w:pStyle w:val="15"/>
        <w:jc w:val="center"/>
        <w:rPr>
          <w:rFonts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第一部分</w:t>
      </w:r>
      <w:r>
        <w:rPr>
          <w:rFonts w:ascii="方正小标宋_GBK" w:hAnsi="方正小标宋_GBK" w:eastAsia="方正小标宋_GBK" w:cs="方正小标宋_GBK"/>
          <w:sz w:val="72"/>
          <w:szCs w:val="72"/>
        </w:rPr>
        <w:t xml:space="preserve"> </w:t>
      </w:r>
    </w:p>
    <w:p>
      <w:pPr>
        <w:pStyle w:val="15"/>
        <w:jc w:val="center"/>
        <w:rPr>
          <w:rFonts w:ascii="方正小标宋_GBK" w:hAnsi="方正小标宋_GBK" w:eastAsia="方正小标宋_GBK" w:cs="方正小标宋_GBK"/>
          <w:sz w:val="72"/>
          <w:szCs w:val="72"/>
        </w:rPr>
      </w:pPr>
    </w:p>
    <w:p>
      <w:pPr>
        <w:pStyle w:val="15"/>
        <w:jc w:val="center"/>
        <w:rPr>
          <w:rFonts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湖南省农业农村信息中心</w:t>
      </w:r>
    </w:p>
    <w:p>
      <w:pPr>
        <w:pStyle w:val="15"/>
        <w:jc w:val="center"/>
        <w:rPr>
          <w:rFonts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概</w:t>
      </w:r>
      <w:r>
        <w:rPr>
          <w:rFonts w:hint="eastAsia" w:ascii="方正小标宋_GBK" w:hAnsi="方正小标宋_GBK" w:eastAsia="方正小标宋_GBK" w:cs="方正小标宋_GBK"/>
          <w:sz w:val="72"/>
          <w:szCs w:val="72"/>
          <w:lang w:val="en-US" w:eastAsia="zh-CN"/>
        </w:rPr>
        <w:t xml:space="preserve"> </w:t>
      </w:r>
      <w:r>
        <w:rPr>
          <w:rFonts w:hint="eastAsia" w:ascii="方正小标宋_GBK" w:hAnsi="方正小标宋_GBK" w:eastAsia="方正小标宋_GBK" w:cs="方正小标宋_GBK"/>
          <w:sz w:val="72"/>
          <w:szCs w:val="72"/>
        </w:rPr>
        <w:t>况</w:t>
      </w:r>
    </w:p>
    <w:p>
      <w:pPr>
        <w:jc w:val="center"/>
        <w:rPr>
          <w:rFonts w:ascii="方正小标宋_GBK" w:hAnsi="方正小标宋_GBK" w:eastAsia="方正小标宋_GBK" w:cs="方正小标宋_GBK"/>
          <w:sz w:val="72"/>
          <w:szCs w:val="72"/>
        </w:rPr>
      </w:pPr>
    </w:p>
    <w:p>
      <w:pPr>
        <w:jc w:val="center"/>
        <w:rPr>
          <w:rFonts w:ascii="方正小标宋_GBK" w:hAnsi="方正小标宋_GBK" w:eastAsia="方正小标宋_GBK" w:cs="方正小标宋_GBK"/>
          <w:sz w:val="72"/>
          <w:szCs w:val="72"/>
        </w:rPr>
      </w:pPr>
    </w:p>
    <w:p>
      <w:pPr>
        <w:jc w:val="center"/>
        <w:rPr>
          <w:rFonts w:ascii="方正小标宋_GBK" w:hAnsi="方正小标宋_GBK" w:eastAsia="方正小标宋_GBK" w:cs="方正小标宋_GBK"/>
          <w:sz w:val="72"/>
          <w:szCs w:val="72"/>
        </w:rPr>
      </w:pPr>
    </w:p>
    <w:p>
      <w:pPr>
        <w:jc w:val="center"/>
        <w:rPr>
          <w:rFonts w:ascii="方正小标宋_GBK" w:hAnsi="方正小标宋_GBK" w:eastAsia="方正小标宋_GBK" w:cs="方正小标宋_GBK"/>
          <w:sz w:val="72"/>
          <w:szCs w:val="72"/>
        </w:rPr>
      </w:pPr>
    </w:p>
    <w:p>
      <w:pPr>
        <w:jc w:val="center"/>
        <w:rPr>
          <w:sz w:val="72"/>
          <w:szCs w:val="72"/>
        </w:rPr>
      </w:pPr>
    </w:p>
    <w:p>
      <w:pPr>
        <w:jc w:val="center"/>
        <w:rPr>
          <w:sz w:val="72"/>
          <w:szCs w:val="72"/>
        </w:rPr>
      </w:pPr>
    </w:p>
    <w:p>
      <w:pPr>
        <w:jc w:val="center"/>
        <w:rPr>
          <w:sz w:val="24"/>
          <w:szCs w:val="24"/>
        </w:rPr>
      </w:pPr>
    </w:p>
    <w:p>
      <w:pPr>
        <w:pStyle w:val="16"/>
        <w:numPr>
          <w:ilvl w:val="0"/>
          <w:numId w:val="1"/>
        </w:numPr>
        <w:ind w:firstLineChars="0"/>
        <w:jc w:val="left"/>
        <w:rPr>
          <w:rFonts w:ascii="黑体" w:hAnsi="黑体" w:eastAsia="黑体" w:cs="黑体"/>
          <w:sz w:val="32"/>
          <w:szCs w:val="32"/>
        </w:rPr>
      </w:pPr>
      <w:r>
        <w:rPr>
          <w:rFonts w:hint="eastAsia" w:ascii="黑体" w:hAnsi="黑体" w:eastAsia="黑体" w:cs="黑体"/>
          <w:sz w:val="32"/>
          <w:szCs w:val="32"/>
        </w:rPr>
        <w:t>部门职责</w:t>
      </w:r>
    </w:p>
    <w:p>
      <w:pPr>
        <w:widowControl/>
        <w:spacing w:line="60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承办规范全省农业信息化工作</w:t>
      </w:r>
      <w:r>
        <w:rPr>
          <w:rFonts w:ascii="Times New Roman" w:hAnsi="Times New Roman" w:eastAsia="仿宋_GB2312" w:cs="仿宋_GB2312"/>
          <w:sz w:val="32"/>
          <w:szCs w:val="32"/>
        </w:rPr>
        <w:t>,</w:t>
      </w:r>
      <w:r>
        <w:rPr>
          <w:rFonts w:hint="eastAsia" w:ascii="Times New Roman" w:hAnsi="Times New Roman" w:eastAsia="仿宋_GB2312" w:cs="仿宋_GB2312"/>
          <w:sz w:val="32"/>
          <w:szCs w:val="32"/>
        </w:rPr>
        <w:t>负责全省农业信息网络体系的规划、建设和管理</w:t>
      </w:r>
      <w:r>
        <w:rPr>
          <w:rFonts w:ascii="Times New Roman" w:hAnsi="Times New Roman" w:eastAsia="仿宋_GB2312" w:cs="仿宋_GB2312"/>
          <w:sz w:val="32"/>
          <w:szCs w:val="32"/>
        </w:rPr>
        <w:t>,</w:t>
      </w:r>
      <w:r>
        <w:rPr>
          <w:rFonts w:hint="eastAsia" w:ascii="Times New Roman" w:hAnsi="Times New Roman" w:eastAsia="仿宋_GB2312" w:cs="仿宋_GB2312"/>
          <w:sz w:val="32"/>
          <w:szCs w:val="32"/>
        </w:rPr>
        <w:t>农业信息入户工程的试点和技术推广</w:t>
      </w:r>
      <w:r>
        <w:rPr>
          <w:rFonts w:ascii="Times New Roman" w:hAnsi="Times New Roman" w:eastAsia="仿宋_GB2312" w:cs="仿宋_GB2312"/>
          <w:sz w:val="32"/>
          <w:szCs w:val="32"/>
        </w:rPr>
        <w:t>;</w:t>
      </w:r>
    </w:p>
    <w:p>
      <w:pPr>
        <w:widowControl/>
        <w:spacing w:line="60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承办湖南农业信息网的管理与维护</w:t>
      </w:r>
      <w:r>
        <w:rPr>
          <w:rFonts w:ascii="Times New Roman" w:hAnsi="Times New Roman" w:eastAsia="仿宋_GB2312" w:cs="仿宋_GB2312"/>
          <w:sz w:val="32"/>
          <w:szCs w:val="32"/>
        </w:rPr>
        <w:t>,</w:t>
      </w:r>
      <w:r>
        <w:rPr>
          <w:rFonts w:hint="eastAsia" w:ascii="Times New Roman" w:hAnsi="Times New Roman" w:eastAsia="仿宋_GB2312" w:cs="仿宋_GB2312"/>
          <w:sz w:val="32"/>
          <w:szCs w:val="32"/>
        </w:rPr>
        <w:t>开展网上农业信息服务和电子商务服务</w:t>
      </w:r>
      <w:r>
        <w:rPr>
          <w:rFonts w:ascii="Times New Roman" w:hAnsi="Times New Roman" w:eastAsia="仿宋_GB2312" w:cs="仿宋_GB2312"/>
          <w:sz w:val="32"/>
          <w:szCs w:val="32"/>
        </w:rPr>
        <w:t>;</w:t>
      </w:r>
    </w:p>
    <w:p>
      <w:pPr>
        <w:widowControl/>
        <w:spacing w:line="60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负责全省农业信息网络应用软件的开发和推广</w:t>
      </w:r>
      <w:r>
        <w:rPr>
          <w:rFonts w:ascii="Times New Roman" w:hAnsi="Times New Roman" w:eastAsia="仿宋_GB2312" w:cs="仿宋_GB2312"/>
          <w:sz w:val="32"/>
          <w:szCs w:val="32"/>
        </w:rPr>
        <w:t>;</w:t>
      </w:r>
    </w:p>
    <w:p>
      <w:pPr>
        <w:widowControl/>
        <w:spacing w:line="60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负责全省农业信息网络维护和信息化技术培训</w:t>
      </w:r>
      <w:r>
        <w:rPr>
          <w:rFonts w:ascii="Times New Roman" w:hAnsi="Times New Roman" w:eastAsia="仿宋_GB2312" w:cs="仿宋_GB2312"/>
          <w:sz w:val="32"/>
          <w:szCs w:val="32"/>
        </w:rPr>
        <w:t>;</w:t>
      </w:r>
    </w:p>
    <w:p>
      <w:pPr>
        <w:widowControl/>
        <w:spacing w:line="60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负责厅机关局域网的管理和维护。</w:t>
      </w:r>
    </w:p>
    <w:p>
      <w:pPr>
        <w:widowControl/>
        <w:spacing w:line="600" w:lineRule="exact"/>
        <w:rPr>
          <w:rFonts w:ascii="黑体" w:hAnsi="黑体" w:eastAsia="黑体" w:cs="黑体"/>
          <w:bCs/>
          <w:kern w:val="0"/>
          <w:sz w:val="32"/>
          <w:szCs w:val="32"/>
        </w:rPr>
      </w:pPr>
      <w:r>
        <w:rPr>
          <w:rFonts w:hint="eastAsia" w:ascii="黑体" w:hAnsi="黑体" w:eastAsia="黑体" w:cs="黑体"/>
          <w:bCs/>
          <w:kern w:val="0"/>
          <w:sz w:val="32"/>
          <w:szCs w:val="32"/>
        </w:rPr>
        <w:t>二、机构设置及决算单位构成</w:t>
      </w:r>
    </w:p>
    <w:p>
      <w:pPr>
        <w:snapToGrid w:val="0"/>
        <w:spacing w:line="520" w:lineRule="exact"/>
        <w:ind w:firstLine="640" w:firstLineChars="200"/>
        <w:rPr>
          <w:rFonts w:ascii="仿宋" w:hAnsi="仿宋" w:eastAsia="仿宋"/>
          <w:sz w:val="32"/>
          <w:szCs w:val="32"/>
        </w:rPr>
      </w:pPr>
      <w:r>
        <w:rPr>
          <w:rFonts w:hint="eastAsia" w:ascii="Times New Roman" w:hAnsi="Times New Roman" w:eastAsia="仿宋_GB2312" w:cs="仿宋_GB2312"/>
          <w:bCs/>
          <w:kern w:val="0"/>
          <w:sz w:val="32"/>
          <w:szCs w:val="32"/>
        </w:rPr>
        <w:t>（一）内设机构设置。湖南省农业农村信息中心内设机构包括：</w:t>
      </w:r>
      <w:r>
        <w:rPr>
          <w:rFonts w:hint="eastAsia" w:ascii="仿宋_GB2312" w:hAnsi="黑体" w:eastAsia="仿宋_GB2312" w:cs="Times New Roman"/>
          <w:sz w:val="32"/>
          <w:szCs w:val="32"/>
        </w:rPr>
        <w:t>综合科、网络科、信息科、应用科、数据科</w:t>
      </w:r>
      <w:r>
        <w:rPr>
          <w:rFonts w:ascii="仿宋_GB2312" w:hAnsi="黑体" w:eastAsia="仿宋_GB2312" w:cs="Times New Roman"/>
          <w:sz w:val="32"/>
          <w:szCs w:val="32"/>
        </w:rPr>
        <w:t>5</w:t>
      </w:r>
      <w:r>
        <w:rPr>
          <w:rFonts w:hint="eastAsia" w:ascii="仿宋_GB2312" w:hAnsi="黑体" w:eastAsia="仿宋_GB2312" w:cs="Times New Roman"/>
          <w:sz w:val="32"/>
          <w:szCs w:val="32"/>
        </w:rPr>
        <w:t>个内部机构</w:t>
      </w:r>
      <w:r>
        <w:rPr>
          <w:rFonts w:hint="eastAsia" w:ascii="仿宋_GB2312" w:hAnsi="黑体" w:eastAsia="仿宋_GB2312" w:cs="Times New Roman"/>
          <w:sz w:val="32"/>
          <w:szCs w:val="32"/>
          <w:lang w:val="en-US" w:eastAsia="zh-CN"/>
        </w:rPr>
        <w:t>;</w:t>
      </w:r>
      <w:r>
        <w:rPr>
          <w:rFonts w:hint="eastAsia" w:ascii="仿宋_GB2312" w:hAnsi="黑体" w:eastAsia="仿宋_GB2312" w:cs="Times New Roman"/>
          <w:sz w:val="32"/>
          <w:szCs w:val="32"/>
        </w:rPr>
        <w:t>下辖湖南农玥信息技术服务有限责任公司。</w:t>
      </w:r>
    </w:p>
    <w:p>
      <w:pPr>
        <w:ind w:firstLine="640" w:firstLineChars="200"/>
        <w:jc w:val="left"/>
        <w:rPr>
          <w:rFonts w:ascii="黑体" w:hAnsi="黑体" w:eastAsia="仿宋_GB2312"/>
          <w:sz w:val="28"/>
          <w:szCs w:val="28"/>
        </w:rPr>
      </w:pPr>
      <w:r>
        <w:rPr>
          <w:rFonts w:hint="eastAsia" w:ascii="Times New Roman" w:hAnsi="Times New Roman" w:eastAsia="仿宋_GB2312" w:cs="仿宋_GB2312"/>
          <w:bCs/>
          <w:kern w:val="0"/>
          <w:sz w:val="32"/>
          <w:szCs w:val="32"/>
        </w:rPr>
        <w:t>（二）决算单位构成。湖南省农业农村信息中心</w:t>
      </w:r>
      <w:r>
        <w:rPr>
          <w:rFonts w:ascii="Times New Roman" w:hAnsi="Times New Roman" w:eastAsia="仿宋_GB2312" w:cs="仿宋_GB2312"/>
          <w:bCs/>
          <w:kern w:val="0"/>
          <w:sz w:val="32"/>
          <w:szCs w:val="32"/>
        </w:rPr>
        <w:t>2022</w:t>
      </w:r>
      <w:r>
        <w:rPr>
          <w:rFonts w:hint="eastAsia" w:ascii="Times New Roman" w:hAnsi="Times New Roman" w:eastAsia="仿宋_GB2312" w:cs="仿宋_GB2312"/>
          <w:bCs/>
          <w:kern w:val="0"/>
          <w:sz w:val="32"/>
          <w:szCs w:val="32"/>
        </w:rPr>
        <w:t>年部门决算汇总公开单位构成包括：湖南省农业农村信息中心本级。</w:t>
      </w: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rFonts w:ascii="黑体" w:hAnsi="黑体" w:eastAsia="黑体"/>
          <w:sz w:val="28"/>
          <w:szCs w:val="28"/>
        </w:rPr>
      </w:pPr>
    </w:p>
    <w:p>
      <w:pPr>
        <w:jc w:val="center"/>
        <w:rPr>
          <w:sz w:val="72"/>
          <w:szCs w:val="72"/>
        </w:rPr>
      </w:pPr>
    </w:p>
    <w:p>
      <w:pPr>
        <w:jc w:val="center"/>
        <w:rPr>
          <w:sz w:val="72"/>
          <w:szCs w:val="72"/>
        </w:rPr>
      </w:pPr>
    </w:p>
    <w:p>
      <w:pPr>
        <w:jc w:val="center"/>
        <w:rPr>
          <w:sz w:val="72"/>
          <w:szCs w:val="72"/>
        </w:rPr>
      </w:pPr>
    </w:p>
    <w:p>
      <w:pPr>
        <w:pStyle w:val="15"/>
        <w:jc w:val="center"/>
        <w:rPr>
          <w:rFonts w:ascii="方正小标宋_GBK" w:hAnsi="方正小标宋_GBK" w:eastAsia="方正小标宋_GBK" w:cs="方正小标宋_GBK"/>
          <w:sz w:val="84"/>
          <w:szCs w:val="84"/>
        </w:rPr>
      </w:pPr>
    </w:p>
    <w:p>
      <w:pPr>
        <w:pStyle w:val="15"/>
        <w:jc w:val="center"/>
        <w:rPr>
          <w:rFonts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第二部分</w:t>
      </w:r>
    </w:p>
    <w:p>
      <w:pPr>
        <w:pStyle w:val="15"/>
        <w:jc w:val="center"/>
        <w:rPr>
          <w:rFonts w:ascii="方正小标宋_GBK" w:hAnsi="方正小标宋_GBK" w:eastAsia="方正小标宋_GBK" w:cs="方正小标宋_GBK"/>
          <w:sz w:val="72"/>
          <w:szCs w:val="72"/>
        </w:rPr>
      </w:pPr>
    </w:p>
    <w:p>
      <w:pPr>
        <w:pStyle w:val="15"/>
        <w:jc w:val="center"/>
        <w:rPr>
          <w:rFonts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部门决算表</w:t>
      </w:r>
    </w:p>
    <w:p>
      <w:pPr>
        <w:jc w:val="center"/>
        <w:rPr>
          <w:sz w:val="72"/>
          <w:szCs w:val="72"/>
        </w:rPr>
      </w:pPr>
    </w:p>
    <w:p>
      <w:pPr>
        <w:jc w:val="center"/>
        <w:rPr>
          <w:sz w:val="72"/>
          <w:szCs w:val="72"/>
        </w:rPr>
      </w:pPr>
    </w:p>
    <w:p>
      <w:pPr>
        <w:jc w:val="center"/>
        <w:rPr>
          <w:sz w:val="72"/>
          <w:szCs w:val="72"/>
        </w:rPr>
      </w:pPr>
    </w:p>
    <w:p>
      <w:pPr>
        <w:jc w:val="left"/>
        <w:rPr>
          <w:rFonts w:ascii="宋体"/>
          <w:sz w:val="32"/>
          <w:szCs w:val="32"/>
        </w:rPr>
        <w:sectPr>
          <w:footerReference r:id="rId3" w:type="default"/>
          <w:pgSz w:w="11906" w:h="16838"/>
          <w:pgMar w:top="720" w:right="720" w:bottom="720" w:left="720" w:header="851" w:footer="992" w:gutter="0"/>
          <w:cols w:space="425" w:num="1"/>
          <w:docGrid w:type="lines" w:linePitch="312" w:charSpace="0"/>
        </w:sectPr>
      </w:pPr>
    </w:p>
    <w:p>
      <w:pPr>
        <w:widowControl/>
        <w:jc w:val="left"/>
        <w:rPr>
          <w:rFonts w:ascii="Times New Roman" w:hAnsi="Times New Roman" w:eastAsia="黑体" w:cs="Times New Roman"/>
          <w:bCs/>
          <w:kern w:val="0"/>
          <w:sz w:val="32"/>
          <w:szCs w:val="32"/>
        </w:rPr>
      </w:pPr>
      <w:r>
        <w:drawing>
          <wp:inline distT="0" distB="0" distL="114300" distR="114300">
            <wp:extent cx="9573260" cy="6226175"/>
            <wp:effectExtent l="0" t="0" r="254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9573260" cy="6226175"/>
                    </a:xfrm>
                    <a:prstGeom prst="rect">
                      <a:avLst/>
                    </a:prstGeom>
                    <a:noFill/>
                    <a:ln>
                      <a:noFill/>
                    </a:ln>
                  </pic:spPr>
                </pic:pic>
              </a:graphicData>
            </a:graphic>
          </wp:inline>
        </w:drawing>
      </w:r>
      <w:r>
        <w:rPr>
          <w:rFonts w:ascii="Times New Roman" w:hAnsi="Times New Roman" w:eastAsia="黑体" w:cs="Times New Roman"/>
          <w:bCs/>
          <w:kern w:val="0"/>
          <w:sz w:val="32"/>
          <w:szCs w:val="32"/>
        </w:rPr>
        <w:t xml:space="preserve"> </w:t>
      </w:r>
      <w:r>
        <w:drawing>
          <wp:inline distT="0" distB="0" distL="114300" distR="114300">
            <wp:extent cx="9686925" cy="3590925"/>
            <wp:effectExtent l="0" t="0" r="571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
                    <a:stretch>
                      <a:fillRect/>
                    </a:stretch>
                  </pic:blipFill>
                  <pic:spPr>
                    <a:xfrm>
                      <a:off x="0" y="0"/>
                      <a:ext cx="9686925" cy="3590925"/>
                    </a:xfrm>
                    <a:prstGeom prst="rect">
                      <a:avLst/>
                    </a:prstGeom>
                    <a:noFill/>
                    <a:ln>
                      <a:noFill/>
                    </a:ln>
                  </pic:spPr>
                </pic:pic>
              </a:graphicData>
            </a:graphic>
          </wp:inline>
        </w:drawing>
      </w:r>
      <w:r>
        <w:br w:type="page"/>
      </w:r>
    </w:p>
    <w:p>
      <w:pPr>
        <w:widowControl/>
        <w:rPr>
          <w:rFonts w:ascii="Times New Roman" w:hAnsi="Times New Roman" w:eastAsia="方正小标宋_GBK" w:cs="Times New Roman"/>
          <w:color w:val="000000"/>
          <w:kern w:val="0"/>
          <w:sz w:val="36"/>
          <w:szCs w:val="36"/>
        </w:rPr>
      </w:pPr>
      <w:r>
        <w:drawing>
          <wp:inline distT="0" distB="0" distL="114300" distR="114300">
            <wp:extent cx="9782175" cy="3067050"/>
            <wp:effectExtent l="0" t="0" r="1905" b="1143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7"/>
                    <a:stretch>
                      <a:fillRect/>
                    </a:stretch>
                  </pic:blipFill>
                  <pic:spPr>
                    <a:xfrm>
                      <a:off x="0" y="0"/>
                      <a:ext cx="9782175" cy="3067050"/>
                    </a:xfrm>
                    <a:prstGeom prst="rect">
                      <a:avLst/>
                    </a:prstGeom>
                    <a:noFill/>
                    <a:ln>
                      <a:noFill/>
                    </a:ln>
                  </pic:spPr>
                </pic:pic>
              </a:graphicData>
            </a:graphic>
          </wp:inline>
        </w:drawing>
      </w:r>
    </w:p>
    <w:p>
      <w:pPr>
        <w:widowControl/>
        <w:rPr>
          <w:rFonts w:ascii="Times New Roman" w:hAnsi="Times New Roman" w:eastAsia="方正小标宋_GBK" w:cs="Times New Roman"/>
          <w:color w:val="000000"/>
          <w:kern w:val="0"/>
          <w:sz w:val="36"/>
          <w:szCs w:val="21"/>
        </w:rPr>
      </w:pPr>
    </w:p>
    <w:p>
      <w:pPr>
        <w:widowControl/>
        <w:jc w:val="center"/>
      </w:pPr>
      <w:bookmarkStart w:id="0" w:name="RANGE!A1:I22"/>
      <w:bookmarkEnd w:id="0"/>
      <w:bookmarkStart w:id="1" w:name="RANGE!A1:F16"/>
      <w:bookmarkEnd w:id="1"/>
      <w:r>
        <w:drawing>
          <wp:inline distT="0" distB="0" distL="114300" distR="114300">
            <wp:extent cx="8502650" cy="6172200"/>
            <wp:effectExtent l="0" t="0" r="635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
                    <a:stretch>
                      <a:fillRect/>
                    </a:stretch>
                  </pic:blipFill>
                  <pic:spPr>
                    <a:xfrm>
                      <a:off x="0" y="0"/>
                      <a:ext cx="8502650" cy="6172200"/>
                    </a:xfrm>
                    <a:prstGeom prst="rect">
                      <a:avLst/>
                    </a:prstGeom>
                    <a:noFill/>
                    <a:ln>
                      <a:noFill/>
                    </a:ln>
                  </pic:spPr>
                </pic:pic>
              </a:graphicData>
            </a:graphic>
          </wp:inline>
        </w:drawing>
      </w:r>
      <w:r>
        <w:br w:type="page"/>
      </w:r>
      <w:r>
        <w:drawing>
          <wp:inline distT="0" distB="0" distL="114300" distR="114300">
            <wp:extent cx="8601075" cy="3762375"/>
            <wp:effectExtent l="0" t="0" r="9525"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stretch>
                      <a:fillRect/>
                    </a:stretch>
                  </pic:blipFill>
                  <pic:spPr>
                    <a:xfrm>
                      <a:off x="0" y="0"/>
                      <a:ext cx="8601075" cy="3762375"/>
                    </a:xfrm>
                    <a:prstGeom prst="rect">
                      <a:avLst/>
                    </a:prstGeom>
                    <a:noFill/>
                    <a:ln>
                      <a:noFill/>
                    </a:ln>
                  </pic:spPr>
                </pic:pic>
              </a:graphicData>
            </a:graphic>
          </wp:inline>
        </w:drawing>
      </w:r>
      <w:r>
        <w:drawing>
          <wp:inline distT="0" distB="0" distL="114300" distR="114300">
            <wp:extent cx="9677400" cy="56388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a:stretch>
                      <a:fillRect/>
                    </a:stretch>
                  </pic:blipFill>
                  <pic:spPr>
                    <a:xfrm>
                      <a:off x="0" y="0"/>
                      <a:ext cx="9677400" cy="5638800"/>
                    </a:xfrm>
                    <a:prstGeom prst="rect">
                      <a:avLst/>
                    </a:prstGeom>
                    <a:noFill/>
                    <a:ln>
                      <a:noFill/>
                    </a:ln>
                  </pic:spPr>
                </pic:pic>
              </a:graphicData>
            </a:graphic>
          </wp:inline>
        </w:drawing>
      </w:r>
    </w:p>
    <w:p>
      <w:pPr>
        <w:widowControl/>
        <w:jc w:val="left"/>
      </w:pPr>
    </w:p>
    <w:tbl>
      <w:tblPr>
        <w:tblStyle w:val="7"/>
        <w:tblW w:w="15360" w:type="dxa"/>
        <w:tblInd w:w="0" w:type="dxa"/>
        <w:tblLayout w:type="fixed"/>
        <w:tblCellMar>
          <w:top w:w="0" w:type="dxa"/>
          <w:left w:w="108" w:type="dxa"/>
          <w:bottom w:w="0" w:type="dxa"/>
          <w:right w:w="108" w:type="dxa"/>
        </w:tblCellMar>
      </w:tblPr>
      <w:tblGrid>
        <w:gridCol w:w="1003"/>
        <w:gridCol w:w="240"/>
        <w:gridCol w:w="1402"/>
        <w:gridCol w:w="2119"/>
        <w:gridCol w:w="2119"/>
        <w:gridCol w:w="2119"/>
        <w:gridCol w:w="2119"/>
        <w:gridCol w:w="2119"/>
        <w:gridCol w:w="2120"/>
      </w:tblGrid>
      <w:tr>
        <w:tblPrEx>
          <w:tblLayout w:type="fixed"/>
          <w:tblCellMar>
            <w:top w:w="0" w:type="dxa"/>
            <w:left w:w="108" w:type="dxa"/>
            <w:bottom w:w="0" w:type="dxa"/>
            <w:right w:w="108" w:type="dxa"/>
          </w:tblCellMar>
        </w:tblPrEx>
        <w:trPr>
          <w:trHeight w:val="690" w:hRule="atLeast"/>
        </w:trPr>
        <w:tc>
          <w:tcPr>
            <w:tcW w:w="15360" w:type="dxa"/>
            <w:gridSpan w:val="9"/>
            <w:tcBorders>
              <w:top w:val="nil"/>
              <w:left w:val="nil"/>
              <w:bottom w:val="nil"/>
              <w:right w:val="nil"/>
            </w:tcBorders>
            <w:shd w:val="clear" w:color="auto" w:fill="FFFFFF"/>
            <w:vAlign w:val="center"/>
          </w:tcPr>
          <w:p>
            <w:pPr>
              <w:widowControl/>
              <w:jc w:val="center"/>
              <w:textAlignment w:val="center"/>
              <w:rPr>
                <w:rFonts w:ascii="华文中宋" w:hAnsi="华文中宋" w:eastAsia="华文中宋" w:cs="华文中宋"/>
                <w:color w:val="000000"/>
                <w:kern w:val="0"/>
                <w:sz w:val="32"/>
                <w:szCs w:val="32"/>
              </w:rPr>
            </w:pPr>
          </w:p>
          <w:p>
            <w:pPr>
              <w:widowControl/>
              <w:jc w:val="center"/>
              <w:textAlignment w:val="center"/>
              <w:rPr>
                <w:rFonts w:ascii="华文中宋" w:hAnsi="华文中宋" w:eastAsia="华文中宋" w:cs="华文中宋"/>
                <w:color w:val="000000"/>
                <w:sz w:val="32"/>
                <w:szCs w:val="32"/>
              </w:rPr>
            </w:pPr>
            <w:r>
              <w:rPr>
                <w:rFonts w:hint="eastAsia" w:ascii="华文中宋" w:hAnsi="华文中宋" w:eastAsia="华文中宋" w:cs="华文中宋"/>
                <w:color w:val="000000"/>
                <w:kern w:val="0"/>
                <w:sz w:val="32"/>
                <w:szCs w:val="32"/>
              </w:rPr>
              <w:t>政府性基金预算财政拨款收入支出决算表</w:t>
            </w:r>
          </w:p>
        </w:tc>
      </w:tr>
      <w:tr>
        <w:tblPrEx>
          <w:tblLayout w:type="fixed"/>
          <w:tblCellMar>
            <w:top w:w="0" w:type="dxa"/>
            <w:left w:w="108" w:type="dxa"/>
            <w:bottom w:w="0" w:type="dxa"/>
            <w:right w:w="108" w:type="dxa"/>
          </w:tblCellMar>
        </w:tblPrEx>
        <w:trPr>
          <w:trHeight w:val="345" w:hRule="atLeast"/>
        </w:trPr>
        <w:tc>
          <w:tcPr>
            <w:tcW w:w="1003" w:type="dxa"/>
            <w:tcBorders>
              <w:top w:val="nil"/>
              <w:left w:val="nil"/>
              <w:bottom w:val="nil"/>
              <w:right w:val="nil"/>
            </w:tcBorders>
            <w:shd w:val="clear" w:color="auto" w:fill="FFFFFF"/>
            <w:vAlign w:val="center"/>
          </w:tcPr>
          <w:p>
            <w:pPr>
              <w:jc w:val="center"/>
              <w:rPr>
                <w:rFonts w:ascii="宋体" w:cs="宋体"/>
                <w:color w:val="000000"/>
                <w:sz w:val="20"/>
                <w:szCs w:val="20"/>
              </w:rPr>
            </w:pPr>
          </w:p>
        </w:tc>
        <w:tc>
          <w:tcPr>
            <w:tcW w:w="240" w:type="dxa"/>
            <w:tcBorders>
              <w:top w:val="nil"/>
              <w:left w:val="nil"/>
              <w:bottom w:val="nil"/>
              <w:right w:val="nil"/>
            </w:tcBorders>
            <w:shd w:val="clear" w:color="auto" w:fill="FFFFFF"/>
            <w:vAlign w:val="center"/>
          </w:tcPr>
          <w:p>
            <w:pPr>
              <w:jc w:val="center"/>
              <w:rPr>
                <w:rFonts w:ascii="宋体" w:cs="宋体"/>
                <w:color w:val="000000"/>
                <w:sz w:val="20"/>
                <w:szCs w:val="20"/>
              </w:rPr>
            </w:pPr>
          </w:p>
        </w:tc>
        <w:tc>
          <w:tcPr>
            <w:tcW w:w="1402" w:type="dxa"/>
            <w:tcBorders>
              <w:top w:val="nil"/>
              <w:left w:val="nil"/>
              <w:bottom w:val="nil"/>
              <w:right w:val="nil"/>
            </w:tcBorders>
            <w:shd w:val="clear" w:color="auto" w:fill="FFFFFF"/>
            <w:vAlign w:val="center"/>
          </w:tcPr>
          <w:p>
            <w:pPr>
              <w:jc w:val="center"/>
              <w:rPr>
                <w:rFonts w:ascii="宋体" w:cs="宋体"/>
                <w:color w:val="000000"/>
                <w:sz w:val="20"/>
                <w:szCs w:val="20"/>
              </w:rPr>
            </w:pPr>
          </w:p>
        </w:tc>
        <w:tc>
          <w:tcPr>
            <w:tcW w:w="2119" w:type="dxa"/>
            <w:tcBorders>
              <w:top w:val="nil"/>
              <w:left w:val="nil"/>
              <w:bottom w:val="nil"/>
              <w:right w:val="nil"/>
            </w:tcBorders>
            <w:shd w:val="clear" w:color="auto" w:fill="FFFFFF"/>
            <w:vAlign w:val="center"/>
          </w:tcPr>
          <w:p>
            <w:pPr>
              <w:rPr>
                <w:rFonts w:ascii="宋体" w:cs="宋体"/>
                <w:color w:val="000000"/>
                <w:sz w:val="20"/>
                <w:szCs w:val="20"/>
              </w:rPr>
            </w:pPr>
          </w:p>
        </w:tc>
        <w:tc>
          <w:tcPr>
            <w:tcW w:w="2119" w:type="dxa"/>
            <w:tcBorders>
              <w:top w:val="nil"/>
              <w:left w:val="nil"/>
              <w:bottom w:val="nil"/>
              <w:right w:val="nil"/>
            </w:tcBorders>
            <w:shd w:val="clear" w:color="auto" w:fill="FFFFFF"/>
            <w:vAlign w:val="center"/>
          </w:tcPr>
          <w:p>
            <w:pPr>
              <w:rPr>
                <w:rFonts w:ascii="宋体" w:cs="宋体"/>
                <w:color w:val="000000"/>
                <w:sz w:val="20"/>
                <w:szCs w:val="20"/>
              </w:rPr>
            </w:pPr>
          </w:p>
        </w:tc>
        <w:tc>
          <w:tcPr>
            <w:tcW w:w="2119" w:type="dxa"/>
            <w:tcBorders>
              <w:top w:val="nil"/>
              <w:left w:val="nil"/>
              <w:bottom w:val="nil"/>
              <w:right w:val="nil"/>
            </w:tcBorders>
            <w:shd w:val="clear" w:color="auto" w:fill="FFFFFF"/>
            <w:vAlign w:val="center"/>
          </w:tcPr>
          <w:p>
            <w:pPr>
              <w:rPr>
                <w:rFonts w:ascii="宋体" w:cs="宋体"/>
                <w:color w:val="000000"/>
                <w:sz w:val="20"/>
                <w:szCs w:val="20"/>
              </w:rPr>
            </w:pPr>
          </w:p>
        </w:tc>
        <w:tc>
          <w:tcPr>
            <w:tcW w:w="2119" w:type="dxa"/>
            <w:tcBorders>
              <w:top w:val="nil"/>
              <w:left w:val="nil"/>
              <w:bottom w:val="nil"/>
              <w:right w:val="nil"/>
            </w:tcBorders>
            <w:shd w:val="clear" w:color="auto" w:fill="FFFFFF"/>
            <w:vAlign w:val="center"/>
          </w:tcPr>
          <w:p>
            <w:pPr>
              <w:rPr>
                <w:rFonts w:ascii="宋体" w:cs="宋体"/>
                <w:color w:val="000000"/>
                <w:sz w:val="20"/>
                <w:szCs w:val="20"/>
              </w:rPr>
            </w:pPr>
          </w:p>
        </w:tc>
        <w:tc>
          <w:tcPr>
            <w:tcW w:w="2119" w:type="dxa"/>
            <w:tcBorders>
              <w:top w:val="nil"/>
              <w:left w:val="nil"/>
              <w:bottom w:val="nil"/>
              <w:right w:val="nil"/>
            </w:tcBorders>
            <w:shd w:val="clear" w:color="auto" w:fill="FFFFFF"/>
            <w:vAlign w:val="center"/>
          </w:tcPr>
          <w:p>
            <w:pPr>
              <w:rPr>
                <w:rFonts w:ascii="宋体" w:cs="宋体"/>
                <w:color w:val="000000"/>
                <w:sz w:val="20"/>
                <w:szCs w:val="20"/>
              </w:rPr>
            </w:pPr>
          </w:p>
        </w:tc>
        <w:tc>
          <w:tcPr>
            <w:tcW w:w="2120" w:type="dxa"/>
            <w:tcBorders>
              <w:top w:val="nil"/>
              <w:left w:val="nil"/>
              <w:bottom w:val="nil"/>
              <w:right w:val="nil"/>
            </w:tcBorders>
            <w:shd w:val="clear" w:color="auto" w:fill="FFFFFF"/>
            <w:noWrap/>
            <w:vAlign w:val="center"/>
          </w:tcPr>
          <w:p>
            <w:pPr>
              <w:widowControl/>
              <w:jc w:val="right"/>
              <w:textAlignment w:val="center"/>
              <w:rPr>
                <w:rFonts w:ascii="宋体" w:cs="宋体"/>
                <w:color w:val="000000"/>
                <w:sz w:val="20"/>
                <w:szCs w:val="20"/>
              </w:rPr>
            </w:pPr>
            <w:r>
              <w:rPr>
                <w:rFonts w:hint="eastAsia" w:ascii="宋体" w:hAnsi="宋体" w:cs="宋体"/>
                <w:color w:val="000000"/>
                <w:kern w:val="0"/>
                <w:sz w:val="20"/>
                <w:szCs w:val="20"/>
              </w:rPr>
              <w:t>公开</w:t>
            </w:r>
            <w:r>
              <w:rPr>
                <w:rFonts w:ascii="宋体" w:hAnsi="宋体" w:cs="宋体"/>
                <w:color w:val="000000"/>
                <w:kern w:val="0"/>
                <w:sz w:val="20"/>
                <w:szCs w:val="20"/>
              </w:rPr>
              <w:t>07</w:t>
            </w:r>
            <w:r>
              <w:rPr>
                <w:rFonts w:hint="eastAsia" w:ascii="宋体" w:hAnsi="宋体" w:cs="宋体"/>
                <w:color w:val="000000"/>
                <w:kern w:val="0"/>
                <w:sz w:val="20"/>
                <w:szCs w:val="20"/>
              </w:rPr>
              <w:t>表</w:t>
            </w:r>
          </w:p>
        </w:tc>
      </w:tr>
      <w:tr>
        <w:tblPrEx>
          <w:tblLayout w:type="fixed"/>
          <w:tblCellMar>
            <w:top w:w="0" w:type="dxa"/>
            <w:left w:w="108" w:type="dxa"/>
            <w:bottom w:w="0" w:type="dxa"/>
            <w:right w:w="108" w:type="dxa"/>
          </w:tblCellMar>
        </w:tblPrEx>
        <w:trPr>
          <w:trHeight w:val="690" w:hRule="atLeast"/>
        </w:trPr>
        <w:tc>
          <w:tcPr>
            <w:tcW w:w="4764" w:type="dxa"/>
            <w:gridSpan w:val="4"/>
            <w:tcBorders>
              <w:top w:val="nil"/>
              <w:left w:val="nil"/>
              <w:bottom w:val="nil"/>
              <w:right w:val="nil"/>
            </w:tcBorders>
            <w:shd w:val="clear" w:color="auto" w:fill="FFFFFF"/>
            <w:noWrap/>
            <w:vAlign w:val="center"/>
          </w:tcPr>
          <w:p>
            <w:pPr>
              <w:rPr>
                <w:rFonts w:ascii="宋体" w:cs="宋体"/>
                <w:color w:val="000000"/>
                <w:sz w:val="20"/>
                <w:szCs w:val="20"/>
              </w:rPr>
            </w:pPr>
            <w:r>
              <w:rPr>
                <w:rFonts w:hint="eastAsia" w:ascii="宋体" w:hAnsi="宋体" w:cs="宋体"/>
                <w:color w:val="000000"/>
                <w:kern w:val="0"/>
                <w:sz w:val="20"/>
                <w:szCs w:val="20"/>
              </w:rPr>
              <w:t>部门：湖南省农业农村信息中心</w:t>
            </w:r>
          </w:p>
        </w:tc>
        <w:tc>
          <w:tcPr>
            <w:tcW w:w="2119" w:type="dxa"/>
            <w:tcBorders>
              <w:top w:val="nil"/>
              <w:left w:val="nil"/>
              <w:bottom w:val="nil"/>
              <w:right w:val="nil"/>
            </w:tcBorders>
            <w:shd w:val="clear" w:color="auto" w:fill="FFFFFF"/>
            <w:vAlign w:val="center"/>
          </w:tcPr>
          <w:p>
            <w:pPr>
              <w:rPr>
                <w:rFonts w:ascii="宋体" w:cs="宋体"/>
                <w:color w:val="000000"/>
                <w:sz w:val="20"/>
                <w:szCs w:val="20"/>
              </w:rPr>
            </w:pPr>
          </w:p>
        </w:tc>
        <w:tc>
          <w:tcPr>
            <w:tcW w:w="2119" w:type="dxa"/>
            <w:tcBorders>
              <w:top w:val="nil"/>
              <w:left w:val="nil"/>
              <w:bottom w:val="nil"/>
              <w:right w:val="nil"/>
            </w:tcBorders>
            <w:shd w:val="clear" w:color="auto" w:fill="FFFFFF"/>
            <w:vAlign w:val="center"/>
          </w:tcPr>
          <w:p>
            <w:pPr>
              <w:rPr>
                <w:rFonts w:ascii="宋体" w:cs="宋体"/>
                <w:color w:val="000000"/>
                <w:sz w:val="20"/>
                <w:szCs w:val="20"/>
              </w:rPr>
            </w:pPr>
          </w:p>
        </w:tc>
        <w:tc>
          <w:tcPr>
            <w:tcW w:w="2119" w:type="dxa"/>
            <w:tcBorders>
              <w:top w:val="nil"/>
              <w:left w:val="nil"/>
              <w:bottom w:val="nil"/>
              <w:right w:val="nil"/>
            </w:tcBorders>
            <w:shd w:val="clear" w:color="auto" w:fill="FFFFFF"/>
            <w:vAlign w:val="center"/>
          </w:tcPr>
          <w:p>
            <w:pPr>
              <w:rPr>
                <w:rFonts w:ascii="宋体" w:cs="宋体"/>
                <w:color w:val="000000"/>
                <w:sz w:val="20"/>
                <w:szCs w:val="20"/>
              </w:rPr>
            </w:pPr>
          </w:p>
        </w:tc>
        <w:tc>
          <w:tcPr>
            <w:tcW w:w="2119" w:type="dxa"/>
            <w:tcBorders>
              <w:top w:val="nil"/>
              <w:left w:val="nil"/>
              <w:bottom w:val="nil"/>
              <w:right w:val="nil"/>
            </w:tcBorders>
            <w:shd w:val="clear" w:color="auto" w:fill="FFFFFF"/>
            <w:vAlign w:val="center"/>
          </w:tcPr>
          <w:p>
            <w:pPr>
              <w:rPr>
                <w:rFonts w:ascii="宋体" w:cs="宋体"/>
                <w:color w:val="000000"/>
                <w:sz w:val="20"/>
                <w:szCs w:val="20"/>
              </w:rPr>
            </w:pPr>
          </w:p>
        </w:tc>
        <w:tc>
          <w:tcPr>
            <w:tcW w:w="2120" w:type="dxa"/>
            <w:tcBorders>
              <w:top w:val="nil"/>
              <w:left w:val="nil"/>
              <w:bottom w:val="nil"/>
              <w:right w:val="nil"/>
            </w:tcBorders>
            <w:shd w:val="clear" w:color="auto" w:fill="FFFFFF"/>
            <w:noWrap/>
            <w:vAlign w:val="center"/>
          </w:tcPr>
          <w:p>
            <w:pPr>
              <w:widowControl/>
              <w:jc w:val="right"/>
              <w:textAlignment w:val="center"/>
              <w:rPr>
                <w:rFonts w:ascii="宋体" w:cs="宋体"/>
                <w:color w:val="000000"/>
                <w:sz w:val="20"/>
                <w:szCs w:val="20"/>
              </w:rPr>
            </w:pPr>
            <w:r>
              <w:rPr>
                <w:rFonts w:hint="eastAsia" w:ascii="宋体" w:hAnsi="宋体" w:cs="宋体"/>
                <w:color w:val="000000"/>
                <w:kern w:val="0"/>
                <w:sz w:val="20"/>
                <w:szCs w:val="20"/>
              </w:rPr>
              <w:t>单位：万元</w:t>
            </w:r>
          </w:p>
        </w:tc>
      </w:tr>
      <w:tr>
        <w:tblPrEx>
          <w:tblLayout w:type="fixed"/>
          <w:tblCellMar>
            <w:top w:w="0" w:type="dxa"/>
            <w:left w:w="108" w:type="dxa"/>
            <w:bottom w:w="0" w:type="dxa"/>
            <w:right w:w="108" w:type="dxa"/>
          </w:tblCellMar>
        </w:tblPrEx>
        <w:trPr>
          <w:trHeight w:val="459" w:hRule="atLeast"/>
        </w:trPr>
        <w:tc>
          <w:tcPr>
            <w:tcW w:w="2645" w:type="dxa"/>
            <w:gridSpan w:val="3"/>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hint="eastAsia" w:ascii="宋体" w:hAnsi="宋体" w:cs="宋体"/>
                <w:color w:val="000000"/>
                <w:kern w:val="0"/>
                <w:sz w:val="24"/>
                <w:szCs w:val="24"/>
              </w:rPr>
              <w:t>项</w:t>
            </w:r>
            <w:r>
              <w:rPr>
                <w:rFonts w:ascii="宋体" w:hAnsi="宋体" w:cs="宋体"/>
                <w:color w:val="000000"/>
                <w:kern w:val="0"/>
                <w:sz w:val="24"/>
                <w:szCs w:val="24"/>
              </w:rPr>
              <w:t xml:space="preserve"> </w:t>
            </w:r>
            <w:r>
              <w:rPr>
                <w:rStyle w:val="17"/>
              </w:rPr>
              <w:t xml:space="preserve">   </w:t>
            </w:r>
            <w:r>
              <w:rPr>
                <w:rStyle w:val="18"/>
                <w:rFonts w:hint="eastAsia"/>
              </w:rPr>
              <w:t>目</w:t>
            </w:r>
          </w:p>
        </w:tc>
        <w:tc>
          <w:tcPr>
            <w:tcW w:w="2119"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hint="eastAsia" w:ascii="宋体" w:hAnsi="宋体" w:cs="宋体"/>
                <w:color w:val="000000"/>
                <w:kern w:val="0"/>
                <w:sz w:val="24"/>
                <w:szCs w:val="24"/>
              </w:rPr>
              <w:t>年初结转和结余</w:t>
            </w:r>
          </w:p>
        </w:tc>
        <w:tc>
          <w:tcPr>
            <w:tcW w:w="2119"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hint="eastAsia" w:ascii="宋体" w:hAnsi="宋体" w:cs="宋体"/>
                <w:color w:val="000000"/>
                <w:kern w:val="0"/>
                <w:sz w:val="24"/>
                <w:szCs w:val="24"/>
              </w:rPr>
              <w:t>本年收入</w:t>
            </w:r>
          </w:p>
        </w:tc>
        <w:tc>
          <w:tcPr>
            <w:tcW w:w="6357" w:type="dxa"/>
            <w:gridSpan w:val="3"/>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hint="eastAsia" w:ascii="宋体" w:hAnsi="宋体" w:cs="宋体"/>
                <w:color w:val="000000"/>
                <w:kern w:val="0"/>
                <w:sz w:val="24"/>
                <w:szCs w:val="24"/>
              </w:rPr>
              <w:t>本年支出</w:t>
            </w:r>
          </w:p>
        </w:tc>
        <w:tc>
          <w:tcPr>
            <w:tcW w:w="2120"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hint="eastAsia" w:ascii="宋体" w:hAnsi="宋体" w:cs="宋体"/>
                <w:color w:val="000000"/>
                <w:kern w:val="0"/>
                <w:sz w:val="24"/>
                <w:szCs w:val="24"/>
              </w:rPr>
              <w:t>年末结转和结余</w:t>
            </w:r>
          </w:p>
        </w:tc>
      </w:tr>
      <w:tr>
        <w:tblPrEx>
          <w:tblLayout w:type="fixed"/>
          <w:tblCellMar>
            <w:top w:w="0" w:type="dxa"/>
            <w:left w:w="108" w:type="dxa"/>
            <w:bottom w:w="0" w:type="dxa"/>
            <w:right w:w="108" w:type="dxa"/>
          </w:tblCellMar>
        </w:tblPrEx>
        <w:trPr>
          <w:trHeight w:val="609" w:hRule="atLeast"/>
        </w:trPr>
        <w:tc>
          <w:tcPr>
            <w:tcW w:w="1243" w:type="dxa"/>
            <w:gridSpan w:val="2"/>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hint="eastAsia" w:ascii="宋体" w:hAnsi="宋体" w:cs="宋体"/>
                <w:color w:val="000000"/>
                <w:kern w:val="0"/>
                <w:sz w:val="24"/>
                <w:szCs w:val="24"/>
              </w:rPr>
              <w:t>科目代码</w:t>
            </w:r>
          </w:p>
        </w:tc>
        <w:tc>
          <w:tcPr>
            <w:tcW w:w="1402"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hint="eastAsia" w:ascii="宋体" w:hAnsi="宋体" w:cs="宋体"/>
                <w:color w:val="000000"/>
                <w:kern w:val="0"/>
                <w:sz w:val="24"/>
                <w:szCs w:val="24"/>
              </w:rPr>
              <w:t>科目名称</w:t>
            </w:r>
          </w:p>
        </w:tc>
        <w:tc>
          <w:tcPr>
            <w:tcW w:w="211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11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119"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hint="eastAsia" w:ascii="宋体" w:hAnsi="宋体" w:cs="宋体"/>
                <w:color w:val="000000"/>
                <w:kern w:val="0"/>
                <w:sz w:val="24"/>
                <w:szCs w:val="24"/>
              </w:rPr>
              <w:t>小计</w:t>
            </w:r>
          </w:p>
        </w:tc>
        <w:tc>
          <w:tcPr>
            <w:tcW w:w="2119"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hint="eastAsia" w:ascii="宋体" w:hAnsi="宋体" w:cs="宋体"/>
                <w:color w:val="000000"/>
                <w:kern w:val="0"/>
                <w:sz w:val="24"/>
                <w:szCs w:val="24"/>
              </w:rPr>
              <w:t>基本支出</w:t>
            </w:r>
            <w:r>
              <w:rPr>
                <w:rFonts w:ascii="宋体" w:hAnsi="宋体" w:cs="宋体"/>
                <w:color w:val="000000"/>
                <w:kern w:val="0"/>
                <w:sz w:val="24"/>
                <w:szCs w:val="24"/>
              </w:rPr>
              <w:t xml:space="preserve">  </w:t>
            </w:r>
          </w:p>
        </w:tc>
        <w:tc>
          <w:tcPr>
            <w:tcW w:w="2119"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hint="eastAsia" w:ascii="宋体" w:hAnsi="宋体" w:cs="宋体"/>
                <w:color w:val="000000"/>
                <w:kern w:val="0"/>
                <w:sz w:val="24"/>
                <w:szCs w:val="24"/>
              </w:rPr>
              <w:t>项目支出</w:t>
            </w:r>
          </w:p>
        </w:tc>
        <w:tc>
          <w:tcPr>
            <w:tcW w:w="2120"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r>
      <w:tr>
        <w:tblPrEx>
          <w:tblLayout w:type="fixed"/>
          <w:tblCellMar>
            <w:top w:w="0" w:type="dxa"/>
            <w:left w:w="108" w:type="dxa"/>
            <w:bottom w:w="0" w:type="dxa"/>
            <w:right w:w="108" w:type="dxa"/>
          </w:tblCellMar>
        </w:tblPrEx>
        <w:trPr>
          <w:trHeight w:val="409" w:hRule="atLeast"/>
        </w:trPr>
        <w:tc>
          <w:tcPr>
            <w:tcW w:w="1243" w:type="dxa"/>
            <w:gridSpan w:val="2"/>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1402"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11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11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11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11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11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120"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r>
      <w:tr>
        <w:tblPrEx>
          <w:tblLayout w:type="fixed"/>
          <w:tblCellMar>
            <w:top w:w="0" w:type="dxa"/>
            <w:left w:w="108" w:type="dxa"/>
            <w:bottom w:w="0" w:type="dxa"/>
            <w:right w:w="108" w:type="dxa"/>
          </w:tblCellMar>
        </w:tblPrEx>
        <w:trPr>
          <w:trHeight w:val="509" w:hRule="atLeast"/>
        </w:trPr>
        <w:tc>
          <w:tcPr>
            <w:tcW w:w="1243" w:type="dxa"/>
            <w:gridSpan w:val="2"/>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1402"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11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11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11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11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119"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120"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r>
      <w:tr>
        <w:tblPrEx>
          <w:tblLayout w:type="fixed"/>
          <w:tblCellMar>
            <w:top w:w="0" w:type="dxa"/>
            <w:left w:w="108" w:type="dxa"/>
            <w:bottom w:w="0" w:type="dxa"/>
            <w:right w:w="108" w:type="dxa"/>
          </w:tblCellMar>
        </w:tblPrEx>
        <w:trPr>
          <w:trHeight w:val="509" w:hRule="atLeast"/>
        </w:trPr>
        <w:tc>
          <w:tcPr>
            <w:tcW w:w="2645" w:type="dxa"/>
            <w:gridSpan w:val="3"/>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hint="eastAsia" w:ascii="宋体" w:hAnsi="宋体" w:cs="宋体"/>
                <w:color w:val="000000"/>
                <w:kern w:val="0"/>
                <w:sz w:val="24"/>
                <w:szCs w:val="24"/>
              </w:rPr>
              <w:t>栏次</w:t>
            </w:r>
          </w:p>
        </w:tc>
        <w:tc>
          <w:tcPr>
            <w:tcW w:w="211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ascii="宋体" w:hAnsi="宋体" w:cs="宋体"/>
                <w:color w:val="000000"/>
                <w:kern w:val="0"/>
                <w:sz w:val="24"/>
                <w:szCs w:val="24"/>
              </w:rPr>
              <w:t>1</w:t>
            </w:r>
          </w:p>
        </w:tc>
        <w:tc>
          <w:tcPr>
            <w:tcW w:w="211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ascii="宋体" w:hAnsi="宋体" w:cs="宋体"/>
                <w:color w:val="000000"/>
                <w:kern w:val="0"/>
                <w:sz w:val="24"/>
                <w:szCs w:val="24"/>
              </w:rPr>
              <w:t>2</w:t>
            </w:r>
          </w:p>
        </w:tc>
        <w:tc>
          <w:tcPr>
            <w:tcW w:w="211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ascii="宋体" w:hAnsi="宋体" w:cs="宋体"/>
                <w:color w:val="000000"/>
                <w:kern w:val="0"/>
                <w:sz w:val="24"/>
                <w:szCs w:val="24"/>
              </w:rPr>
              <w:t>3</w:t>
            </w:r>
          </w:p>
        </w:tc>
        <w:tc>
          <w:tcPr>
            <w:tcW w:w="211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ascii="宋体" w:hAnsi="宋体" w:cs="宋体"/>
                <w:color w:val="000000"/>
                <w:kern w:val="0"/>
                <w:sz w:val="24"/>
                <w:szCs w:val="24"/>
              </w:rPr>
              <w:t>4</w:t>
            </w:r>
          </w:p>
        </w:tc>
        <w:tc>
          <w:tcPr>
            <w:tcW w:w="2119"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ascii="宋体" w:hAnsi="宋体" w:cs="宋体"/>
                <w:color w:val="000000"/>
                <w:kern w:val="0"/>
                <w:sz w:val="24"/>
                <w:szCs w:val="24"/>
              </w:rPr>
              <w:t>5</w:t>
            </w:r>
          </w:p>
        </w:tc>
        <w:tc>
          <w:tcPr>
            <w:tcW w:w="212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ascii="宋体" w:hAnsi="宋体" w:cs="宋体"/>
                <w:color w:val="000000"/>
                <w:kern w:val="0"/>
                <w:sz w:val="24"/>
                <w:szCs w:val="24"/>
              </w:rPr>
              <w:t>6</w:t>
            </w:r>
          </w:p>
        </w:tc>
      </w:tr>
      <w:tr>
        <w:tblPrEx>
          <w:tblLayout w:type="fixed"/>
          <w:tblCellMar>
            <w:top w:w="0" w:type="dxa"/>
            <w:left w:w="108" w:type="dxa"/>
            <w:bottom w:w="0" w:type="dxa"/>
            <w:right w:w="108" w:type="dxa"/>
          </w:tblCellMar>
        </w:tblPrEx>
        <w:trPr>
          <w:trHeight w:val="509" w:hRule="atLeast"/>
        </w:trPr>
        <w:tc>
          <w:tcPr>
            <w:tcW w:w="2645" w:type="dxa"/>
            <w:gridSpan w:val="3"/>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hint="eastAsia" w:ascii="宋体" w:hAnsi="宋体" w:cs="宋体"/>
                <w:color w:val="000000"/>
                <w:kern w:val="0"/>
                <w:sz w:val="24"/>
                <w:szCs w:val="24"/>
              </w:rPr>
              <w:t>合计</w:t>
            </w:r>
          </w:p>
        </w:tc>
        <w:tc>
          <w:tcPr>
            <w:tcW w:w="2119"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12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r>
      <w:tr>
        <w:tblPrEx>
          <w:tblLayout w:type="fixed"/>
          <w:tblCellMar>
            <w:top w:w="0" w:type="dxa"/>
            <w:left w:w="108" w:type="dxa"/>
            <w:bottom w:w="0" w:type="dxa"/>
            <w:right w:w="108" w:type="dxa"/>
          </w:tblCellMar>
        </w:tblPrEx>
        <w:trPr>
          <w:trHeight w:val="509" w:hRule="atLeast"/>
        </w:trPr>
        <w:tc>
          <w:tcPr>
            <w:tcW w:w="1243"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1402"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0"/>
                <w:szCs w:val="20"/>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20"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r>
      <w:tr>
        <w:tblPrEx>
          <w:tblLayout w:type="fixed"/>
          <w:tblCellMar>
            <w:top w:w="0" w:type="dxa"/>
            <w:left w:w="108" w:type="dxa"/>
            <w:bottom w:w="0" w:type="dxa"/>
            <w:right w:w="108" w:type="dxa"/>
          </w:tblCellMar>
        </w:tblPrEx>
        <w:trPr>
          <w:trHeight w:val="509" w:hRule="atLeast"/>
        </w:trPr>
        <w:tc>
          <w:tcPr>
            <w:tcW w:w="1243"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1402"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20"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r>
      <w:tr>
        <w:tblPrEx>
          <w:tblLayout w:type="fixed"/>
          <w:tblCellMar>
            <w:top w:w="0" w:type="dxa"/>
            <w:left w:w="108" w:type="dxa"/>
            <w:bottom w:w="0" w:type="dxa"/>
            <w:right w:w="108" w:type="dxa"/>
          </w:tblCellMar>
        </w:tblPrEx>
        <w:trPr>
          <w:trHeight w:val="509" w:hRule="atLeast"/>
        </w:trPr>
        <w:tc>
          <w:tcPr>
            <w:tcW w:w="1243"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1402"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0"/>
                <w:szCs w:val="20"/>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20"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r>
      <w:tr>
        <w:tblPrEx>
          <w:tblLayout w:type="fixed"/>
          <w:tblCellMar>
            <w:top w:w="0" w:type="dxa"/>
            <w:left w:w="108" w:type="dxa"/>
            <w:bottom w:w="0" w:type="dxa"/>
            <w:right w:w="108" w:type="dxa"/>
          </w:tblCellMar>
        </w:tblPrEx>
        <w:trPr>
          <w:trHeight w:val="509" w:hRule="atLeast"/>
        </w:trPr>
        <w:tc>
          <w:tcPr>
            <w:tcW w:w="1243"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1402"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20"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r>
      <w:tr>
        <w:tblPrEx>
          <w:tblLayout w:type="fixed"/>
          <w:tblCellMar>
            <w:top w:w="0" w:type="dxa"/>
            <w:left w:w="108" w:type="dxa"/>
            <w:bottom w:w="0" w:type="dxa"/>
            <w:right w:w="108" w:type="dxa"/>
          </w:tblCellMar>
        </w:tblPrEx>
        <w:trPr>
          <w:trHeight w:val="509" w:hRule="atLeast"/>
        </w:trPr>
        <w:tc>
          <w:tcPr>
            <w:tcW w:w="1243"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1402"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20"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r>
      <w:tr>
        <w:tblPrEx>
          <w:tblLayout w:type="fixed"/>
          <w:tblCellMar>
            <w:top w:w="0" w:type="dxa"/>
            <w:left w:w="108" w:type="dxa"/>
            <w:bottom w:w="0" w:type="dxa"/>
            <w:right w:w="108" w:type="dxa"/>
          </w:tblCellMar>
        </w:tblPrEx>
        <w:trPr>
          <w:trHeight w:val="509" w:hRule="atLeast"/>
        </w:trPr>
        <w:tc>
          <w:tcPr>
            <w:tcW w:w="1243"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1402"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19"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2120"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r>
      <w:tr>
        <w:tblPrEx>
          <w:tblLayout w:type="fixed"/>
          <w:tblCellMar>
            <w:top w:w="0" w:type="dxa"/>
            <w:left w:w="108" w:type="dxa"/>
            <w:bottom w:w="0" w:type="dxa"/>
            <w:right w:w="108" w:type="dxa"/>
          </w:tblCellMar>
        </w:tblPrEx>
        <w:trPr>
          <w:trHeight w:val="725" w:hRule="atLeast"/>
        </w:trPr>
        <w:tc>
          <w:tcPr>
            <w:tcW w:w="15360" w:type="dxa"/>
            <w:gridSpan w:val="9"/>
            <w:tcBorders>
              <w:top w:val="nil"/>
              <w:left w:val="nil"/>
              <w:bottom w:val="nil"/>
              <w:right w:val="nil"/>
            </w:tcBorders>
            <w:vAlign w:val="center"/>
          </w:tcPr>
          <w:p>
            <w:pPr>
              <w:widowControl/>
              <w:jc w:val="left"/>
              <w:textAlignment w:val="center"/>
              <w:rPr>
                <w:rFonts w:ascii="宋体" w:cs="宋体"/>
                <w:color w:val="000000"/>
                <w:kern w:val="0"/>
                <w:sz w:val="24"/>
                <w:szCs w:val="24"/>
              </w:rPr>
            </w:pPr>
            <w:r>
              <w:rPr>
                <w:rFonts w:hint="eastAsia" w:ascii="宋体" w:hAnsi="宋体" w:cs="宋体"/>
                <w:color w:val="000000"/>
                <w:kern w:val="0"/>
                <w:sz w:val="24"/>
                <w:szCs w:val="24"/>
              </w:rPr>
              <w:t>注：本表反映部门本年度政府性基金预算财政拨款收入、支出及结转和结余情况。</w:t>
            </w:r>
          </w:p>
          <w:p>
            <w:pPr>
              <w:widowControl/>
              <w:jc w:val="left"/>
              <w:textAlignment w:val="center"/>
              <w:rPr>
                <w:rFonts w:ascii="宋体" w:cs="宋体"/>
                <w:color w:val="000000"/>
                <w:kern w:val="0"/>
                <w:sz w:val="24"/>
                <w:szCs w:val="24"/>
              </w:rPr>
            </w:pPr>
          </w:p>
          <w:p>
            <w:pPr>
              <w:widowControl/>
              <w:jc w:val="left"/>
              <w:textAlignment w:val="center"/>
              <w:rPr>
                <w:rFonts w:ascii="宋体" w:cs="宋体"/>
                <w:color w:val="000000"/>
                <w:kern w:val="0"/>
                <w:sz w:val="24"/>
                <w:szCs w:val="24"/>
              </w:rPr>
            </w:pPr>
            <w:r>
              <w:rPr>
                <w:rFonts w:hint="eastAsia" w:ascii="楷体" w:hAnsi="楷体" w:eastAsia="楷体" w:cs="楷体"/>
                <w:b/>
                <w:bCs/>
                <w:kern w:val="0"/>
                <w:sz w:val="24"/>
                <w:szCs w:val="24"/>
              </w:rPr>
              <w:t>说明：我单位没有政府性基金收入，也没有使用政府性基金安排的支出，故本表无数据。</w:t>
            </w:r>
          </w:p>
        </w:tc>
      </w:tr>
    </w:tbl>
    <w:p>
      <w:pPr>
        <w:widowControl/>
        <w:jc w:val="center"/>
        <w:rPr>
          <w:rFonts w:ascii="Times New Roman" w:hAnsi="Times New Roman" w:eastAsia="方正小标宋_GBK" w:cs="Times New Roman"/>
          <w:color w:val="000000"/>
          <w:kern w:val="0"/>
          <w:sz w:val="36"/>
          <w:szCs w:val="36"/>
        </w:rPr>
      </w:pPr>
    </w:p>
    <w:p>
      <w:pPr>
        <w:widowControl/>
        <w:jc w:val="center"/>
        <w:rPr>
          <w:rFonts w:ascii="Times New Roman" w:hAnsi="Times New Roman" w:eastAsia="方正小标宋_GBK" w:cs="Times New Roman"/>
          <w:color w:val="000000"/>
          <w:kern w:val="0"/>
          <w:sz w:val="36"/>
          <w:szCs w:val="36"/>
        </w:rPr>
      </w:pPr>
    </w:p>
    <w:tbl>
      <w:tblPr>
        <w:tblStyle w:val="7"/>
        <w:tblW w:w="15120" w:type="dxa"/>
        <w:tblInd w:w="93" w:type="dxa"/>
        <w:tblLayout w:type="fixed"/>
        <w:tblCellMar>
          <w:top w:w="0" w:type="dxa"/>
          <w:left w:w="108" w:type="dxa"/>
          <w:bottom w:w="0" w:type="dxa"/>
          <w:right w:w="108" w:type="dxa"/>
        </w:tblCellMar>
      </w:tblPr>
      <w:tblGrid>
        <w:gridCol w:w="1326"/>
        <w:gridCol w:w="701"/>
        <w:gridCol w:w="2292"/>
        <w:gridCol w:w="3315"/>
        <w:gridCol w:w="3315"/>
        <w:gridCol w:w="4171"/>
      </w:tblGrid>
      <w:tr>
        <w:tblPrEx>
          <w:tblLayout w:type="fixed"/>
          <w:tblCellMar>
            <w:top w:w="0" w:type="dxa"/>
            <w:left w:w="108" w:type="dxa"/>
            <w:bottom w:w="0" w:type="dxa"/>
            <w:right w:w="108" w:type="dxa"/>
          </w:tblCellMar>
        </w:tblPrEx>
        <w:trPr>
          <w:trHeight w:val="963" w:hRule="atLeast"/>
        </w:trPr>
        <w:tc>
          <w:tcPr>
            <w:tcW w:w="15120" w:type="dxa"/>
            <w:gridSpan w:val="6"/>
            <w:tcBorders>
              <w:top w:val="nil"/>
              <w:left w:val="nil"/>
              <w:bottom w:val="nil"/>
              <w:right w:val="nil"/>
            </w:tcBorders>
            <w:shd w:val="clear" w:color="auto" w:fill="FFFFFF"/>
            <w:vAlign w:val="center"/>
          </w:tcPr>
          <w:p>
            <w:pPr>
              <w:widowControl/>
              <w:jc w:val="center"/>
              <w:textAlignment w:val="center"/>
              <w:rPr>
                <w:rFonts w:ascii="华文中宋" w:hAnsi="华文中宋" w:eastAsia="华文中宋" w:cs="华文中宋"/>
                <w:color w:val="000000"/>
                <w:sz w:val="32"/>
                <w:szCs w:val="32"/>
              </w:rPr>
            </w:pPr>
            <w:r>
              <w:rPr>
                <w:rFonts w:hint="eastAsia" w:ascii="华文中宋" w:hAnsi="华文中宋" w:eastAsia="华文中宋" w:cs="华文中宋"/>
                <w:color w:val="000000"/>
                <w:kern w:val="0"/>
                <w:sz w:val="32"/>
                <w:szCs w:val="32"/>
              </w:rPr>
              <w:t>国有资本经营预算财政拨款支出决算表</w:t>
            </w:r>
          </w:p>
        </w:tc>
      </w:tr>
      <w:tr>
        <w:tblPrEx>
          <w:tblLayout w:type="fixed"/>
          <w:tblCellMar>
            <w:top w:w="0" w:type="dxa"/>
            <w:left w:w="108" w:type="dxa"/>
            <w:bottom w:w="0" w:type="dxa"/>
            <w:right w:w="108" w:type="dxa"/>
          </w:tblCellMar>
        </w:tblPrEx>
        <w:trPr>
          <w:trHeight w:val="417" w:hRule="atLeast"/>
        </w:trPr>
        <w:tc>
          <w:tcPr>
            <w:tcW w:w="1326" w:type="dxa"/>
            <w:tcBorders>
              <w:top w:val="nil"/>
              <w:left w:val="nil"/>
              <w:bottom w:val="nil"/>
              <w:right w:val="nil"/>
            </w:tcBorders>
            <w:shd w:val="clear" w:color="auto" w:fill="FFFFFF"/>
            <w:vAlign w:val="center"/>
          </w:tcPr>
          <w:p>
            <w:pPr>
              <w:jc w:val="center"/>
              <w:rPr>
                <w:rFonts w:ascii="宋体" w:cs="宋体"/>
                <w:color w:val="000000"/>
                <w:sz w:val="20"/>
                <w:szCs w:val="20"/>
              </w:rPr>
            </w:pPr>
          </w:p>
        </w:tc>
        <w:tc>
          <w:tcPr>
            <w:tcW w:w="701" w:type="dxa"/>
            <w:tcBorders>
              <w:top w:val="nil"/>
              <w:left w:val="nil"/>
              <w:bottom w:val="nil"/>
              <w:right w:val="nil"/>
            </w:tcBorders>
            <w:shd w:val="clear" w:color="auto" w:fill="FFFFFF"/>
            <w:vAlign w:val="center"/>
          </w:tcPr>
          <w:p>
            <w:pPr>
              <w:jc w:val="center"/>
              <w:rPr>
                <w:rFonts w:ascii="宋体" w:cs="宋体"/>
                <w:color w:val="000000"/>
                <w:sz w:val="20"/>
                <w:szCs w:val="20"/>
              </w:rPr>
            </w:pPr>
          </w:p>
        </w:tc>
        <w:tc>
          <w:tcPr>
            <w:tcW w:w="2292" w:type="dxa"/>
            <w:tcBorders>
              <w:top w:val="nil"/>
              <w:left w:val="nil"/>
              <w:bottom w:val="nil"/>
              <w:right w:val="nil"/>
            </w:tcBorders>
            <w:shd w:val="clear" w:color="auto" w:fill="FFFFFF"/>
            <w:vAlign w:val="center"/>
          </w:tcPr>
          <w:p>
            <w:pPr>
              <w:jc w:val="center"/>
              <w:rPr>
                <w:rFonts w:ascii="宋体" w:cs="宋体"/>
                <w:color w:val="000000"/>
                <w:sz w:val="20"/>
                <w:szCs w:val="20"/>
              </w:rPr>
            </w:pPr>
          </w:p>
        </w:tc>
        <w:tc>
          <w:tcPr>
            <w:tcW w:w="3315" w:type="dxa"/>
            <w:tcBorders>
              <w:top w:val="nil"/>
              <w:left w:val="nil"/>
              <w:bottom w:val="nil"/>
              <w:right w:val="nil"/>
            </w:tcBorders>
            <w:shd w:val="clear" w:color="auto" w:fill="FFFFFF"/>
            <w:vAlign w:val="center"/>
          </w:tcPr>
          <w:p>
            <w:pPr>
              <w:rPr>
                <w:rFonts w:ascii="宋体" w:cs="宋体"/>
                <w:color w:val="000000"/>
                <w:sz w:val="20"/>
                <w:szCs w:val="20"/>
              </w:rPr>
            </w:pPr>
          </w:p>
        </w:tc>
        <w:tc>
          <w:tcPr>
            <w:tcW w:w="3315" w:type="dxa"/>
            <w:tcBorders>
              <w:top w:val="nil"/>
              <w:left w:val="nil"/>
              <w:bottom w:val="nil"/>
              <w:right w:val="nil"/>
            </w:tcBorders>
            <w:shd w:val="clear" w:color="auto" w:fill="FFFFFF"/>
            <w:vAlign w:val="center"/>
          </w:tcPr>
          <w:p>
            <w:pPr>
              <w:rPr>
                <w:rFonts w:ascii="宋体" w:cs="宋体"/>
                <w:color w:val="000000"/>
                <w:sz w:val="20"/>
                <w:szCs w:val="20"/>
              </w:rPr>
            </w:pPr>
          </w:p>
        </w:tc>
        <w:tc>
          <w:tcPr>
            <w:tcW w:w="4171" w:type="dxa"/>
            <w:tcBorders>
              <w:top w:val="nil"/>
              <w:left w:val="nil"/>
              <w:bottom w:val="nil"/>
              <w:right w:val="nil"/>
            </w:tcBorders>
            <w:shd w:val="clear" w:color="auto" w:fill="FFFFFF"/>
            <w:noWrap/>
            <w:vAlign w:val="center"/>
          </w:tcPr>
          <w:p>
            <w:pPr>
              <w:widowControl/>
              <w:jc w:val="right"/>
              <w:textAlignment w:val="center"/>
              <w:rPr>
                <w:rFonts w:ascii="宋体" w:cs="宋体"/>
                <w:color w:val="000000"/>
                <w:sz w:val="20"/>
                <w:szCs w:val="20"/>
              </w:rPr>
            </w:pPr>
            <w:r>
              <w:rPr>
                <w:rFonts w:hint="eastAsia" w:ascii="宋体" w:hAnsi="宋体" w:cs="宋体"/>
                <w:color w:val="000000"/>
                <w:kern w:val="0"/>
                <w:sz w:val="20"/>
                <w:szCs w:val="20"/>
              </w:rPr>
              <w:t>公开</w:t>
            </w:r>
            <w:r>
              <w:rPr>
                <w:rFonts w:ascii="宋体" w:hAnsi="宋体" w:cs="宋体"/>
                <w:color w:val="000000"/>
                <w:kern w:val="0"/>
                <w:sz w:val="20"/>
                <w:szCs w:val="20"/>
              </w:rPr>
              <w:t>08</w:t>
            </w:r>
            <w:r>
              <w:rPr>
                <w:rFonts w:hint="eastAsia" w:ascii="宋体" w:hAnsi="宋体" w:cs="宋体"/>
                <w:color w:val="000000"/>
                <w:kern w:val="0"/>
                <w:sz w:val="20"/>
                <w:szCs w:val="20"/>
              </w:rPr>
              <w:t>表</w:t>
            </w:r>
          </w:p>
        </w:tc>
      </w:tr>
      <w:tr>
        <w:tblPrEx>
          <w:tblLayout w:type="fixed"/>
          <w:tblCellMar>
            <w:top w:w="0" w:type="dxa"/>
            <w:left w:w="108" w:type="dxa"/>
            <w:bottom w:w="0" w:type="dxa"/>
            <w:right w:w="108" w:type="dxa"/>
          </w:tblCellMar>
        </w:tblPrEx>
        <w:trPr>
          <w:trHeight w:val="417" w:hRule="atLeast"/>
        </w:trPr>
        <w:tc>
          <w:tcPr>
            <w:tcW w:w="4319" w:type="dxa"/>
            <w:gridSpan w:val="3"/>
            <w:tcBorders>
              <w:top w:val="nil"/>
              <w:left w:val="nil"/>
              <w:bottom w:val="nil"/>
              <w:right w:val="nil"/>
            </w:tcBorders>
            <w:shd w:val="clear" w:color="auto" w:fill="FFFFFF"/>
            <w:noWrap/>
            <w:vAlign w:val="center"/>
          </w:tcPr>
          <w:p>
            <w:pPr>
              <w:jc w:val="left"/>
              <w:rPr>
                <w:rFonts w:ascii="宋体" w:cs="宋体"/>
                <w:color w:val="000000"/>
                <w:sz w:val="20"/>
                <w:szCs w:val="20"/>
              </w:rPr>
            </w:pPr>
            <w:r>
              <w:rPr>
                <w:rFonts w:hint="eastAsia" w:ascii="宋体" w:hAnsi="宋体" w:cs="宋体"/>
                <w:color w:val="000000"/>
                <w:kern w:val="0"/>
                <w:sz w:val="20"/>
                <w:szCs w:val="20"/>
              </w:rPr>
              <w:t>部门：湖南省农业农村信息中心</w:t>
            </w:r>
          </w:p>
        </w:tc>
        <w:tc>
          <w:tcPr>
            <w:tcW w:w="3315" w:type="dxa"/>
            <w:tcBorders>
              <w:top w:val="nil"/>
              <w:left w:val="nil"/>
              <w:bottom w:val="nil"/>
              <w:right w:val="nil"/>
            </w:tcBorders>
            <w:shd w:val="clear" w:color="auto" w:fill="FFFFFF"/>
            <w:vAlign w:val="center"/>
          </w:tcPr>
          <w:p>
            <w:pPr>
              <w:rPr>
                <w:rFonts w:ascii="宋体" w:cs="宋体"/>
                <w:color w:val="000000"/>
                <w:sz w:val="20"/>
                <w:szCs w:val="20"/>
              </w:rPr>
            </w:pPr>
          </w:p>
        </w:tc>
        <w:tc>
          <w:tcPr>
            <w:tcW w:w="3315" w:type="dxa"/>
            <w:tcBorders>
              <w:top w:val="nil"/>
              <w:left w:val="nil"/>
              <w:bottom w:val="nil"/>
              <w:right w:val="nil"/>
            </w:tcBorders>
            <w:shd w:val="clear" w:color="auto" w:fill="FFFFFF"/>
            <w:vAlign w:val="center"/>
          </w:tcPr>
          <w:p>
            <w:pPr>
              <w:rPr>
                <w:rFonts w:ascii="宋体" w:cs="宋体"/>
                <w:color w:val="000000"/>
                <w:sz w:val="20"/>
                <w:szCs w:val="20"/>
              </w:rPr>
            </w:pPr>
          </w:p>
        </w:tc>
        <w:tc>
          <w:tcPr>
            <w:tcW w:w="4171" w:type="dxa"/>
            <w:tcBorders>
              <w:top w:val="nil"/>
              <w:left w:val="nil"/>
              <w:bottom w:val="nil"/>
              <w:right w:val="nil"/>
            </w:tcBorders>
            <w:shd w:val="clear" w:color="auto" w:fill="FFFFFF"/>
            <w:noWrap/>
            <w:vAlign w:val="center"/>
          </w:tcPr>
          <w:p>
            <w:pPr>
              <w:widowControl/>
              <w:jc w:val="right"/>
              <w:textAlignment w:val="center"/>
              <w:rPr>
                <w:rFonts w:ascii="宋体" w:cs="宋体"/>
                <w:color w:val="000000"/>
                <w:sz w:val="20"/>
                <w:szCs w:val="20"/>
              </w:rPr>
            </w:pPr>
            <w:r>
              <w:rPr>
                <w:rFonts w:hint="eastAsia" w:ascii="宋体" w:hAnsi="宋体" w:cs="宋体"/>
                <w:color w:val="000000"/>
                <w:kern w:val="0"/>
                <w:sz w:val="20"/>
                <w:szCs w:val="20"/>
              </w:rPr>
              <w:t>单位：万元</w:t>
            </w:r>
          </w:p>
        </w:tc>
      </w:tr>
      <w:tr>
        <w:tblPrEx>
          <w:tblLayout w:type="fixed"/>
          <w:tblCellMar>
            <w:top w:w="0" w:type="dxa"/>
            <w:left w:w="108" w:type="dxa"/>
            <w:bottom w:w="0" w:type="dxa"/>
            <w:right w:w="108" w:type="dxa"/>
          </w:tblCellMar>
        </w:tblPrEx>
        <w:trPr>
          <w:trHeight w:val="548" w:hRule="atLeast"/>
        </w:trPr>
        <w:tc>
          <w:tcPr>
            <w:tcW w:w="4319" w:type="dxa"/>
            <w:gridSpan w:val="3"/>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hint="eastAsia" w:ascii="宋体" w:hAnsi="宋体" w:cs="宋体"/>
                <w:color w:val="000000"/>
                <w:kern w:val="0"/>
                <w:sz w:val="24"/>
                <w:szCs w:val="24"/>
              </w:rPr>
              <w:t>项</w:t>
            </w:r>
            <w:r>
              <w:rPr>
                <w:rFonts w:ascii="宋体" w:hAnsi="宋体" w:cs="宋体"/>
                <w:color w:val="000000"/>
                <w:kern w:val="0"/>
                <w:sz w:val="24"/>
                <w:szCs w:val="24"/>
              </w:rPr>
              <w:t xml:space="preserve"> </w:t>
            </w:r>
            <w:r>
              <w:rPr>
                <w:rFonts w:ascii="宋体" w:hAnsi="宋体" w:cs="宋体"/>
                <w:color w:val="000000"/>
                <w:kern w:val="0"/>
                <w:sz w:val="22"/>
              </w:rPr>
              <w:t xml:space="preserve">   </w:t>
            </w:r>
            <w:r>
              <w:rPr>
                <w:rStyle w:val="19"/>
                <w:rFonts w:hint="eastAsia"/>
              </w:rPr>
              <w:t>目</w:t>
            </w:r>
          </w:p>
        </w:tc>
        <w:tc>
          <w:tcPr>
            <w:tcW w:w="10801" w:type="dxa"/>
            <w:gridSpan w:val="3"/>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hint="eastAsia" w:ascii="宋体" w:hAnsi="宋体" w:cs="宋体"/>
                <w:color w:val="000000"/>
                <w:kern w:val="0"/>
                <w:sz w:val="24"/>
                <w:szCs w:val="24"/>
              </w:rPr>
              <w:t>本年支出</w:t>
            </w:r>
          </w:p>
        </w:tc>
      </w:tr>
      <w:tr>
        <w:tblPrEx>
          <w:tblLayout w:type="fixed"/>
          <w:tblCellMar>
            <w:top w:w="0" w:type="dxa"/>
            <w:left w:w="108" w:type="dxa"/>
            <w:bottom w:w="0" w:type="dxa"/>
            <w:right w:w="108" w:type="dxa"/>
          </w:tblCellMar>
        </w:tblPrEx>
        <w:trPr>
          <w:trHeight w:val="548" w:hRule="atLeast"/>
        </w:trPr>
        <w:tc>
          <w:tcPr>
            <w:tcW w:w="2027" w:type="dxa"/>
            <w:gridSpan w:val="2"/>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hint="eastAsia" w:ascii="宋体" w:hAnsi="宋体" w:cs="宋体"/>
                <w:color w:val="000000"/>
                <w:kern w:val="0"/>
                <w:sz w:val="24"/>
                <w:szCs w:val="24"/>
              </w:rPr>
              <w:t>科目代码</w:t>
            </w:r>
          </w:p>
        </w:tc>
        <w:tc>
          <w:tcPr>
            <w:tcW w:w="2292"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hint="eastAsia" w:ascii="宋体" w:hAnsi="宋体" w:cs="宋体"/>
                <w:color w:val="000000"/>
                <w:kern w:val="0"/>
                <w:sz w:val="24"/>
                <w:szCs w:val="24"/>
              </w:rPr>
              <w:t>科目名称</w:t>
            </w:r>
          </w:p>
        </w:tc>
        <w:tc>
          <w:tcPr>
            <w:tcW w:w="3315"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hint="eastAsia" w:ascii="宋体" w:hAnsi="宋体" w:cs="宋体"/>
                <w:color w:val="000000"/>
                <w:kern w:val="0"/>
                <w:sz w:val="24"/>
                <w:szCs w:val="24"/>
              </w:rPr>
              <w:t>合计</w:t>
            </w:r>
          </w:p>
        </w:tc>
        <w:tc>
          <w:tcPr>
            <w:tcW w:w="3315"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hint="eastAsia" w:ascii="宋体" w:hAnsi="宋体" w:cs="宋体"/>
                <w:color w:val="000000"/>
                <w:kern w:val="0"/>
                <w:sz w:val="24"/>
                <w:szCs w:val="24"/>
              </w:rPr>
              <w:t>基本支出</w:t>
            </w:r>
            <w:r>
              <w:rPr>
                <w:rFonts w:ascii="宋体" w:hAnsi="宋体" w:cs="宋体"/>
                <w:color w:val="000000"/>
                <w:kern w:val="0"/>
                <w:sz w:val="24"/>
                <w:szCs w:val="24"/>
              </w:rPr>
              <w:t xml:space="preserve">  </w:t>
            </w:r>
          </w:p>
        </w:tc>
        <w:tc>
          <w:tcPr>
            <w:tcW w:w="4171"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hint="eastAsia" w:ascii="宋体" w:hAnsi="宋体" w:cs="宋体"/>
                <w:color w:val="000000"/>
                <w:kern w:val="0"/>
                <w:sz w:val="24"/>
                <w:szCs w:val="24"/>
              </w:rPr>
              <w:t>项目支出</w:t>
            </w:r>
          </w:p>
        </w:tc>
      </w:tr>
      <w:tr>
        <w:tblPrEx>
          <w:tblLayout w:type="fixed"/>
          <w:tblCellMar>
            <w:top w:w="0" w:type="dxa"/>
            <w:left w:w="108" w:type="dxa"/>
            <w:bottom w:w="0" w:type="dxa"/>
            <w:right w:w="108" w:type="dxa"/>
          </w:tblCellMar>
        </w:tblPrEx>
        <w:trPr>
          <w:trHeight w:val="548" w:hRule="atLeast"/>
        </w:trPr>
        <w:tc>
          <w:tcPr>
            <w:tcW w:w="2027" w:type="dxa"/>
            <w:gridSpan w:val="2"/>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292"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331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331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4171"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r>
      <w:tr>
        <w:tblPrEx>
          <w:tblLayout w:type="fixed"/>
          <w:tblCellMar>
            <w:top w:w="0" w:type="dxa"/>
            <w:left w:w="108" w:type="dxa"/>
            <w:bottom w:w="0" w:type="dxa"/>
            <w:right w:w="108" w:type="dxa"/>
          </w:tblCellMar>
        </w:tblPrEx>
        <w:trPr>
          <w:trHeight w:val="338" w:hRule="atLeast"/>
        </w:trPr>
        <w:tc>
          <w:tcPr>
            <w:tcW w:w="2027" w:type="dxa"/>
            <w:gridSpan w:val="2"/>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292"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331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3315"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4171"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r>
      <w:tr>
        <w:tblPrEx>
          <w:tblLayout w:type="fixed"/>
          <w:tblCellMar>
            <w:top w:w="0" w:type="dxa"/>
            <w:left w:w="108" w:type="dxa"/>
            <w:bottom w:w="0" w:type="dxa"/>
            <w:right w:w="108" w:type="dxa"/>
          </w:tblCellMar>
        </w:tblPrEx>
        <w:trPr>
          <w:trHeight w:val="548" w:hRule="atLeast"/>
        </w:trPr>
        <w:tc>
          <w:tcPr>
            <w:tcW w:w="4319" w:type="dxa"/>
            <w:gridSpan w:val="3"/>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hint="eastAsia" w:ascii="宋体" w:hAnsi="宋体" w:cs="宋体"/>
                <w:color w:val="000000"/>
                <w:kern w:val="0"/>
                <w:sz w:val="24"/>
                <w:szCs w:val="24"/>
              </w:rPr>
              <w:t>栏次</w:t>
            </w:r>
          </w:p>
        </w:tc>
        <w:tc>
          <w:tcPr>
            <w:tcW w:w="3315"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ascii="宋体" w:hAnsi="宋体" w:cs="宋体"/>
                <w:color w:val="000000"/>
                <w:kern w:val="0"/>
                <w:sz w:val="24"/>
                <w:szCs w:val="24"/>
              </w:rPr>
              <w:t>1</w:t>
            </w:r>
          </w:p>
        </w:tc>
        <w:tc>
          <w:tcPr>
            <w:tcW w:w="3315"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ascii="宋体" w:hAnsi="宋体" w:cs="宋体"/>
                <w:color w:val="000000"/>
                <w:kern w:val="0"/>
                <w:sz w:val="24"/>
                <w:szCs w:val="24"/>
              </w:rPr>
              <w:t>2</w:t>
            </w:r>
          </w:p>
        </w:tc>
        <w:tc>
          <w:tcPr>
            <w:tcW w:w="417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ascii="宋体" w:hAnsi="宋体" w:cs="宋体"/>
                <w:color w:val="000000"/>
                <w:kern w:val="0"/>
                <w:sz w:val="24"/>
                <w:szCs w:val="24"/>
              </w:rPr>
              <w:t>3</w:t>
            </w:r>
          </w:p>
        </w:tc>
      </w:tr>
      <w:tr>
        <w:tblPrEx>
          <w:tblLayout w:type="fixed"/>
          <w:tblCellMar>
            <w:top w:w="0" w:type="dxa"/>
            <w:left w:w="108" w:type="dxa"/>
            <w:bottom w:w="0" w:type="dxa"/>
            <w:right w:w="108" w:type="dxa"/>
          </w:tblCellMar>
        </w:tblPrEx>
        <w:trPr>
          <w:trHeight w:val="548" w:hRule="atLeast"/>
        </w:trPr>
        <w:tc>
          <w:tcPr>
            <w:tcW w:w="4319" w:type="dxa"/>
            <w:gridSpan w:val="3"/>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4"/>
                <w:szCs w:val="24"/>
              </w:rPr>
            </w:pPr>
            <w:r>
              <w:rPr>
                <w:rFonts w:hint="eastAsia" w:ascii="宋体" w:hAnsi="宋体" w:cs="宋体"/>
                <w:color w:val="000000"/>
                <w:kern w:val="0"/>
                <w:sz w:val="24"/>
                <w:szCs w:val="24"/>
              </w:rPr>
              <w:t>合计</w:t>
            </w:r>
          </w:p>
        </w:tc>
        <w:tc>
          <w:tcPr>
            <w:tcW w:w="3315"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3315"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417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r>
      <w:tr>
        <w:tblPrEx>
          <w:tblLayout w:type="fixed"/>
          <w:tblCellMar>
            <w:top w:w="0" w:type="dxa"/>
            <w:left w:w="108" w:type="dxa"/>
            <w:bottom w:w="0" w:type="dxa"/>
            <w:right w:w="108" w:type="dxa"/>
          </w:tblCellMar>
        </w:tblPrEx>
        <w:trPr>
          <w:trHeight w:val="548" w:hRule="atLeast"/>
        </w:trPr>
        <w:tc>
          <w:tcPr>
            <w:tcW w:w="2027"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292"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0"/>
                <w:szCs w:val="20"/>
              </w:rPr>
            </w:pPr>
          </w:p>
        </w:tc>
        <w:tc>
          <w:tcPr>
            <w:tcW w:w="3315"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3315"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4171"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r>
      <w:tr>
        <w:tblPrEx>
          <w:tblLayout w:type="fixed"/>
          <w:tblCellMar>
            <w:top w:w="0" w:type="dxa"/>
            <w:left w:w="108" w:type="dxa"/>
            <w:bottom w:w="0" w:type="dxa"/>
            <w:right w:w="108" w:type="dxa"/>
          </w:tblCellMar>
        </w:tblPrEx>
        <w:trPr>
          <w:trHeight w:val="548" w:hRule="atLeast"/>
        </w:trPr>
        <w:tc>
          <w:tcPr>
            <w:tcW w:w="2027"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292"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3315"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3315"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4171"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r>
      <w:tr>
        <w:tblPrEx>
          <w:tblLayout w:type="fixed"/>
          <w:tblCellMar>
            <w:top w:w="0" w:type="dxa"/>
            <w:left w:w="108" w:type="dxa"/>
            <w:bottom w:w="0" w:type="dxa"/>
            <w:right w:w="108" w:type="dxa"/>
          </w:tblCellMar>
        </w:tblPrEx>
        <w:trPr>
          <w:trHeight w:val="548" w:hRule="atLeast"/>
        </w:trPr>
        <w:tc>
          <w:tcPr>
            <w:tcW w:w="2027"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292"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0"/>
                <w:szCs w:val="20"/>
              </w:rPr>
            </w:pPr>
          </w:p>
        </w:tc>
        <w:tc>
          <w:tcPr>
            <w:tcW w:w="3315"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3315"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4171"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r>
      <w:tr>
        <w:tblPrEx>
          <w:tblLayout w:type="fixed"/>
          <w:tblCellMar>
            <w:top w:w="0" w:type="dxa"/>
            <w:left w:w="108" w:type="dxa"/>
            <w:bottom w:w="0" w:type="dxa"/>
            <w:right w:w="108" w:type="dxa"/>
          </w:tblCellMar>
        </w:tblPrEx>
        <w:trPr>
          <w:trHeight w:val="548" w:hRule="atLeast"/>
        </w:trPr>
        <w:tc>
          <w:tcPr>
            <w:tcW w:w="2027"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292"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3315"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3315"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4171"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r>
      <w:tr>
        <w:tblPrEx>
          <w:tblLayout w:type="fixed"/>
          <w:tblCellMar>
            <w:top w:w="0" w:type="dxa"/>
            <w:left w:w="108" w:type="dxa"/>
            <w:bottom w:w="0" w:type="dxa"/>
            <w:right w:w="108" w:type="dxa"/>
          </w:tblCellMar>
        </w:tblPrEx>
        <w:trPr>
          <w:trHeight w:val="548" w:hRule="atLeast"/>
        </w:trPr>
        <w:tc>
          <w:tcPr>
            <w:tcW w:w="2027"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292"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3315"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3315"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4171"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r>
      <w:tr>
        <w:tblPrEx>
          <w:tblLayout w:type="fixed"/>
          <w:tblCellMar>
            <w:top w:w="0" w:type="dxa"/>
            <w:left w:w="108" w:type="dxa"/>
            <w:bottom w:w="0" w:type="dxa"/>
            <w:right w:w="108" w:type="dxa"/>
          </w:tblCellMar>
        </w:tblPrEx>
        <w:trPr>
          <w:trHeight w:val="548" w:hRule="atLeast"/>
        </w:trPr>
        <w:tc>
          <w:tcPr>
            <w:tcW w:w="2027"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4"/>
                <w:szCs w:val="24"/>
              </w:rPr>
            </w:pPr>
          </w:p>
        </w:tc>
        <w:tc>
          <w:tcPr>
            <w:tcW w:w="2292"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3315"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3315"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c>
          <w:tcPr>
            <w:tcW w:w="4171" w:type="dxa"/>
            <w:tcBorders>
              <w:top w:val="single" w:color="000000" w:sz="4" w:space="0"/>
              <w:left w:val="single" w:color="000000" w:sz="4" w:space="0"/>
              <w:bottom w:val="single" w:color="000000" w:sz="4" w:space="0"/>
              <w:right w:val="single" w:color="000000" w:sz="4" w:space="0"/>
            </w:tcBorders>
            <w:vAlign w:val="center"/>
          </w:tcPr>
          <w:p>
            <w:pPr>
              <w:rPr>
                <w:rFonts w:ascii="宋体" w:cs="宋体"/>
                <w:color w:val="000000"/>
                <w:sz w:val="24"/>
                <w:szCs w:val="24"/>
              </w:rPr>
            </w:pPr>
          </w:p>
        </w:tc>
      </w:tr>
      <w:tr>
        <w:tblPrEx>
          <w:tblLayout w:type="fixed"/>
          <w:tblCellMar>
            <w:top w:w="0" w:type="dxa"/>
            <w:left w:w="108" w:type="dxa"/>
            <w:bottom w:w="0" w:type="dxa"/>
            <w:right w:w="108" w:type="dxa"/>
          </w:tblCellMar>
        </w:tblPrEx>
        <w:trPr>
          <w:trHeight w:val="976" w:hRule="atLeast"/>
        </w:trPr>
        <w:tc>
          <w:tcPr>
            <w:tcW w:w="15120" w:type="dxa"/>
            <w:gridSpan w:val="6"/>
            <w:tcBorders>
              <w:top w:val="nil"/>
              <w:left w:val="nil"/>
              <w:bottom w:val="nil"/>
              <w:right w:val="nil"/>
            </w:tcBorders>
            <w:vAlign w:val="center"/>
          </w:tcPr>
          <w:p>
            <w:pPr>
              <w:widowControl/>
              <w:jc w:val="left"/>
              <w:textAlignment w:val="center"/>
              <w:rPr>
                <w:rFonts w:ascii="宋体" w:cs="宋体"/>
                <w:color w:val="000000"/>
                <w:kern w:val="0"/>
                <w:sz w:val="24"/>
                <w:szCs w:val="24"/>
              </w:rPr>
            </w:pPr>
            <w:r>
              <w:rPr>
                <w:rFonts w:hint="eastAsia" w:ascii="宋体" w:hAnsi="宋体" w:cs="宋体"/>
                <w:color w:val="000000"/>
                <w:kern w:val="0"/>
                <w:sz w:val="24"/>
                <w:szCs w:val="24"/>
              </w:rPr>
              <w:t>注：本表反映部门本年度国有资本经营预算财政拨款支出情况。</w:t>
            </w:r>
          </w:p>
          <w:p>
            <w:pPr>
              <w:widowControl/>
              <w:jc w:val="left"/>
              <w:textAlignment w:val="center"/>
              <w:rPr>
                <w:rFonts w:ascii="宋体" w:cs="宋体"/>
                <w:color w:val="000000"/>
                <w:kern w:val="0"/>
                <w:sz w:val="24"/>
                <w:szCs w:val="24"/>
              </w:rPr>
            </w:pPr>
          </w:p>
          <w:p>
            <w:pPr>
              <w:widowControl/>
              <w:jc w:val="left"/>
              <w:textAlignment w:val="center"/>
              <w:rPr>
                <w:rFonts w:ascii="宋体" w:cs="宋体"/>
                <w:color w:val="000000"/>
                <w:kern w:val="0"/>
                <w:sz w:val="24"/>
                <w:szCs w:val="24"/>
              </w:rPr>
            </w:pPr>
            <w:r>
              <w:rPr>
                <w:rFonts w:hint="eastAsia" w:ascii="楷体" w:hAnsi="楷体" w:eastAsia="楷体" w:cs="楷体"/>
                <w:b/>
                <w:bCs/>
                <w:kern w:val="0"/>
                <w:sz w:val="24"/>
                <w:szCs w:val="24"/>
              </w:rPr>
              <w:t>说明：我单位没有使用国有资本经营预算安排的支出，故本表无数据。</w:t>
            </w:r>
          </w:p>
        </w:tc>
      </w:tr>
    </w:tbl>
    <w:p>
      <w:pPr>
        <w:widowControl/>
        <w:jc w:val="center"/>
        <w:rPr>
          <w:rFonts w:ascii="Times New Roman" w:hAnsi="Times New Roman" w:eastAsia="方正小标宋_GBK" w:cs="Times New Roman"/>
          <w:color w:val="000000"/>
          <w:kern w:val="0"/>
          <w:sz w:val="36"/>
          <w:szCs w:val="36"/>
        </w:rPr>
      </w:pPr>
    </w:p>
    <w:tbl>
      <w:tblPr>
        <w:tblStyle w:val="7"/>
        <w:tblW w:w="15140" w:type="dxa"/>
        <w:tblInd w:w="93" w:type="dxa"/>
        <w:tblLayout w:type="fixed"/>
        <w:tblCellMar>
          <w:top w:w="0" w:type="dxa"/>
          <w:left w:w="108" w:type="dxa"/>
          <w:bottom w:w="0" w:type="dxa"/>
          <w:right w:w="108" w:type="dxa"/>
        </w:tblCellMar>
      </w:tblPr>
      <w:tblGrid>
        <w:gridCol w:w="1260"/>
        <w:gridCol w:w="1261"/>
        <w:gridCol w:w="1261"/>
        <w:gridCol w:w="1261"/>
        <w:gridCol w:w="1261"/>
        <w:gridCol w:w="1261"/>
        <w:gridCol w:w="1261"/>
        <w:gridCol w:w="1261"/>
        <w:gridCol w:w="1261"/>
        <w:gridCol w:w="1261"/>
        <w:gridCol w:w="1261"/>
        <w:gridCol w:w="1270"/>
      </w:tblGrid>
      <w:tr>
        <w:tblPrEx>
          <w:tblLayout w:type="fixed"/>
          <w:tblCellMar>
            <w:top w:w="0" w:type="dxa"/>
            <w:left w:w="108" w:type="dxa"/>
            <w:bottom w:w="0" w:type="dxa"/>
            <w:right w:w="108" w:type="dxa"/>
          </w:tblCellMar>
        </w:tblPrEx>
        <w:trPr>
          <w:trHeight w:val="840" w:hRule="atLeast"/>
        </w:trPr>
        <w:tc>
          <w:tcPr>
            <w:tcW w:w="15140" w:type="dxa"/>
            <w:gridSpan w:val="12"/>
            <w:tcBorders>
              <w:top w:val="nil"/>
              <w:left w:val="nil"/>
              <w:bottom w:val="nil"/>
              <w:right w:val="nil"/>
            </w:tcBorders>
            <w:shd w:val="clear" w:color="auto" w:fill="FFFFFF"/>
            <w:vAlign w:val="center"/>
          </w:tcPr>
          <w:p>
            <w:pPr>
              <w:widowControl/>
              <w:jc w:val="center"/>
              <w:textAlignment w:val="center"/>
              <w:rPr>
                <w:rFonts w:ascii="华文中宋" w:hAnsi="华文中宋" w:eastAsia="华文中宋" w:cs="华文中宋"/>
                <w:color w:val="000000"/>
                <w:kern w:val="0"/>
                <w:sz w:val="32"/>
                <w:szCs w:val="32"/>
              </w:rPr>
            </w:pPr>
          </w:p>
          <w:p>
            <w:pPr>
              <w:widowControl/>
              <w:jc w:val="center"/>
              <w:textAlignment w:val="center"/>
              <w:rPr>
                <w:rFonts w:ascii="华文中宋" w:hAnsi="华文中宋" w:eastAsia="华文中宋" w:cs="华文中宋"/>
                <w:color w:val="000000"/>
                <w:sz w:val="32"/>
                <w:szCs w:val="32"/>
              </w:rPr>
            </w:pPr>
            <w:r>
              <w:rPr>
                <w:rFonts w:hint="eastAsia" w:ascii="华文中宋" w:hAnsi="华文中宋" w:eastAsia="华文中宋" w:cs="华文中宋"/>
                <w:color w:val="000000"/>
                <w:kern w:val="0"/>
                <w:sz w:val="32"/>
                <w:szCs w:val="32"/>
              </w:rPr>
              <w:t>财政拨款“三公”经费支出决算表</w:t>
            </w:r>
          </w:p>
        </w:tc>
      </w:tr>
      <w:tr>
        <w:tblPrEx>
          <w:tblLayout w:type="fixed"/>
          <w:tblCellMar>
            <w:top w:w="0" w:type="dxa"/>
            <w:left w:w="108" w:type="dxa"/>
            <w:bottom w:w="0" w:type="dxa"/>
            <w:right w:w="108" w:type="dxa"/>
          </w:tblCellMar>
        </w:tblPrEx>
        <w:trPr>
          <w:trHeight w:val="420" w:hRule="atLeast"/>
        </w:trPr>
        <w:tc>
          <w:tcPr>
            <w:tcW w:w="1260" w:type="dxa"/>
            <w:tcBorders>
              <w:top w:val="nil"/>
              <w:left w:val="nil"/>
              <w:bottom w:val="nil"/>
              <w:right w:val="nil"/>
            </w:tcBorders>
            <w:shd w:val="clear" w:color="auto" w:fill="FFFFFF"/>
            <w:vAlign w:val="center"/>
          </w:tcPr>
          <w:p>
            <w:pPr>
              <w:rPr>
                <w:rFonts w:ascii="宋体" w:cs="宋体"/>
                <w:color w:val="000000"/>
                <w:sz w:val="20"/>
                <w:szCs w:val="20"/>
              </w:rPr>
            </w:pPr>
          </w:p>
        </w:tc>
        <w:tc>
          <w:tcPr>
            <w:tcW w:w="1261" w:type="dxa"/>
            <w:tcBorders>
              <w:top w:val="nil"/>
              <w:left w:val="nil"/>
              <w:bottom w:val="nil"/>
              <w:right w:val="nil"/>
            </w:tcBorders>
            <w:shd w:val="clear" w:color="auto" w:fill="FFFFFF"/>
            <w:vAlign w:val="center"/>
          </w:tcPr>
          <w:p>
            <w:pPr>
              <w:rPr>
                <w:rFonts w:ascii="宋体" w:cs="宋体"/>
                <w:color w:val="000000"/>
                <w:sz w:val="20"/>
                <w:szCs w:val="20"/>
              </w:rPr>
            </w:pPr>
          </w:p>
        </w:tc>
        <w:tc>
          <w:tcPr>
            <w:tcW w:w="1261" w:type="dxa"/>
            <w:tcBorders>
              <w:top w:val="nil"/>
              <w:left w:val="nil"/>
              <w:bottom w:val="nil"/>
              <w:right w:val="nil"/>
            </w:tcBorders>
            <w:shd w:val="clear" w:color="auto" w:fill="FFFFFF"/>
            <w:vAlign w:val="center"/>
          </w:tcPr>
          <w:p>
            <w:pPr>
              <w:rPr>
                <w:rFonts w:ascii="宋体" w:cs="宋体"/>
                <w:color w:val="000000"/>
                <w:sz w:val="20"/>
                <w:szCs w:val="20"/>
              </w:rPr>
            </w:pPr>
          </w:p>
        </w:tc>
        <w:tc>
          <w:tcPr>
            <w:tcW w:w="1261" w:type="dxa"/>
            <w:tcBorders>
              <w:top w:val="nil"/>
              <w:left w:val="nil"/>
              <w:bottom w:val="nil"/>
              <w:right w:val="nil"/>
            </w:tcBorders>
            <w:shd w:val="clear" w:color="auto" w:fill="FFFFFF"/>
            <w:vAlign w:val="center"/>
          </w:tcPr>
          <w:p>
            <w:pPr>
              <w:rPr>
                <w:rFonts w:ascii="宋体" w:cs="宋体"/>
                <w:color w:val="000000"/>
                <w:sz w:val="20"/>
                <w:szCs w:val="20"/>
              </w:rPr>
            </w:pPr>
          </w:p>
        </w:tc>
        <w:tc>
          <w:tcPr>
            <w:tcW w:w="1261" w:type="dxa"/>
            <w:tcBorders>
              <w:top w:val="nil"/>
              <w:left w:val="nil"/>
              <w:bottom w:val="nil"/>
              <w:right w:val="nil"/>
            </w:tcBorders>
            <w:shd w:val="clear" w:color="auto" w:fill="FFFFFF"/>
            <w:vAlign w:val="center"/>
          </w:tcPr>
          <w:p>
            <w:pPr>
              <w:rPr>
                <w:rFonts w:ascii="宋体" w:cs="宋体"/>
                <w:color w:val="000000"/>
                <w:sz w:val="20"/>
                <w:szCs w:val="20"/>
              </w:rPr>
            </w:pPr>
          </w:p>
        </w:tc>
        <w:tc>
          <w:tcPr>
            <w:tcW w:w="1261" w:type="dxa"/>
            <w:tcBorders>
              <w:top w:val="nil"/>
              <w:left w:val="nil"/>
              <w:bottom w:val="nil"/>
              <w:right w:val="nil"/>
            </w:tcBorders>
            <w:shd w:val="clear" w:color="auto" w:fill="FFFFFF"/>
            <w:vAlign w:val="center"/>
          </w:tcPr>
          <w:p>
            <w:pPr>
              <w:rPr>
                <w:rFonts w:ascii="宋体" w:cs="宋体"/>
                <w:color w:val="000000"/>
                <w:sz w:val="20"/>
                <w:szCs w:val="20"/>
              </w:rPr>
            </w:pPr>
          </w:p>
        </w:tc>
        <w:tc>
          <w:tcPr>
            <w:tcW w:w="1261" w:type="dxa"/>
            <w:tcBorders>
              <w:top w:val="nil"/>
              <w:left w:val="nil"/>
              <w:bottom w:val="nil"/>
              <w:right w:val="nil"/>
            </w:tcBorders>
            <w:shd w:val="clear" w:color="auto" w:fill="FFFFFF"/>
            <w:vAlign w:val="center"/>
          </w:tcPr>
          <w:p>
            <w:pPr>
              <w:rPr>
                <w:rFonts w:ascii="宋体" w:cs="宋体"/>
                <w:color w:val="000000"/>
                <w:sz w:val="20"/>
                <w:szCs w:val="20"/>
              </w:rPr>
            </w:pPr>
          </w:p>
        </w:tc>
        <w:tc>
          <w:tcPr>
            <w:tcW w:w="1261" w:type="dxa"/>
            <w:tcBorders>
              <w:top w:val="nil"/>
              <w:left w:val="nil"/>
              <w:bottom w:val="nil"/>
              <w:right w:val="nil"/>
            </w:tcBorders>
            <w:shd w:val="clear" w:color="auto" w:fill="FFFFFF"/>
            <w:vAlign w:val="center"/>
          </w:tcPr>
          <w:p>
            <w:pPr>
              <w:rPr>
                <w:rFonts w:ascii="宋体" w:cs="宋体"/>
                <w:color w:val="000000"/>
                <w:sz w:val="20"/>
                <w:szCs w:val="20"/>
              </w:rPr>
            </w:pPr>
          </w:p>
        </w:tc>
        <w:tc>
          <w:tcPr>
            <w:tcW w:w="1261" w:type="dxa"/>
            <w:tcBorders>
              <w:top w:val="nil"/>
              <w:left w:val="nil"/>
              <w:bottom w:val="nil"/>
              <w:right w:val="nil"/>
            </w:tcBorders>
            <w:shd w:val="clear" w:color="auto" w:fill="FFFFFF"/>
            <w:vAlign w:val="center"/>
          </w:tcPr>
          <w:p>
            <w:pPr>
              <w:rPr>
                <w:rFonts w:ascii="宋体" w:cs="宋体"/>
                <w:color w:val="000000"/>
                <w:sz w:val="20"/>
                <w:szCs w:val="20"/>
              </w:rPr>
            </w:pPr>
          </w:p>
        </w:tc>
        <w:tc>
          <w:tcPr>
            <w:tcW w:w="1261" w:type="dxa"/>
            <w:tcBorders>
              <w:top w:val="nil"/>
              <w:left w:val="nil"/>
              <w:bottom w:val="nil"/>
              <w:right w:val="nil"/>
            </w:tcBorders>
            <w:shd w:val="clear" w:color="auto" w:fill="FFFFFF"/>
            <w:vAlign w:val="center"/>
          </w:tcPr>
          <w:p>
            <w:pPr>
              <w:rPr>
                <w:rFonts w:ascii="宋体" w:cs="宋体"/>
                <w:color w:val="000000"/>
                <w:sz w:val="20"/>
                <w:szCs w:val="20"/>
              </w:rPr>
            </w:pPr>
          </w:p>
        </w:tc>
        <w:tc>
          <w:tcPr>
            <w:tcW w:w="1261" w:type="dxa"/>
            <w:tcBorders>
              <w:top w:val="nil"/>
              <w:left w:val="nil"/>
              <w:bottom w:val="nil"/>
              <w:right w:val="nil"/>
            </w:tcBorders>
            <w:shd w:val="clear" w:color="auto" w:fill="FFFFFF"/>
            <w:vAlign w:val="center"/>
          </w:tcPr>
          <w:p>
            <w:pPr>
              <w:rPr>
                <w:rFonts w:ascii="宋体" w:cs="宋体"/>
                <w:color w:val="000000"/>
                <w:sz w:val="20"/>
                <w:szCs w:val="20"/>
              </w:rPr>
            </w:pPr>
          </w:p>
        </w:tc>
        <w:tc>
          <w:tcPr>
            <w:tcW w:w="1270" w:type="dxa"/>
            <w:tcBorders>
              <w:top w:val="nil"/>
              <w:left w:val="nil"/>
              <w:bottom w:val="nil"/>
              <w:right w:val="nil"/>
            </w:tcBorders>
            <w:shd w:val="clear" w:color="auto" w:fill="FFFFFF"/>
            <w:noWrap/>
            <w:vAlign w:val="center"/>
          </w:tcPr>
          <w:p>
            <w:pPr>
              <w:widowControl/>
              <w:jc w:val="right"/>
              <w:textAlignment w:val="center"/>
              <w:rPr>
                <w:rFonts w:ascii="宋体" w:cs="宋体"/>
                <w:color w:val="000000"/>
                <w:sz w:val="20"/>
                <w:szCs w:val="20"/>
              </w:rPr>
            </w:pPr>
            <w:r>
              <w:rPr>
                <w:rFonts w:hint="eastAsia" w:ascii="宋体" w:hAnsi="宋体" w:cs="宋体"/>
                <w:color w:val="000000"/>
                <w:kern w:val="0"/>
                <w:sz w:val="20"/>
                <w:szCs w:val="20"/>
              </w:rPr>
              <w:t>公开</w:t>
            </w:r>
            <w:r>
              <w:rPr>
                <w:rFonts w:ascii="宋体" w:hAnsi="宋体" w:cs="宋体"/>
                <w:color w:val="000000"/>
                <w:kern w:val="0"/>
                <w:sz w:val="20"/>
                <w:szCs w:val="20"/>
              </w:rPr>
              <w:t>09</w:t>
            </w:r>
            <w:r>
              <w:rPr>
                <w:rFonts w:hint="eastAsia" w:ascii="宋体" w:hAnsi="宋体" w:cs="宋体"/>
                <w:color w:val="000000"/>
                <w:kern w:val="0"/>
                <w:sz w:val="20"/>
                <w:szCs w:val="20"/>
              </w:rPr>
              <w:t>表</w:t>
            </w:r>
          </w:p>
        </w:tc>
      </w:tr>
      <w:tr>
        <w:tblPrEx>
          <w:tblLayout w:type="fixed"/>
          <w:tblCellMar>
            <w:top w:w="0" w:type="dxa"/>
            <w:left w:w="108" w:type="dxa"/>
            <w:bottom w:w="0" w:type="dxa"/>
            <w:right w:w="108" w:type="dxa"/>
          </w:tblCellMar>
        </w:tblPrEx>
        <w:trPr>
          <w:trHeight w:val="420" w:hRule="atLeast"/>
        </w:trPr>
        <w:tc>
          <w:tcPr>
            <w:tcW w:w="3782" w:type="dxa"/>
            <w:gridSpan w:val="3"/>
            <w:tcBorders>
              <w:top w:val="nil"/>
              <w:left w:val="nil"/>
              <w:bottom w:val="nil"/>
              <w:right w:val="nil"/>
            </w:tcBorders>
            <w:shd w:val="clear" w:color="auto" w:fill="FFFFFF"/>
            <w:noWrap/>
            <w:vAlign w:val="center"/>
          </w:tcPr>
          <w:p>
            <w:pPr>
              <w:rPr>
                <w:rFonts w:ascii="宋体" w:cs="宋体"/>
                <w:color w:val="000000"/>
                <w:sz w:val="20"/>
                <w:szCs w:val="20"/>
              </w:rPr>
            </w:pPr>
            <w:r>
              <w:rPr>
                <w:rFonts w:hint="eastAsia" w:ascii="宋体" w:hAnsi="宋体" w:cs="宋体"/>
                <w:color w:val="000000"/>
                <w:kern w:val="0"/>
                <w:sz w:val="20"/>
                <w:szCs w:val="20"/>
              </w:rPr>
              <w:t>部门：湖南省农业农村信息中心</w:t>
            </w:r>
          </w:p>
        </w:tc>
        <w:tc>
          <w:tcPr>
            <w:tcW w:w="1261" w:type="dxa"/>
            <w:tcBorders>
              <w:top w:val="nil"/>
              <w:left w:val="nil"/>
              <w:bottom w:val="nil"/>
              <w:right w:val="nil"/>
            </w:tcBorders>
            <w:shd w:val="clear" w:color="auto" w:fill="FFFFFF"/>
            <w:vAlign w:val="center"/>
          </w:tcPr>
          <w:p>
            <w:pPr>
              <w:rPr>
                <w:rFonts w:ascii="宋体" w:cs="宋体"/>
                <w:color w:val="000000"/>
                <w:sz w:val="20"/>
                <w:szCs w:val="20"/>
              </w:rPr>
            </w:pPr>
          </w:p>
        </w:tc>
        <w:tc>
          <w:tcPr>
            <w:tcW w:w="1261" w:type="dxa"/>
            <w:tcBorders>
              <w:top w:val="nil"/>
              <w:left w:val="nil"/>
              <w:bottom w:val="nil"/>
              <w:right w:val="nil"/>
            </w:tcBorders>
            <w:shd w:val="clear" w:color="auto" w:fill="FFFFFF"/>
            <w:vAlign w:val="center"/>
          </w:tcPr>
          <w:p>
            <w:pPr>
              <w:rPr>
                <w:rFonts w:ascii="宋体" w:cs="宋体"/>
                <w:color w:val="000000"/>
                <w:sz w:val="20"/>
                <w:szCs w:val="20"/>
              </w:rPr>
            </w:pPr>
          </w:p>
        </w:tc>
        <w:tc>
          <w:tcPr>
            <w:tcW w:w="1261" w:type="dxa"/>
            <w:tcBorders>
              <w:top w:val="nil"/>
              <w:left w:val="nil"/>
              <w:bottom w:val="nil"/>
              <w:right w:val="nil"/>
            </w:tcBorders>
            <w:shd w:val="clear" w:color="auto" w:fill="FFFFFF"/>
            <w:vAlign w:val="center"/>
          </w:tcPr>
          <w:p>
            <w:pPr>
              <w:rPr>
                <w:rFonts w:ascii="宋体" w:cs="宋体"/>
                <w:color w:val="000000"/>
                <w:sz w:val="20"/>
                <w:szCs w:val="20"/>
              </w:rPr>
            </w:pPr>
          </w:p>
        </w:tc>
        <w:tc>
          <w:tcPr>
            <w:tcW w:w="1261" w:type="dxa"/>
            <w:tcBorders>
              <w:top w:val="nil"/>
              <w:left w:val="nil"/>
              <w:bottom w:val="nil"/>
              <w:right w:val="nil"/>
            </w:tcBorders>
            <w:shd w:val="clear" w:color="auto" w:fill="FFFFFF"/>
            <w:vAlign w:val="center"/>
          </w:tcPr>
          <w:p>
            <w:pPr>
              <w:rPr>
                <w:rFonts w:ascii="宋体" w:cs="宋体"/>
                <w:color w:val="000000"/>
                <w:sz w:val="20"/>
                <w:szCs w:val="20"/>
              </w:rPr>
            </w:pPr>
          </w:p>
        </w:tc>
        <w:tc>
          <w:tcPr>
            <w:tcW w:w="1261" w:type="dxa"/>
            <w:tcBorders>
              <w:top w:val="nil"/>
              <w:left w:val="nil"/>
              <w:bottom w:val="nil"/>
              <w:right w:val="nil"/>
            </w:tcBorders>
            <w:shd w:val="clear" w:color="auto" w:fill="FFFFFF"/>
            <w:vAlign w:val="center"/>
          </w:tcPr>
          <w:p>
            <w:pPr>
              <w:rPr>
                <w:rFonts w:ascii="宋体" w:cs="宋体"/>
                <w:color w:val="000000"/>
                <w:sz w:val="20"/>
                <w:szCs w:val="20"/>
              </w:rPr>
            </w:pPr>
          </w:p>
        </w:tc>
        <w:tc>
          <w:tcPr>
            <w:tcW w:w="1261" w:type="dxa"/>
            <w:tcBorders>
              <w:top w:val="nil"/>
              <w:left w:val="nil"/>
              <w:bottom w:val="nil"/>
              <w:right w:val="nil"/>
            </w:tcBorders>
            <w:shd w:val="clear" w:color="auto" w:fill="FFFFFF"/>
            <w:vAlign w:val="center"/>
          </w:tcPr>
          <w:p>
            <w:pPr>
              <w:rPr>
                <w:rFonts w:ascii="宋体" w:cs="宋体"/>
                <w:color w:val="000000"/>
                <w:sz w:val="20"/>
                <w:szCs w:val="20"/>
              </w:rPr>
            </w:pPr>
          </w:p>
        </w:tc>
        <w:tc>
          <w:tcPr>
            <w:tcW w:w="1261" w:type="dxa"/>
            <w:tcBorders>
              <w:top w:val="nil"/>
              <w:left w:val="nil"/>
              <w:bottom w:val="nil"/>
              <w:right w:val="nil"/>
            </w:tcBorders>
            <w:shd w:val="clear" w:color="auto" w:fill="FFFFFF"/>
            <w:vAlign w:val="center"/>
          </w:tcPr>
          <w:p>
            <w:pPr>
              <w:rPr>
                <w:rFonts w:ascii="宋体" w:cs="宋体"/>
                <w:color w:val="000000"/>
                <w:sz w:val="20"/>
                <w:szCs w:val="20"/>
              </w:rPr>
            </w:pPr>
          </w:p>
        </w:tc>
        <w:tc>
          <w:tcPr>
            <w:tcW w:w="1261" w:type="dxa"/>
            <w:tcBorders>
              <w:top w:val="nil"/>
              <w:left w:val="nil"/>
              <w:bottom w:val="nil"/>
              <w:right w:val="nil"/>
            </w:tcBorders>
            <w:shd w:val="clear" w:color="auto" w:fill="FFFFFF"/>
            <w:vAlign w:val="center"/>
          </w:tcPr>
          <w:p>
            <w:pPr>
              <w:rPr>
                <w:rFonts w:ascii="宋体" w:cs="宋体"/>
                <w:color w:val="000000"/>
                <w:sz w:val="20"/>
                <w:szCs w:val="20"/>
              </w:rPr>
            </w:pPr>
          </w:p>
        </w:tc>
        <w:tc>
          <w:tcPr>
            <w:tcW w:w="1270" w:type="dxa"/>
            <w:tcBorders>
              <w:top w:val="nil"/>
              <w:left w:val="nil"/>
              <w:bottom w:val="nil"/>
              <w:right w:val="nil"/>
            </w:tcBorders>
            <w:shd w:val="clear" w:color="auto" w:fill="FFFFFF"/>
            <w:noWrap/>
            <w:vAlign w:val="center"/>
          </w:tcPr>
          <w:p>
            <w:pPr>
              <w:widowControl/>
              <w:jc w:val="right"/>
              <w:textAlignment w:val="center"/>
              <w:rPr>
                <w:rFonts w:ascii="宋体" w:cs="宋体"/>
                <w:color w:val="000000"/>
                <w:sz w:val="20"/>
                <w:szCs w:val="20"/>
              </w:rPr>
            </w:pPr>
            <w:r>
              <w:rPr>
                <w:rFonts w:hint="eastAsia" w:ascii="宋体" w:hAnsi="宋体" w:cs="宋体"/>
                <w:color w:val="000000"/>
                <w:kern w:val="0"/>
                <w:sz w:val="20"/>
                <w:szCs w:val="20"/>
              </w:rPr>
              <w:t>单位：万元</w:t>
            </w:r>
          </w:p>
        </w:tc>
      </w:tr>
      <w:tr>
        <w:tblPrEx>
          <w:tblLayout w:type="fixed"/>
          <w:tblCellMar>
            <w:top w:w="0" w:type="dxa"/>
            <w:left w:w="108" w:type="dxa"/>
            <w:bottom w:w="0" w:type="dxa"/>
            <w:right w:w="108" w:type="dxa"/>
          </w:tblCellMar>
        </w:tblPrEx>
        <w:trPr>
          <w:trHeight w:val="766" w:hRule="atLeast"/>
        </w:trPr>
        <w:tc>
          <w:tcPr>
            <w:tcW w:w="7565" w:type="dxa"/>
            <w:gridSpan w:val="6"/>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hint="eastAsia" w:ascii="宋体" w:hAnsi="宋体" w:cs="宋体"/>
                <w:color w:val="000000"/>
                <w:kern w:val="0"/>
                <w:sz w:val="22"/>
              </w:rPr>
              <w:t>预算数</w:t>
            </w:r>
          </w:p>
        </w:tc>
        <w:tc>
          <w:tcPr>
            <w:tcW w:w="7575" w:type="dxa"/>
            <w:gridSpan w:val="6"/>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hint="eastAsia" w:ascii="宋体" w:hAnsi="宋体" w:cs="宋体"/>
                <w:color w:val="000000"/>
                <w:kern w:val="0"/>
                <w:sz w:val="22"/>
              </w:rPr>
              <w:t>决算数</w:t>
            </w:r>
          </w:p>
        </w:tc>
      </w:tr>
      <w:tr>
        <w:tblPrEx>
          <w:tblLayout w:type="fixed"/>
          <w:tblCellMar>
            <w:top w:w="0" w:type="dxa"/>
            <w:left w:w="108" w:type="dxa"/>
            <w:bottom w:w="0" w:type="dxa"/>
            <w:right w:w="108" w:type="dxa"/>
          </w:tblCellMar>
        </w:tblPrEx>
        <w:trPr>
          <w:trHeight w:val="822" w:hRule="atLeast"/>
        </w:trPr>
        <w:tc>
          <w:tcPr>
            <w:tcW w:w="1260"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hint="eastAsia" w:ascii="宋体" w:hAnsi="宋体" w:cs="宋体"/>
                <w:color w:val="000000"/>
                <w:kern w:val="0"/>
                <w:sz w:val="22"/>
              </w:rPr>
              <w:t>合计</w:t>
            </w:r>
          </w:p>
        </w:tc>
        <w:tc>
          <w:tcPr>
            <w:tcW w:w="1261"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hint="eastAsia" w:ascii="宋体" w:hAnsi="宋体" w:cs="宋体"/>
                <w:color w:val="000000"/>
                <w:kern w:val="0"/>
                <w:sz w:val="22"/>
              </w:rPr>
              <w:t>因公出国（境）费</w:t>
            </w:r>
          </w:p>
        </w:tc>
        <w:tc>
          <w:tcPr>
            <w:tcW w:w="3783" w:type="dxa"/>
            <w:gridSpan w:val="3"/>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hint="eastAsia" w:ascii="宋体" w:hAnsi="宋体" w:cs="宋体"/>
                <w:color w:val="000000"/>
                <w:kern w:val="0"/>
                <w:sz w:val="22"/>
              </w:rPr>
              <w:t>公务用车购置及运行维护费</w:t>
            </w:r>
          </w:p>
        </w:tc>
        <w:tc>
          <w:tcPr>
            <w:tcW w:w="1261"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hint="eastAsia" w:ascii="宋体" w:hAnsi="宋体" w:cs="宋体"/>
                <w:color w:val="000000"/>
                <w:kern w:val="0"/>
                <w:sz w:val="22"/>
              </w:rPr>
              <w:t>公务接待费</w:t>
            </w:r>
          </w:p>
        </w:tc>
        <w:tc>
          <w:tcPr>
            <w:tcW w:w="1261"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hint="eastAsia" w:ascii="宋体" w:hAnsi="宋体" w:cs="宋体"/>
                <w:color w:val="000000"/>
                <w:kern w:val="0"/>
                <w:sz w:val="22"/>
              </w:rPr>
              <w:t>合计</w:t>
            </w:r>
          </w:p>
        </w:tc>
        <w:tc>
          <w:tcPr>
            <w:tcW w:w="1261"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hint="eastAsia" w:ascii="宋体" w:hAnsi="宋体" w:cs="宋体"/>
                <w:color w:val="000000"/>
                <w:kern w:val="0"/>
                <w:sz w:val="22"/>
              </w:rPr>
              <w:t>因公出国（境）费</w:t>
            </w:r>
          </w:p>
        </w:tc>
        <w:tc>
          <w:tcPr>
            <w:tcW w:w="3783" w:type="dxa"/>
            <w:gridSpan w:val="3"/>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hint="eastAsia" w:ascii="宋体" w:hAnsi="宋体" w:cs="宋体"/>
                <w:color w:val="000000"/>
                <w:kern w:val="0"/>
                <w:sz w:val="22"/>
              </w:rPr>
              <w:t>公务用车购置及运行维护费</w:t>
            </w:r>
          </w:p>
        </w:tc>
        <w:tc>
          <w:tcPr>
            <w:tcW w:w="1270" w:type="dxa"/>
            <w:vMerge w:val="restar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hint="eastAsia" w:ascii="宋体" w:hAnsi="宋体" w:cs="宋体"/>
                <w:color w:val="000000"/>
                <w:kern w:val="0"/>
                <w:sz w:val="22"/>
              </w:rPr>
              <w:t>公务接待费</w:t>
            </w:r>
          </w:p>
        </w:tc>
      </w:tr>
      <w:tr>
        <w:tblPrEx>
          <w:tblLayout w:type="fixed"/>
          <w:tblCellMar>
            <w:top w:w="0" w:type="dxa"/>
            <w:left w:w="108" w:type="dxa"/>
            <w:bottom w:w="0" w:type="dxa"/>
            <w:right w:w="108" w:type="dxa"/>
          </w:tblCellMar>
        </w:tblPrEx>
        <w:trPr>
          <w:trHeight w:val="1274" w:hRule="atLeast"/>
        </w:trPr>
        <w:tc>
          <w:tcPr>
            <w:tcW w:w="1260"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2"/>
              </w:rPr>
            </w:pPr>
          </w:p>
        </w:tc>
        <w:tc>
          <w:tcPr>
            <w:tcW w:w="1261"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2"/>
              </w:rPr>
            </w:pP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hint="eastAsia" w:ascii="宋体" w:hAnsi="宋体" w:cs="宋体"/>
                <w:color w:val="000000"/>
                <w:kern w:val="0"/>
                <w:sz w:val="22"/>
              </w:rPr>
              <w:t>小计</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hint="eastAsia" w:ascii="宋体" w:hAnsi="宋体" w:cs="宋体"/>
                <w:color w:val="000000"/>
                <w:kern w:val="0"/>
                <w:sz w:val="22"/>
              </w:rPr>
              <w:t>公务用车</w:t>
            </w:r>
            <w:r>
              <w:rPr>
                <w:rFonts w:ascii="宋体" w:cs="宋体"/>
                <w:color w:val="000000"/>
                <w:kern w:val="0"/>
                <w:sz w:val="22"/>
              </w:rPr>
              <w:br w:type="textWrapping"/>
            </w:r>
            <w:r>
              <w:rPr>
                <w:rFonts w:hint="eastAsia" w:ascii="宋体" w:hAnsi="宋体" w:cs="宋体"/>
                <w:color w:val="000000"/>
                <w:kern w:val="0"/>
                <w:sz w:val="22"/>
              </w:rPr>
              <w:t>购置费</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hint="eastAsia" w:ascii="宋体" w:hAnsi="宋体" w:cs="宋体"/>
                <w:color w:val="000000"/>
                <w:kern w:val="0"/>
                <w:sz w:val="22"/>
              </w:rPr>
              <w:t>公务用车</w:t>
            </w:r>
            <w:r>
              <w:rPr>
                <w:rFonts w:ascii="宋体" w:cs="宋体"/>
                <w:color w:val="000000"/>
                <w:kern w:val="0"/>
                <w:sz w:val="22"/>
              </w:rPr>
              <w:br w:type="textWrapping"/>
            </w:r>
            <w:r>
              <w:rPr>
                <w:rFonts w:hint="eastAsia" w:ascii="宋体" w:hAnsi="宋体" w:cs="宋体"/>
                <w:color w:val="000000"/>
                <w:kern w:val="0"/>
                <w:sz w:val="22"/>
              </w:rPr>
              <w:t>运行维护费</w:t>
            </w:r>
          </w:p>
        </w:tc>
        <w:tc>
          <w:tcPr>
            <w:tcW w:w="1261"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2"/>
              </w:rPr>
            </w:pPr>
          </w:p>
        </w:tc>
        <w:tc>
          <w:tcPr>
            <w:tcW w:w="1261"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2"/>
              </w:rPr>
            </w:pPr>
          </w:p>
        </w:tc>
        <w:tc>
          <w:tcPr>
            <w:tcW w:w="1261"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2"/>
              </w:rPr>
            </w:pP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hint="eastAsia" w:ascii="宋体" w:hAnsi="宋体" w:cs="宋体"/>
                <w:color w:val="000000"/>
                <w:kern w:val="0"/>
                <w:sz w:val="22"/>
              </w:rPr>
              <w:t>小计</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hint="eastAsia" w:ascii="宋体" w:hAnsi="宋体" w:cs="宋体"/>
                <w:color w:val="000000"/>
                <w:kern w:val="0"/>
                <w:sz w:val="22"/>
              </w:rPr>
              <w:t>公务用车</w:t>
            </w:r>
            <w:r>
              <w:rPr>
                <w:rFonts w:ascii="宋体" w:cs="宋体"/>
                <w:color w:val="000000"/>
                <w:kern w:val="0"/>
                <w:sz w:val="22"/>
              </w:rPr>
              <w:br w:type="textWrapping"/>
            </w:r>
            <w:r>
              <w:rPr>
                <w:rFonts w:hint="eastAsia" w:ascii="宋体" w:hAnsi="宋体" w:cs="宋体"/>
                <w:color w:val="000000"/>
                <w:kern w:val="0"/>
                <w:sz w:val="22"/>
              </w:rPr>
              <w:t>购置费</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hint="eastAsia" w:ascii="宋体" w:hAnsi="宋体" w:cs="宋体"/>
                <w:color w:val="000000"/>
                <w:kern w:val="0"/>
                <w:sz w:val="22"/>
              </w:rPr>
              <w:t>公务用车</w:t>
            </w:r>
            <w:r>
              <w:rPr>
                <w:rFonts w:ascii="宋体" w:cs="宋体"/>
                <w:color w:val="000000"/>
                <w:kern w:val="0"/>
                <w:sz w:val="22"/>
              </w:rPr>
              <w:br w:type="textWrapping"/>
            </w:r>
            <w:r>
              <w:rPr>
                <w:rFonts w:hint="eastAsia" w:ascii="宋体" w:hAnsi="宋体" w:cs="宋体"/>
                <w:color w:val="000000"/>
                <w:kern w:val="0"/>
                <w:sz w:val="22"/>
              </w:rPr>
              <w:t>运行维护费</w:t>
            </w:r>
          </w:p>
        </w:tc>
        <w:tc>
          <w:tcPr>
            <w:tcW w:w="1270" w:type="dxa"/>
            <w:vMerge w:val="continue"/>
            <w:tcBorders>
              <w:top w:val="single" w:color="000000" w:sz="4" w:space="0"/>
              <w:left w:val="single" w:color="000000" w:sz="4" w:space="0"/>
              <w:bottom w:val="single" w:color="000000" w:sz="4" w:space="0"/>
              <w:right w:val="single" w:color="000000" w:sz="4" w:space="0"/>
            </w:tcBorders>
            <w:vAlign w:val="center"/>
          </w:tcPr>
          <w:p>
            <w:pPr>
              <w:jc w:val="center"/>
              <w:rPr>
                <w:rFonts w:ascii="宋体" w:cs="宋体"/>
                <w:color w:val="000000"/>
                <w:sz w:val="22"/>
              </w:rPr>
            </w:pPr>
          </w:p>
        </w:tc>
      </w:tr>
      <w:tr>
        <w:tblPrEx>
          <w:tblLayout w:type="fixed"/>
          <w:tblCellMar>
            <w:top w:w="0" w:type="dxa"/>
            <w:left w:w="108" w:type="dxa"/>
            <w:bottom w:w="0" w:type="dxa"/>
            <w:right w:w="108" w:type="dxa"/>
          </w:tblCellMar>
        </w:tblPrEx>
        <w:trPr>
          <w:trHeight w:val="766" w:hRule="atLeast"/>
        </w:trPr>
        <w:tc>
          <w:tcPr>
            <w:tcW w:w="126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ascii="宋体" w:hAnsi="宋体" w:cs="宋体"/>
                <w:color w:val="000000"/>
                <w:kern w:val="0"/>
                <w:sz w:val="22"/>
              </w:rPr>
              <w:t>1</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ascii="宋体" w:hAnsi="宋体" w:cs="宋体"/>
                <w:color w:val="000000"/>
                <w:kern w:val="0"/>
                <w:sz w:val="22"/>
              </w:rPr>
              <w:t>2</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ascii="宋体" w:hAnsi="宋体" w:cs="宋体"/>
                <w:color w:val="000000"/>
                <w:kern w:val="0"/>
                <w:sz w:val="22"/>
              </w:rPr>
              <w:t>3</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ascii="宋体" w:hAnsi="宋体" w:cs="宋体"/>
                <w:color w:val="000000"/>
                <w:kern w:val="0"/>
                <w:sz w:val="22"/>
              </w:rPr>
              <w:t>4</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ascii="宋体" w:hAnsi="宋体" w:cs="宋体"/>
                <w:color w:val="000000"/>
                <w:kern w:val="0"/>
                <w:sz w:val="22"/>
              </w:rPr>
              <w:t>5</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ascii="宋体" w:hAnsi="宋体" w:cs="宋体"/>
                <w:color w:val="000000"/>
                <w:kern w:val="0"/>
                <w:sz w:val="22"/>
              </w:rPr>
              <w:t>6</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ascii="宋体" w:hAnsi="宋体" w:cs="宋体"/>
                <w:color w:val="000000"/>
                <w:kern w:val="0"/>
                <w:sz w:val="22"/>
              </w:rPr>
              <w:t>7</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ascii="宋体" w:hAnsi="宋体" w:cs="宋体"/>
                <w:color w:val="000000"/>
                <w:kern w:val="0"/>
                <w:sz w:val="22"/>
              </w:rPr>
              <w:t>8</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ascii="宋体" w:hAnsi="宋体" w:cs="宋体"/>
                <w:color w:val="000000"/>
                <w:kern w:val="0"/>
                <w:sz w:val="22"/>
              </w:rPr>
              <w:t>9</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ascii="宋体" w:hAnsi="宋体" w:cs="宋体"/>
                <w:color w:val="000000"/>
                <w:kern w:val="0"/>
                <w:sz w:val="22"/>
              </w:rPr>
              <w:t>10</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ascii="宋体" w:hAnsi="宋体" w:cs="宋体"/>
                <w:color w:val="000000"/>
                <w:kern w:val="0"/>
                <w:sz w:val="22"/>
              </w:rPr>
              <w:t>11</w:t>
            </w:r>
          </w:p>
        </w:tc>
        <w:tc>
          <w:tcPr>
            <w:tcW w:w="127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cs="宋体"/>
                <w:color w:val="000000"/>
                <w:sz w:val="22"/>
              </w:rPr>
            </w:pPr>
            <w:r>
              <w:rPr>
                <w:rFonts w:ascii="宋体" w:hAnsi="宋体" w:cs="宋体"/>
                <w:color w:val="000000"/>
                <w:kern w:val="0"/>
                <w:sz w:val="22"/>
              </w:rPr>
              <w:t>12</w:t>
            </w:r>
          </w:p>
        </w:tc>
      </w:tr>
      <w:tr>
        <w:tblPrEx>
          <w:tblLayout w:type="fixed"/>
          <w:tblCellMar>
            <w:top w:w="0" w:type="dxa"/>
            <w:left w:w="108" w:type="dxa"/>
            <w:bottom w:w="0" w:type="dxa"/>
            <w:right w:w="108" w:type="dxa"/>
          </w:tblCellMar>
        </w:tblPrEx>
        <w:trPr>
          <w:trHeight w:val="1165" w:hRule="atLeast"/>
        </w:trPr>
        <w:tc>
          <w:tcPr>
            <w:tcW w:w="1260" w:type="dxa"/>
            <w:tcBorders>
              <w:top w:val="single" w:color="000000" w:sz="4" w:space="0"/>
              <w:left w:val="single" w:color="000000" w:sz="4" w:space="0"/>
              <w:bottom w:val="single" w:color="000000" w:sz="4" w:space="0"/>
              <w:right w:val="single" w:color="000000" w:sz="4" w:space="0"/>
            </w:tcBorders>
            <w:vAlign w:val="center"/>
          </w:tcPr>
          <w:p>
            <w:pPr>
              <w:widowControl/>
              <w:jc w:val="right"/>
              <w:textAlignment w:val="center"/>
              <w:rPr>
                <w:rFonts w:ascii="宋体" w:cs="宋体"/>
                <w:color w:val="000000"/>
                <w:sz w:val="22"/>
              </w:rPr>
            </w:pPr>
            <w:r>
              <w:rPr>
                <w:rFonts w:ascii="宋体" w:hAnsi="宋体" w:cs="宋体"/>
                <w:color w:val="000000"/>
                <w:kern w:val="0"/>
                <w:sz w:val="22"/>
              </w:rPr>
              <w:t>9.40</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right"/>
              <w:textAlignment w:val="center"/>
              <w:rPr>
                <w:rFonts w:ascii="宋体" w:cs="宋体"/>
                <w:color w:val="000000"/>
                <w:sz w:val="22"/>
              </w:rPr>
            </w:pPr>
            <w:r>
              <w:rPr>
                <w:rFonts w:ascii="宋体" w:hAnsi="宋体" w:cs="宋体"/>
                <w:color w:val="000000"/>
                <w:kern w:val="0"/>
                <w:sz w:val="22"/>
              </w:rPr>
              <w:t>5.00</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right"/>
              <w:textAlignment w:val="center"/>
              <w:rPr>
                <w:rFonts w:ascii="宋体" w:cs="宋体"/>
                <w:color w:val="000000"/>
                <w:sz w:val="22"/>
              </w:rPr>
            </w:pPr>
            <w:r>
              <w:rPr>
                <w:rFonts w:ascii="宋体" w:hAnsi="宋体" w:cs="宋体"/>
                <w:color w:val="000000"/>
                <w:kern w:val="0"/>
                <w:sz w:val="22"/>
              </w:rPr>
              <w:t>1.00</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right"/>
              <w:textAlignment w:val="center"/>
              <w:rPr>
                <w:rFonts w:ascii="宋体" w:cs="宋体"/>
                <w:color w:val="000000"/>
                <w:sz w:val="22"/>
              </w:rPr>
            </w:pPr>
            <w:r>
              <w:rPr>
                <w:rFonts w:ascii="宋体" w:cs="宋体"/>
                <w:color w:val="000000"/>
                <w:kern w:val="0"/>
                <w:sz w:val="22"/>
              </w:rPr>
              <w:t>0.00</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right"/>
              <w:textAlignment w:val="center"/>
              <w:rPr>
                <w:rFonts w:ascii="宋体" w:cs="宋体"/>
                <w:color w:val="000000"/>
                <w:sz w:val="22"/>
              </w:rPr>
            </w:pPr>
            <w:r>
              <w:rPr>
                <w:rFonts w:ascii="宋体" w:hAnsi="宋体" w:cs="宋体"/>
                <w:color w:val="000000"/>
                <w:kern w:val="0"/>
                <w:sz w:val="22"/>
              </w:rPr>
              <w:t>1.00</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right"/>
              <w:textAlignment w:val="center"/>
              <w:rPr>
                <w:rFonts w:ascii="宋体" w:cs="宋体"/>
                <w:color w:val="000000"/>
                <w:sz w:val="22"/>
              </w:rPr>
            </w:pPr>
            <w:r>
              <w:rPr>
                <w:rFonts w:ascii="宋体" w:hAnsi="宋体" w:cs="宋体"/>
                <w:color w:val="000000"/>
                <w:kern w:val="0"/>
                <w:sz w:val="22"/>
              </w:rPr>
              <w:t>3.40</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right"/>
              <w:textAlignment w:val="center"/>
              <w:rPr>
                <w:rFonts w:ascii="宋体" w:cs="宋体"/>
                <w:color w:val="000000"/>
                <w:sz w:val="22"/>
              </w:rPr>
            </w:pPr>
            <w:r>
              <w:rPr>
                <w:rFonts w:ascii="宋体" w:hAnsi="宋体" w:cs="宋体"/>
                <w:color w:val="000000"/>
                <w:kern w:val="0"/>
                <w:sz w:val="22"/>
              </w:rPr>
              <w:t>0.90</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right"/>
              <w:textAlignment w:val="center"/>
              <w:rPr>
                <w:rFonts w:ascii="宋体" w:cs="宋体"/>
                <w:color w:val="000000"/>
                <w:sz w:val="22"/>
              </w:rPr>
            </w:pPr>
            <w:r>
              <w:rPr>
                <w:rFonts w:ascii="宋体" w:cs="宋体"/>
                <w:color w:val="000000"/>
                <w:kern w:val="0"/>
                <w:sz w:val="22"/>
              </w:rPr>
              <w:t>0.00</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right"/>
              <w:textAlignment w:val="center"/>
              <w:rPr>
                <w:rFonts w:ascii="宋体" w:cs="宋体"/>
                <w:color w:val="000000"/>
                <w:sz w:val="22"/>
              </w:rPr>
            </w:pPr>
            <w:r>
              <w:rPr>
                <w:rFonts w:ascii="宋体" w:hAnsi="宋体" w:cs="宋体"/>
                <w:color w:val="000000"/>
                <w:kern w:val="0"/>
                <w:sz w:val="22"/>
              </w:rPr>
              <w:t>0.58</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right"/>
              <w:textAlignment w:val="center"/>
              <w:rPr>
                <w:rFonts w:ascii="宋体" w:cs="宋体"/>
                <w:color w:val="000000"/>
                <w:sz w:val="22"/>
              </w:rPr>
            </w:pPr>
            <w:r>
              <w:rPr>
                <w:rFonts w:ascii="宋体" w:cs="宋体"/>
                <w:color w:val="000000"/>
                <w:kern w:val="0"/>
                <w:sz w:val="22"/>
              </w:rPr>
              <w:t>0.00</w:t>
            </w:r>
          </w:p>
        </w:tc>
        <w:tc>
          <w:tcPr>
            <w:tcW w:w="1261" w:type="dxa"/>
            <w:tcBorders>
              <w:top w:val="single" w:color="000000" w:sz="4" w:space="0"/>
              <w:left w:val="single" w:color="000000" w:sz="4" w:space="0"/>
              <w:bottom w:val="single" w:color="000000" w:sz="4" w:space="0"/>
              <w:right w:val="single" w:color="000000" w:sz="4" w:space="0"/>
            </w:tcBorders>
            <w:vAlign w:val="center"/>
          </w:tcPr>
          <w:p>
            <w:pPr>
              <w:widowControl/>
              <w:jc w:val="right"/>
              <w:textAlignment w:val="center"/>
              <w:rPr>
                <w:rFonts w:ascii="宋体" w:cs="宋体"/>
                <w:color w:val="000000"/>
                <w:sz w:val="22"/>
              </w:rPr>
            </w:pPr>
            <w:r>
              <w:rPr>
                <w:rFonts w:ascii="宋体" w:hAnsi="宋体" w:cs="宋体"/>
                <w:color w:val="000000"/>
                <w:kern w:val="0"/>
                <w:sz w:val="22"/>
              </w:rPr>
              <w:t>0.58</w:t>
            </w:r>
          </w:p>
        </w:tc>
        <w:tc>
          <w:tcPr>
            <w:tcW w:w="1270" w:type="dxa"/>
            <w:tcBorders>
              <w:top w:val="single" w:color="000000" w:sz="4" w:space="0"/>
              <w:left w:val="single" w:color="000000" w:sz="4" w:space="0"/>
              <w:bottom w:val="single" w:color="000000" w:sz="4" w:space="0"/>
              <w:right w:val="single" w:color="000000" w:sz="4" w:space="0"/>
            </w:tcBorders>
            <w:vAlign w:val="center"/>
          </w:tcPr>
          <w:p>
            <w:pPr>
              <w:widowControl/>
              <w:jc w:val="right"/>
              <w:textAlignment w:val="center"/>
              <w:rPr>
                <w:rFonts w:ascii="宋体" w:cs="宋体"/>
                <w:color w:val="000000"/>
                <w:sz w:val="22"/>
              </w:rPr>
            </w:pPr>
            <w:r>
              <w:rPr>
                <w:rFonts w:ascii="宋体" w:hAnsi="宋体" w:cs="宋体"/>
                <w:color w:val="000000"/>
                <w:kern w:val="0"/>
                <w:sz w:val="22"/>
              </w:rPr>
              <w:t>0.32</w:t>
            </w:r>
          </w:p>
        </w:tc>
      </w:tr>
      <w:tr>
        <w:tblPrEx>
          <w:tblLayout w:type="fixed"/>
          <w:tblCellMar>
            <w:top w:w="0" w:type="dxa"/>
            <w:left w:w="108" w:type="dxa"/>
            <w:bottom w:w="0" w:type="dxa"/>
            <w:right w:w="108" w:type="dxa"/>
          </w:tblCellMar>
        </w:tblPrEx>
        <w:trPr>
          <w:trHeight w:val="1226" w:hRule="atLeast"/>
        </w:trPr>
        <w:tc>
          <w:tcPr>
            <w:tcW w:w="15140" w:type="dxa"/>
            <w:gridSpan w:val="12"/>
            <w:tcBorders>
              <w:top w:val="nil"/>
              <w:left w:val="nil"/>
              <w:bottom w:val="nil"/>
              <w:right w:val="nil"/>
            </w:tcBorders>
            <w:vAlign w:val="center"/>
          </w:tcPr>
          <w:p>
            <w:pPr>
              <w:widowControl/>
              <w:jc w:val="left"/>
              <w:textAlignment w:val="center"/>
              <w:rPr>
                <w:rFonts w:ascii="宋体" w:cs="宋体"/>
                <w:color w:val="000000"/>
                <w:sz w:val="24"/>
                <w:szCs w:val="24"/>
              </w:rPr>
            </w:pPr>
            <w:r>
              <w:rPr>
                <w:rFonts w:hint="eastAsia" w:ascii="宋体" w:hAnsi="宋体" w:cs="宋体"/>
                <w:color w:val="000000"/>
                <w:kern w:val="0"/>
                <w:sz w:val="24"/>
                <w:szCs w:val="24"/>
              </w:rPr>
              <w:t>注：本表反映部门本年度财政拨款“三公”经费支出预决算情况。其中，预算数为“三公”经费全年预算数，反映按规定程序调整后的预算数；决算数是包括当年财政拨款和以前年度结转资金安排的实际支出。</w:t>
            </w:r>
          </w:p>
        </w:tc>
      </w:tr>
    </w:tbl>
    <w:p>
      <w:pPr>
        <w:autoSpaceDE w:val="0"/>
        <w:autoSpaceDN w:val="0"/>
        <w:adjustRightInd w:val="0"/>
        <w:ind w:left="315" w:leftChars="150"/>
        <w:jc w:val="left"/>
        <w:rPr>
          <w:rFonts w:ascii="宋体" w:cs="宋体"/>
          <w:kern w:val="0"/>
          <w:sz w:val="24"/>
          <w:szCs w:val="24"/>
        </w:rPr>
      </w:pPr>
    </w:p>
    <w:p>
      <w:pPr>
        <w:autoSpaceDE w:val="0"/>
        <w:autoSpaceDN w:val="0"/>
        <w:adjustRightInd w:val="0"/>
        <w:ind w:left="315" w:leftChars="150"/>
        <w:jc w:val="left"/>
        <w:rPr>
          <w:rFonts w:ascii="宋体" w:cs="宋体"/>
          <w:kern w:val="0"/>
          <w:sz w:val="24"/>
          <w:szCs w:val="24"/>
        </w:rPr>
      </w:pPr>
    </w:p>
    <w:p>
      <w:pPr>
        <w:autoSpaceDE w:val="0"/>
        <w:autoSpaceDN w:val="0"/>
        <w:adjustRightInd w:val="0"/>
        <w:ind w:left="315" w:leftChars="150"/>
        <w:jc w:val="left"/>
        <w:rPr>
          <w:rFonts w:ascii="宋体" w:cs="宋体"/>
          <w:kern w:val="0"/>
          <w:sz w:val="24"/>
          <w:szCs w:val="24"/>
        </w:rPr>
      </w:pPr>
    </w:p>
    <w:p>
      <w:pPr>
        <w:widowControl/>
        <w:rPr>
          <w:sz w:val="72"/>
          <w:szCs w:val="72"/>
        </w:rPr>
        <w:sectPr>
          <w:pgSz w:w="16838" w:h="11906" w:orient="landscape"/>
          <w:pgMar w:top="720" w:right="720" w:bottom="720" w:left="720" w:header="851" w:footer="992" w:gutter="0"/>
          <w:cols w:space="425" w:num="1"/>
          <w:docGrid w:type="lines" w:linePitch="312" w:charSpace="0"/>
        </w:sectPr>
      </w:pPr>
    </w:p>
    <w:p>
      <w:pPr>
        <w:pStyle w:val="15"/>
        <w:rPr>
          <w:sz w:val="72"/>
          <w:szCs w:val="72"/>
        </w:rPr>
      </w:pPr>
    </w:p>
    <w:p>
      <w:pPr>
        <w:pStyle w:val="15"/>
        <w:rPr>
          <w:sz w:val="72"/>
          <w:szCs w:val="72"/>
        </w:rPr>
      </w:pPr>
    </w:p>
    <w:p>
      <w:pPr>
        <w:pStyle w:val="15"/>
        <w:rPr>
          <w:sz w:val="72"/>
          <w:szCs w:val="72"/>
        </w:rPr>
      </w:pPr>
    </w:p>
    <w:p>
      <w:pPr>
        <w:pStyle w:val="15"/>
        <w:rPr>
          <w:sz w:val="72"/>
          <w:szCs w:val="72"/>
        </w:rPr>
      </w:pPr>
    </w:p>
    <w:p>
      <w:pPr>
        <w:pStyle w:val="15"/>
        <w:jc w:val="center"/>
        <w:rPr>
          <w:sz w:val="72"/>
          <w:szCs w:val="72"/>
        </w:rPr>
      </w:pPr>
    </w:p>
    <w:p>
      <w:pPr>
        <w:pStyle w:val="15"/>
        <w:jc w:val="center"/>
        <w:rPr>
          <w:rFonts w:ascii="方正小标宋_GBK" w:hAnsi="方正小标宋_GBK" w:eastAsia="方正小标宋_GBK" w:cs="方正小标宋_GBK"/>
          <w:sz w:val="72"/>
          <w:szCs w:val="72"/>
        </w:rPr>
      </w:pPr>
    </w:p>
    <w:p>
      <w:pPr>
        <w:pStyle w:val="15"/>
        <w:jc w:val="center"/>
        <w:rPr>
          <w:rFonts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第三部分</w:t>
      </w:r>
    </w:p>
    <w:p>
      <w:pPr>
        <w:pStyle w:val="15"/>
        <w:jc w:val="center"/>
        <w:rPr>
          <w:rFonts w:ascii="方正小标宋_GBK" w:hAnsi="方正小标宋_GBK" w:eastAsia="方正小标宋_GBK" w:cs="方正小标宋_GBK"/>
          <w:sz w:val="72"/>
          <w:szCs w:val="72"/>
        </w:rPr>
      </w:pPr>
    </w:p>
    <w:p>
      <w:pPr>
        <w:pStyle w:val="15"/>
        <w:jc w:val="center"/>
        <w:rPr>
          <w:rFonts w:hint="eastAsia" w:ascii="方正小标宋_GBK" w:hAnsi="方正小标宋_GBK" w:eastAsia="方正小标宋_GBK" w:cs="方正小标宋_GBK"/>
          <w:sz w:val="72"/>
          <w:szCs w:val="72"/>
        </w:rPr>
      </w:pPr>
      <w:r>
        <w:rPr>
          <w:rFonts w:ascii="方正小标宋_GBK" w:hAnsi="方正小标宋_GBK" w:eastAsia="方正小标宋_GBK" w:cs="方正小标宋_GBK"/>
          <w:sz w:val="72"/>
          <w:szCs w:val="72"/>
        </w:rPr>
        <w:t>2022</w:t>
      </w:r>
      <w:r>
        <w:rPr>
          <w:rFonts w:hint="eastAsia" w:ascii="方正小标宋_GBK" w:hAnsi="方正小标宋_GBK" w:eastAsia="方正小标宋_GBK" w:cs="方正小标宋_GBK"/>
          <w:sz w:val="72"/>
          <w:szCs w:val="72"/>
        </w:rPr>
        <w:t>年度部门决算情况</w:t>
      </w:r>
    </w:p>
    <w:p>
      <w:pPr>
        <w:pStyle w:val="15"/>
        <w:jc w:val="center"/>
        <w:rPr>
          <w:rFonts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说</w:t>
      </w:r>
      <w:r>
        <w:rPr>
          <w:rFonts w:hint="eastAsia" w:ascii="方正小标宋_GBK" w:hAnsi="方正小标宋_GBK" w:eastAsia="方正小标宋_GBK" w:cs="方正小标宋_GBK"/>
          <w:sz w:val="72"/>
          <w:szCs w:val="72"/>
          <w:lang w:val="en-US" w:eastAsia="zh-CN"/>
        </w:rPr>
        <w:t xml:space="preserve"> </w:t>
      </w:r>
      <w:r>
        <w:rPr>
          <w:rFonts w:hint="eastAsia" w:ascii="方正小标宋_GBK" w:hAnsi="方正小标宋_GBK" w:eastAsia="方正小标宋_GBK" w:cs="方正小标宋_GBK"/>
          <w:sz w:val="72"/>
          <w:szCs w:val="72"/>
        </w:rPr>
        <w:t>明</w:t>
      </w:r>
    </w:p>
    <w:p>
      <w:pPr>
        <w:widowControl/>
        <w:jc w:val="left"/>
        <w:rPr>
          <w:rFonts w:ascii="宋体"/>
          <w:sz w:val="32"/>
          <w:szCs w:val="32"/>
        </w:rPr>
      </w:pPr>
      <w:r>
        <w:br w:type="page"/>
      </w:r>
    </w:p>
    <w:p>
      <w:pPr>
        <w:pStyle w:val="15"/>
        <w:spacing w:line="600" w:lineRule="exact"/>
        <w:ind w:firstLine="640" w:firstLineChars="200"/>
        <w:rPr>
          <w:rFonts w:hAnsi="黑体"/>
          <w:bCs/>
          <w:sz w:val="32"/>
          <w:szCs w:val="32"/>
        </w:rPr>
      </w:pPr>
      <w:r>
        <w:rPr>
          <w:rFonts w:hint="eastAsia" w:hAnsi="黑体"/>
          <w:bCs/>
          <w:sz w:val="32"/>
          <w:szCs w:val="32"/>
        </w:rPr>
        <w:t>一、收入支出决算总体情况说明</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2022年度收、支总计3161.98万元。与上年相比，增加933.99万元，增长41.92%，主要是因为增加了</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五彩湘茶”、“湘九味”中药材特色优势产业集群信息系统等项目经费。</w:t>
      </w:r>
    </w:p>
    <w:p>
      <w:pPr>
        <w:pStyle w:val="15"/>
        <w:spacing w:line="600" w:lineRule="exact"/>
        <w:ind w:firstLine="640" w:firstLineChars="200"/>
        <w:rPr>
          <w:rFonts w:hAnsi="黑体"/>
          <w:bCs/>
          <w:sz w:val="32"/>
          <w:szCs w:val="32"/>
        </w:rPr>
      </w:pPr>
      <w:r>
        <w:rPr>
          <w:rFonts w:hint="eastAsia" w:hAnsi="黑体"/>
          <w:bCs/>
          <w:sz w:val="32"/>
          <w:szCs w:val="32"/>
        </w:rPr>
        <w:t>二、收入决算情况说明</w:t>
      </w:r>
    </w:p>
    <w:p>
      <w:pPr>
        <w:pStyle w:val="15"/>
        <w:spacing w:line="600" w:lineRule="exact"/>
        <w:ind w:firstLine="640" w:firstLineChars="200"/>
        <w:rPr>
          <w:rFonts w:ascii="Times New Roman" w:hAnsi="Times New Roman" w:eastAsia="仿宋_GB2312"/>
          <w:sz w:val="32"/>
          <w:szCs w:val="32"/>
        </w:rPr>
      </w:pPr>
      <w:r>
        <w:rPr>
          <w:rFonts w:hint="eastAsia" w:ascii="仿宋_GB2312" w:hAnsi="仿宋_GB2312" w:eastAsia="仿宋_GB2312" w:cs="仿宋_GB2312"/>
          <w:sz w:val="32"/>
          <w:szCs w:val="32"/>
        </w:rPr>
        <w:t>2022年度收入合计1917.75万元，其中：财政拨款收入1917.75万元，占100%；上级补助收入0万元，占0%；事业收入0万元，占0%；经营收入0万元，占0%；附属单位上缴收入0万元，占0%；其他收入0万元，占0%。</w:t>
      </w:r>
    </w:p>
    <w:p>
      <w:pPr>
        <w:pStyle w:val="15"/>
        <w:spacing w:line="600" w:lineRule="exact"/>
        <w:ind w:firstLine="640" w:firstLineChars="200"/>
        <w:rPr>
          <w:rFonts w:hAnsi="黑体"/>
          <w:bCs/>
          <w:sz w:val="32"/>
          <w:szCs w:val="32"/>
        </w:rPr>
      </w:pPr>
      <w:r>
        <w:rPr>
          <w:rFonts w:hint="eastAsia" w:hAnsi="黑体"/>
          <w:bCs/>
          <w:sz w:val="32"/>
          <w:szCs w:val="32"/>
        </w:rPr>
        <w:t>三、支出决算情况说明</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2022年度支出合计1668.49万元，其中：基本支出231.77万元，占13.89%；项目支出1436.72万元，占86.11%；上缴上级支出0万元，占0%；经营支出0万元，占0%；对附属单位补助支出0万元，占0%。</w:t>
      </w:r>
    </w:p>
    <w:p>
      <w:pPr>
        <w:pStyle w:val="15"/>
        <w:spacing w:line="600" w:lineRule="exact"/>
        <w:ind w:firstLine="640" w:firstLineChars="200"/>
        <w:rPr>
          <w:rFonts w:hAnsi="黑体"/>
          <w:bCs/>
          <w:sz w:val="32"/>
          <w:szCs w:val="32"/>
        </w:rPr>
      </w:pPr>
      <w:r>
        <w:rPr>
          <w:rFonts w:hint="eastAsia" w:hAnsi="黑体"/>
          <w:bCs/>
          <w:sz w:val="32"/>
          <w:szCs w:val="32"/>
        </w:rPr>
        <w:t>四、财政拨款收入支出决算总体情况说明</w:t>
      </w:r>
    </w:p>
    <w:p>
      <w:pPr>
        <w:pStyle w:val="15"/>
        <w:spacing w:line="600" w:lineRule="exact"/>
        <w:rPr>
          <w:rFonts w:hint="eastAsia" w:ascii="仿宋_GB2312" w:hAnsi="仿宋_GB2312" w:eastAsia="仿宋_GB2312" w:cs="仿宋_GB2312"/>
          <w:sz w:val="32"/>
          <w:szCs w:val="32"/>
        </w:rPr>
      </w:pPr>
      <w:r>
        <w:rPr>
          <w:rFonts w:ascii="Times New Roman" w:hAnsi="Times New Roman" w:eastAsia="仿宋_GB2312"/>
          <w:sz w:val="32"/>
          <w:szCs w:val="32"/>
        </w:rPr>
        <w:t xml:space="preserve">    </w:t>
      </w:r>
      <w:r>
        <w:rPr>
          <w:rFonts w:hint="eastAsia" w:ascii="仿宋_GB2312" w:hAnsi="仿宋_GB2312" w:eastAsia="仿宋_GB2312" w:cs="仿宋_GB2312"/>
          <w:sz w:val="32"/>
          <w:szCs w:val="32"/>
        </w:rPr>
        <w:t>2022年度财政拨款收、支总计3161.98万元，与上年相比，增加888.05万元,增长39.05%，主要是因为增加了</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五彩湘茶”、“湘九味”中药材特色优势产业集群信息系统等项目经费。</w:t>
      </w:r>
    </w:p>
    <w:p>
      <w:pPr>
        <w:pStyle w:val="15"/>
        <w:spacing w:line="600" w:lineRule="exact"/>
        <w:ind w:firstLine="640" w:firstLineChars="200"/>
        <w:rPr>
          <w:rFonts w:hAnsi="黑体"/>
          <w:bCs/>
          <w:sz w:val="32"/>
          <w:szCs w:val="32"/>
        </w:rPr>
      </w:pPr>
      <w:r>
        <w:rPr>
          <w:rFonts w:hint="eastAsia" w:hAnsi="黑体"/>
          <w:bCs/>
          <w:sz w:val="32"/>
          <w:szCs w:val="32"/>
        </w:rPr>
        <w:t>五、一般公共预算财政拨款支出决算情况说明</w:t>
      </w:r>
    </w:p>
    <w:p>
      <w:pPr>
        <w:pStyle w:val="15"/>
        <w:spacing w:line="600" w:lineRule="exact"/>
        <w:ind w:firstLine="640" w:firstLineChars="200"/>
        <w:rPr>
          <w:rFonts w:ascii="楷体" w:hAnsi="楷体" w:eastAsia="楷体" w:cs="楷体"/>
          <w:bCs/>
          <w:sz w:val="32"/>
          <w:szCs w:val="32"/>
        </w:rPr>
      </w:pPr>
      <w:r>
        <w:rPr>
          <w:rFonts w:hint="eastAsia" w:ascii="楷体" w:hAnsi="楷体" w:eastAsia="楷体" w:cs="楷体"/>
          <w:bCs/>
          <w:sz w:val="32"/>
          <w:szCs w:val="32"/>
        </w:rPr>
        <w:t>（一）财政拨款支出决算总体情况</w:t>
      </w:r>
    </w:p>
    <w:p>
      <w:pPr>
        <w:pStyle w:val="15"/>
        <w:spacing w:line="600" w:lineRule="exact"/>
        <w:ind w:firstLine="800" w:firstLineChars="250"/>
        <w:rPr>
          <w:rFonts w:ascii="Times New Roman" w:hAnsi="Times New Roman" w:eastAsia="仿宋_GB2312"/>
          <w:sz w:val="32"/>
          <w:szCs w:val="32"/>
        </w:rPr>
      </w:pPr>
      <w:r>
        <w:rPr>
          <w:rFonts w:hint="eastAsia" w:ascii="仿宋_GB2312" w:hAnsi="仿宋_GB2312" w:eastAsia="仿宋_GB2312" w:cs="仿宋_GB2312"/>
          <w:sz w:val="32"/>
          <w:szCs w:val="32"/>
        </w:rPr>
        <w:t>2022年度财政拨款支出1668.49万元，占本年支出合计的100%，与上年相比，财政拨款支出增加722.78万元，增长76.43%，主要是因为增加了</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五彩湘茶”、“湘九味”中药材特色优势产业集群信息系统等项目支出。</w:t>
      </w:r>
    </w:p>
    <w:p>
      <w:pPr>
        <w:pStyle w:val="15"/>
        <w:spacing w:line="600" w:lineRule="exact"/>
        <w:ind w:firstLine="480" w:firstLineChars="150"/>
        <w:rPr>
          <w:rFonts w:ascii="楷体" w:hAnsi="楷体" w:eastAsia="楷体" w:cs="楷体"/>
          <w:bCs/>
          <w:sz w:val="32"/>
          <w:szCs w:val="32"/>
        </w:rPr>
      </w:pPr>
      <w:r>
        <w:rPr>
          <w:rFonts w:hint="eastAsia" w:ascii="楷体" w:hAnsi="楷体" w:eastAsia="楷体" w:cs="楷体"/>
          <w:bCs/>
          <w:sz w:val="32"/>
          <w:szCs w:val="32"/>
        </w:rPr>
        <w:t>（二）财政拨款支出决算结构情况</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2022年度财政拨款支出1668.49万元，主要用于以下方面：社会保障和就业（类）支出15.20万元，占0.91%；农林水（类）支出1653.29万元，占99.09%。</w:t>
      </w:r>
    </w:p>
    <w:p>
      <w:pPr>
        <w:pStyle w:val="15"/>
        <w:spacing w:line="600" w:lineRule="exact"/>
        <w:ind w:firstLine="800" w:firstLineChars="250"/>
        <w:rPr>
          <w:rFonts w:ascii="楷体" w:hAnsi="楷体" w:eastAsia="楷体" w:cs="楷体"/>
          <w:bCs/>
          <w:sz w:val="32"/>
          <w:szCs w:val="32"/>
        </w:rPr>
      </w:pPr>
      <w:r>
        <w:rPr>
          <w:rFonts w:hint="eastAsia" w:ascii="楷体" w:hAnsi="楷体" w:eastAsia="楷体" w:cs="楷体"/>
          <w:bCs/>
          <w:sz w:val="32"/>
          <w:szCs w:val="32"/>
        </w:rPr>
        <w:t>（三）财政拨款支出决算具体情况</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2022年度财政拨款支出年初预算数为1796.56万元，支出决算数为1668.49万元，完成年初预算的92.87%，其中：</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1、社会保障和就业（类）行政事业单位养老支出（款）机关事业单位基本养老保险缴费支出（项）。</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年初预算为15.20万元，支出决算15.20万元，完成年初预算的100%。</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2、农林水（类）农业农村（款）行政运行（项）。</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年初预算为0万元，支出决算为15.43万元，决算数大于年初预算数的主要原因是：年中追加绩效奖金。</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3、农林水（类）农业农村（款）事业运行（项）。</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年初预算为203.12万元，支出决算为201.14万元，完成年初预算的99.02%，决算数小于年初预算数的主要原因是：压缩公务接待活动，压减公务接待费用。</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4、农林水（类）农业农村（款）统计监测与信息服务（项）。</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年初预算为166.66万元，支出决算为115.50万元，完成年初预算的69.30%，决算数小于年初预算数的主要原因是：大数据中心尚未投运，致资金结余。</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5、农林水（类）农业农村（款）农业生产发展（项）。</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年初预算为1411.58万元，支出决算为1151.22万元，完成年初预算的81.55%，决算数小于年初预算数的主要原因是：政府采购项目跨年实施。</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6、农林水（类）农业农村（款）其他农业农村支出（项）。</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年初预算为0万元，支出决算为170.00万元，决算数大于年初预算数的主要原因是：年中追加</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五彩湘茶”、“湘九味”中药材特色优势产业集群信息系统等项目资金。</w:t>
      </w:r>
    </w:p>
    <w:p>
      <w:pPr>
        <w:pStyle w:val="15"/>
        <w:spacing w:line="600" w:lineRule="exact"/>
        <w:ind w:firstLine="640" w:firstLineChars="200"/>
        <w:rPr>
          <w:rFonts w:hAnsi="黑体"/>
          <w:bCs/>
          <w:sz w:val="32"/>
          <w:szCs w:val="32"/>
        </w:rPr>
      </w:pPr>
      <w:r>
        <w:rPr>
          <w:rFonts w:hint="eastAsia" w:hAnsi="黑体"/>
          <w:bCs/>
          <w:sz w:val="32"/>
          <w:szCs w:val="32"/>
        </w:rPr>
        <w:t>六、一般公共预算财政拨款基本支出决算情况说明</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2022年度财政拨款基本支出231.77万元，其中：</w:t>
      </w:r>
    </w:p>
    <w:p>
      <w:pPr>
        <w:pStyle w:val="15"/>
        <w:spacing w:line="600" w:lineRule="exact"/>
        <w:ind w:firstLine="643" w:firstLineChars="200"/>
        <w:rPr>
          <w:rFonts w:hint="eastAsia" w:ascii="仿宋_GB2312" w:hAnsi="仿宋_GB2312" w:eastAsia="仿宋_GB2312" w:cs="仿宋_GB2312"/>
          <w:sz w:val="32"/>
          <w:szCs w:val="32"/>
        </w:rPr>
      </w:pPr>
      <w:r>
        <w:rPr>
          <w:rFonts w:hint="eastAsia" w:ascii="仿宋_GB2312" w:hAnsi="仿宋_GB2312" w:eastAsia="仿宋_GB2312" w:cs="仿宋_GB2312"/>
          <w:b/>
          <w:bCs/>
          <w:sz w:val="32"/>
          <w:szCs w:val="32"/>
        </w:rPr>
        <w:t>人员经费</w:t>
      </w:r>
      <w:r>
        <w:rPr>
          <w:rFonts w:hint="eastAsia" w:ascii="仿宋_GB2312" w:hAnsi="仿宋_GB2312" w:eastAsia="仿宋_GB2312" w:cs="仿宋_GB2312"/>
          <w:sz w:val="32"/>
          <w:szCs w:val="32"/>
        </w:rPr>
        <w:t>221.98万元，占基本支出的95.78%,主要包括基本工资、津贴补贴、绩效工资、机关事业单位基本养老保险缴费、职工基本医疗保险缴费、公务员医疗补助缴费、住房公积金、退休费、奖励金等。</w:t>
      </w:r>
    </w:p>
    <w:p>
      <w:pPr>
        <w:pStyle w:val="15"/>
        <w:spacing w:line="600" w:lineRule="exact"/>
        <w:ind w:firstLine="643" w:firstLineChars="200"/>
        <w:rPr>
          <w:rFonts w:hint="eastAsia" w:ascii="仿宋_GB2312" w:hAnsi="仿宋_GB2312" w:eastAsia="仿宋_GB2312" w:cs="仿宋_GB2312"/>
          <w:sz w:val="32"/>
          <w:szCs w:val="32"/>
        </w:rPr>
      </w:pPr>
      <w:r>
        <w:rPr>
          <w:rFonts w:hint="eastAsia" w:ascii="仿宋_GB2312" w:hAnsi="仿宋_GB2312" w:eastAsia="仿宋_GB2312" w:cs="仿宋_GB2312"/>
          <w:b/>
          <w:bCs/>
          <w:sz w:val="32"/>
          <w:szCs w:val="32"/>
        </w:rPr>
        <w:t>公用经费</w:t>
      </w:r>
      <w:r>
        <w:rPr>
          <w:rFonts w:hint="eastAsia" w:ascii="仿宋_GB2312" w:hAnsi="仿宋_GB2312" w:eastAsia="仿宋_GB2312" w:cs="仿宋_GB2312"/>
          <w:sz w:val="32"/>
          <w:szCs w:val="32"/>
        </w:rPr>
        <w:t>9.79万元，占基本支出的4.22%，主要包括办公费、邮电费、差旅费、公务接待费、工会经费。</w:t>
      </w:r>
    </w:p>
    <w:p>
      <w:pPr>
        <w:pStyle w:val="15"/>
        <w:numPr>
          <w:ilvl w:val="0"/>
          <w:numId w:val="2"/>
        </w:numPr>
        <w:spacing w:line="600" w:lineRule="exact"/>
        <w:ind w:firstLine="640" w:firstLineChars="200"/>
        <w:rPr>
          <w:rFonts w:hAnsi="黑体"/>
          <w:bCs/>
          <w:sz w:val="32"/>
          <w:szCs w:val="32"/>
        </w:rPr>
      </w:pPr>
      <w:r>
        <w:rPr>
          <w:rFonts w:hint="eastAsia" w:hAnsi="黑体"/>
          <w:bCs/>
          <w:sz w:val="32"/>
          <w:szCs w:val="32"/>
        </w:rPr>
        <w:t>财政拨款三公经费支出决算情况说明</w:t>
      </w:r>
    </w:p>
    <w:p>
      <w:pPr>
        <w:pStyle w:val="15"/>
        <w:spacing w:line="600" w:lineRule="exact"/>
        <w:ind w:firstLine="643" w:firstLineChars="200"/>
        <w:rPr>
          <w:rFonts w:ascii="楷体" w:hAnsi="楷体" w:eastAsia="楷体" w:cs="楷体"/>
          <w:b/>
          <w:sz w:val="32"/>
          <w:szCs w:val="32"/>
        </w:rPr>
      </w:pPr>
      <w:r>
        <w:rPr>
          <w:rFonts w:hint="eastAsia" w:ascii="楷体" w:hAnsi="楷体" w:eastAsia="楷体" w:cs="楷体"/>
          <w:b/>
          <w:sz w:val="32"/>
          <w:szCs w:val="32"/>
        </w:rPr>
        <w:t>（一）“三公”经费财政拨款支出决算总体情况说明</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“三公”经费财政拨款支出预算为9.40万元，支出决算为0.90万元，完成预算的9.57%，其中：</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因公出国（境）费支出预算为5.00万元，支出决算为0万元，完成预算的0%</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决算数小于预算数的主要原因是本年未安排因公出国（境）事务，与上年相比持平。</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公务接待费支出预算为3.40万元，支出决算为0.32万元，完成预算的9.41%</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决算数小于预算数的主要原因是厉行节约，控制三公经费支出</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与上年相比减少2.31万元，减少87.83%,减少的主要原因是厉行节约，控制三公经费支出。</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公务用车购置费支出预算为0万元，支出决算为0万元，与上年持平。</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公务用车运行维护费支出预算为1.00万元，支出决算为0.58万元，完成预算的58.00%</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决算数小于预算数的主要原因是厉行节约，控制三公经费支出</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与上年相比减少0.31万元，减少34.83%</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减少的主要原因是厉行节约，控制三公经费支出。</w:t>
      </w:r>
    </w:p>
    <w:p>
      <w:pPr>
        <w:pStyle w:val="15"/>
        <w:spacing w:line="600" w:lineRule="exact"/>
        <w:ind w:firstLine="643" w:firstLineChars="200"/>
        <w:rPr>
          <w:rFonts w:ascii="楷体" w:hAnsi="楷体" w:eastAsia="楷体" w:cs="楷体"/>
          <w:b/>
          <w:sz w:val="32"/>
          <w:szCs w:val="32"/>
        </w:rPr>
      </w:pPr>
      <w:r>
        <w:rPr>
          <w:rFonts w:hint="eastAsia" w:ascii="楷体" w:hAnsi="楷体" w:eastAsia="楷体" w:cs="楷体"/>
          <w:b/>
          <w:sz w:val="32"/>
          <w:szCs w:val="32"/>
        </w:rPr>
        <w:t>（二）“三公”经费财政拨款支出决算具体情况说明</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2022年度“三公”经费财政拨款支出决算中，公务接待费支出决算0.32万元，占35.56%</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因公出国（境）费支出决算0万元，占0%</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公务用车购置费及运行维护费支出决算0.58万元，占64.44%。其中：</w:t>
      </w:r>
      <w:bookmarkStart w:id="2" w:name="_GoBack"/>
      <w:bookmarkEnd w:id="2"/>
    </w:p>
    <w:p>
      <w:pPr>
        <w:pStyle w:val="15"/>
        <w:ind w:firstLine="640" w:firstLineChars="200"/>
        <w:rPr>
          <w:rFonts w:ascii="仿宋" w:hAnsi="仿宋" w:eastAsia="仿宋"/>
          <w:color w:val="auto"/>
          <w:sz w:val="32"/>
          <w:szCs w:val="32"/>
        </w:rPr>
      </w:pPr>
      <w:r>
        <w:rPr>
          <w:rFonts w:hint="eastAsia" w:ascii="仿宋_GB2312" w:hAnsi="仿宋_GB2312" w:eastAsia="仿宋_GB2312" w:cs="仿宋_GB2312"/>
          <w:sz w:val="32"/>
          <w:szCs w:val="32"/>
        </w:rPr>
        <w:t>1、因公出国（境）费支出决算为0万元</w:t>
      </w:r>
      <w:r>
        <w:rPr>
          <w:rFonts w:hint="eastAsia" w:ascii="仿宋" w:hAnsi="仿宋" w:eastAsia="仿宋"/>
          <w:color w:val="auto"/>
          <w:sz w:val="32"/>
          <w:szCs w:val="32"/>
        </w:rPr>
        <w:t>，全年安排因公出国（境）团组</w:t>
      </w:r>
      <w:r>
        <w:rPr>
          <w:rFonts w:ascii="仿宋" w:hAnsi="仿宋" w:eastAsia="仿宋"/>
          <w:color w:val="auto"/>
          <w:sz w:val="32"/>
          <w:szCs w:val="32"/>
        </w:rPr>
        <w:t>0</w:t>
      </w:r>
      <w:r>
        <w:rPr>
          <w:rFonts w:hint="eastAsia" w:ascii="仿宋" w:hAnsi="仿宋" w:eastAsia="仿宋"/>
          <w:color w:val="auto"/>
          <w:sz w:val="32"/>
          <w:szCs w:val="32"/>
        </w:rPr>
        <w:t>个，累计</w:t>
      </w:r>
      <w:r>
        <w:rPr>
          <w:rFonts w:ascii="仿宋" w:hAnsi="仿宋" w:eastAsia="仿宋"/>
          <w:color w:val="auto"/>
          <w:sz w:val="32"/>
          <w:szCs w:val="32"/>
        </w:rPr>
        <w:t>0</w:t>
      </w:r>
      <w:r>
        <w:rPr>
          <w:rFonts w:hint="eastAsia" w:ascii="仿宋" w:hAnsi="仿宋" w:eastAsia="仿宋"/>
          <w:color w:val="auto"/>
          <w:sz w:val="32"/>
          <w:szCs w:val="32"/>
        </w:rPr>
        <w:t>人次。</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2、公务接待费支出决算为0.32万元，全年共接待来访团组4个、来宾26人次，主要是联系工作发生的接待支出。</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3、公务用车购置费及运行维护费支出决算为0.58万元，其中：公务用车购置费0万元</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更新公务用车</w:t>
      </w:r>
      <w:r>
        <w:rPr>
          <w:rFonts w:hint="eastAsia" w:ascii="仿宋_GB2312" w:hAnsi="仿宋_GB2312" w:eastAsia="仿宋_GB2312" w:cs="仿宋_GB2312"/>
          <w:sz w:val="32"/>
          <w:szCs w:val="32"/>
          <w:lang w:val="en-US" w:eastAsia="zh-CN"/>
        </w:rPr>
        <w:t>0</w:t>
      </w:r>
      <w:r>
        <w:rPr>
          <w:rFonts w:hint="eastAsia" w:ascii="仿宋_GB2312" w:hAnsi="仿宋_GB2312" w:eastAsia="仿宋_GB2312" w:cs="仿宋_GB2312"/>
          <w:sz w:val="32"/>
          <w:szCs w:val="32"/>
        </w:rPr>
        <w:t>辆。公务用车运行维护费0.58万元，主要是车辆燃料、保险、维修等支出</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截止2022年12月31日，我单位开支财政拨款的公务用车保有量为1辆。</w:t>
      </w:r>
    </w:p>
    <w:p>
      <w:pPr>
        <w:pStyle w:val="15"/>
        <w:spacing w:line="600" w:lineRule="exact"/>
        <w:ind w:firstLine="640" w:firstLineChars="200"/>
        <w:rPr>
          <w:rFonts w:hAnsi="黑体"/>
          <w:bCs/>
          <w:sz w:val="32"/>
          <w:szCs w:val="32"/>
        </w:rPr>
      </w:pPr>
      <w:r>
        <w:rPr>
          <w:rFonts w:hint="eastAsia" w:hAnsi="黑体"/>
          <w:bCs/>
          <w:sz w:val="32"/>
          <w:szCs w:val="32"/>
        </w:rPr>
        <w:t>八、政府性基金预算收入支出决算情况</w:t>
      </w:r>
    </w:p>
    <w:p>
      <w:pPr>
        <w:pStyle w:val="15"/>
        <w:spacing w:line="600" w:lineRule="exact"/>
        <w:rPr>
          <w:rFonts w:ascii="楷体" w:hAnsi="楷体" w:eastAsia="楷体" w:cs="楷体"/>
          <w:b/>
          <w:bCs/>
          <w:i/>
          <w:color w:val="auto"/>
          <w:sz w:val="32"/>
          <w:szCs w:val="32"/>
        </w:rPr>
      </w:pPr>
      <w:r>
        <w:rPr>
          <w:rFonts w:ascii="Times New Roman" w:hAnsi="Times New Roman" w:eastAsia="仿宋_GB2312"/>
          <w:sz w:val="32"/>
          <w:szCs w:val="32"/>
        </w:rPr>
        <w:t xml:space="preserve">   </w:t>
      </w:r>
      <w:r>
        <w:rPr>
          <w:rFonts w:hint="eastAsia" w:ascii="仿宋_GB2312" w:hAnsi="仿宋_GB2312" w:eastAsia="仿宋_GB2312" w:cs="仿宋_GB2312"/>
          <w:sz w:val="32"/>
          <w:szCs w:val="32"/>
        </w:rPr>
        <w:t>本单位无政府性基金收支。</w:t>
      </w:r>
    </w:p>
    <w:p>
      <w:pPr>
        <w:pStyle w:val="15"/>
        <w:spacing w:line="600" w:lineRule="exact"/>
        <w:ind w:firstLine="640" w:firstLineChars="200"/>
        <w:rPr>
          <w:rFonts w:hint="eastAsia" w:hAnsi="黑体"/>
          <w:bCs/>
          <w:sz w:val="32"/>
          <w:szCs w:val="32"/>
        </w:rPr>
      </w:pPr>
      <w:r>
        <w:rPr>
          <w:rFonts w:hint="eastAsia" w:hAnsi="黑体"/>
          <w:bCs/>
          <w:sz w:val="32"/>
          <w:szCs w:val="32"/>
        </w:rPr>
        <w:t>九、关于机关运行经费支出说明</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本部门2022年度机关运行经费支出0万元。</w:t>
      </w:r>
    </w:p>
    <w:p>
      <w:pPr>
        <w:pStyle w:val="15"/>
        <w:spacing w:line="600" w:lineRule="exact"/>
        <w:ind w:firstLine="640" w:firstLineChars="200"/>
        <w:rPr>
          <w:rFonts w:hAnsi="黑体"/>
          <w:bCs/>
          <w:sz w:val="32"/>
          <w:szCs w:val="32"/>
        </w:rPr>
      </w:pPr>
      <w:r>
        <w:rPr>
          <w:rFonts w:hint="eastAsia" w:hAnsi="黑体"/>
          <w:bCs/>
          <w:sz w:val="32"/>
          <w:szCs w:val="32"/>
        </w:rPr>
        <w:t>十、一般性支出情况说明</w:t>
      </w:r>
    </w:p>
    <w:p>
      <w:pPr>
        <w:pStyle w:val="15"/>
        <w:spacing w:line="600" w:lineRule="exact"/>
        <w:ind w:firstLine="640" w:firstLineChars="200"/>
        <w:rPr>
          <w:rFonts w:hint="eastAsia" w:ascii="仿宋_GB2312" w:hAnsi="仿宋_GB2312" w:eastAsia="仿宋_GB2312" w:cs="仿宋_GB2312"/>
          <w:b/>
          <w:bCs/>
          <w:i/>
          <w:color w:val="auto"/>
          <w:sz w:val="32"/>
          <w:szCs w:val="32"/>
        </w:rPr>
      </w:pPr>
      <w:r>
        <w:rPr>
          <w:rFonts w:hint="eastAsia" w:ascii="仿宋_GB2312" w:hAnsi="仿宋_GB2312" w:eastAsia="仿宋_GB2312" w:cs="仿宋_GB2312"/>
          <w:sz w:val="32"/>
          <w:szCs w:val="32"/>
        </w:rPr>
        <w:t>2022年本部门开支会议费5.00万元，用于召开专家论证会会议，人数12人，内容为湖南省农业农村大数据平台2022年度综合应用系统项目初步设计方案专家论证及视频会议系统线路租赁费等；开支培训费5.00万元，用于开展事业单位工作人员网上继续教育培训，人数11人，内容为事业单位工作人员网上继续教育培训及</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心系三农信息下乡</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活动资料费等；未举办节庆、晚会、论坛、赛事活动。</w:t>
      </w:r>
    </w:p>
    <w:p>
      <w:pPr>
        <w:pStyle w:val="15"/>
        <w:spacing w:line="600" w:lineRule="exact"/>
        <w:ind w:firstLine="640" w:firstLineChars="200"/>
        <w:rPr>
          <w:rFonts w:hAnsi="黑体"/>
          <w:bCs/>
          <w:sz w:val="32"/>
          <w:szCs w:val="32"/>
        </w:rPr>
      </w:pPr>
      <w:r>
        <w:rPr>
          <w:rFonts w:hint="eastAsia" w:hAnsi="黑体"/>
          <w:bCs/>
          <w:sz w:val="32"/>
          <w:szCs w:val="32"/>
        </w:rPr>
        <w:t>十一、关于政府采购支出说明</w:t>
      </w:r>
    </w:p>
    <w:p>
      <w:pPr>
        <w:pStyle w:val="15"/>
        <w:spacing w:line="600" w:lineRule="exact"/>
        <w:ind w:firstLine="640" w:firstLineChars="200"/>
        <w:rPr>
          <w:rFonts w:hint="eastAsia" w:ascii="仿宋_GB2312" w:hAnsi="仿宋_GB2312" w:eastAsia="仿宋_GB2312" w:cs="仿宋_GB2312"/>
          <w:b/>
          <w:bCs/>
          <w:i/>
          <w:color w:val="auto"/>
          <w:sz w:val="32"/>
          <w:szCs w:val="32"/>
        </w:rPr>
      </w:pPr>
      <w:r>
        <w:rPr>
          <w:rFonts w:hint="eastAsia" w:ascii="仿宋_GB2312" w:hAnsi="仿宋_GB2312" w:eastAsia="仿宋_GB2312" w:cs="仿宋_GB2312"/>
          <w:sz w:val="32"/>
          <w:szCs w:val="32"/>
        </w:rPr>
        <w:t>本部门2022年度政府采购支出总额494.20万元，其中：政府采购货物支出494.20万元、政府采购工程支出0万元、政府采购服务支出0万元。授予中小企业合同金额36.02万元，占政府采购支出总额的7.28%，其中：授予小微企业合同金额36.02万元，占政府采购支出总额的7.28%。货物采购授予中小企业合同金额占货物支出金额的7.28%。</w:t>
      </w:r>
    </w:p>
    <w:p>
      <w:pPr>
        <w:pStyle w:val="15"/>
        <w:spacing w:line="600" w:lineRule="exact"/>
        <w:ind w:firstLine="640" w:firstLineChars="200"/>
        <w:rPr>
          <w:rFonts w:hAnsi="黑体"/>
          <w:bCs/>
          <w:sz w:val="32"/>
          <w:szCs w:val="32"/>
        </w:rPr>
      </w:pPr>
      <w:r>
        <w:rPr>
          <w:rFonts w:hint="eastAsia" w:hAnsi="黑体"/>
          <w:bCs/>
          <w:sz w:val="32"/>
          <w:szCs w:val="32"/>
        </w:rPr>
        <w:t>十二、关于国有资产占用情况说明</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截至2022年12月31日，本单位共有车辆1辆，其中，主要领导干部用车0辆，机要通信用车0辆、应急保障用车0辆、执法执勤用车0辆、特种专业技术用车0辆、其他用车1辆，其他用车主要是</w:t>
      </w:r>
      <w:r>
        <w:rPr>
          <w:rFonts w:hint="eastAsia" w:ascii="仿宋_GB2312" w:hAnsi="仿宋_GB2312" w:eastAsia="仿宋_GB2312" w:cs="仿宋_GB2312"/>
          <w:bCs/>
          <w:sz w:val="32"/>
          <w:szCs w:val="32"/>
        </w:rPr>
        <w:t>到省内相关市县开展专业业务活动用车</w:t>
      </w:r>
      <w:r>
        <w:rPr>
          <w:rFonts w:hint="eastAsia" w:ascii="仿宋_GB2312" w:hAnsi="仿宋_GB2312" w:eastAsia="仿宋_GB2312" w:cs="仿宋_GB2312"/>
          <w:sz w:val="32"/>
          <w:szCs w:val="32"/>
        </w:rPr>
        <w:t>；单位价值50万元以上通用设备0台（套）；单位价值100万元以上专用设备0台（套）。</w:t>
      </w:r>
    </w:p>
    <w:p>
      <w:pPr>
        <w:pStyle w:val="15"/>
        <w:spacing w:line="600" w:lineRule="exact"/>
        <w:ind w:firstLine="640" w:firstLineChars="200"/>
        <w:rPr>
          <w:rFonts w:hAnsi="黑体"/>
          <w:bCs/>
          <w:sz w:val="32"/>
          <w:szCs w:val="32"/>
        </w:rPr>
      </w:pPr>
      <w:r>
        <w:rPr>
          <w:rFonts w:hint="eastAsia" w:hAnsi="黑体"/>
          <w:bCs/>
          <w:sz w:val="32"/>
          <w:szCs w:val="32"/>
        </w:rPr>
        <w:t>十三、关于</w:t>
      </w:r>
      <w:r>
        <w:rPr>
          <w:rFonts w:ascii="Times New Roman" w:hAnsi="Times New Roman" w:eastAsia="仿宋_GB2312"/>
          <w:sz w:val="32"/>
          <w:szCs w:val="32"/>
        </w:rPr>
        <w:t>2022</w:t>
      </w:r>
      <w:r>
        <w:rPr>
          <w:rFonts w:hint="eastAsia" w:hAnsi="黑体"/>
          <w:bCs/>
          <w:sz w:val="32"/>
          <w:szCs w:val="32"/>
        </w:rPr>
        <w:t>年度预算绩效情况的说明</w:t>
      </w:r>
    </w:p>
    <w:p>
      <w:pPr>
        <w:pStyle w:val="15"/>
        <w:spacing w:line="600" w:lineRule="exact"/>
        <w:ind w:firstLine="643" w:firstLineChars="200"/>
        <w:rPr>
          <w:rFonts w:ascii="楷体" w:hAnsi="楷体" w:eastAsia="楷体" w:cs="楷体"/>
          <w:b/>
          <w:bCs/>
          <w:sz w:val="32"/>
          <w:szCs w:val="32"/>
        </w:rPr>
      </w:pPr>
      <w:r>
        <w:rPr>
          <w:rFonts w:hint="eastAsia" w:ascii="楷体" w:hAnsi="楷体" w:eastAsia="楷体" w:cs="楷体"/>
          <w:b/>
          <w:bCs/>
          <w:sz w:val="32"/>
          <w:szCs w:val="32"/>
        </w:rPr>
        <w:t>（一）部门整体支出绩效情况</w:t>
      </w:r>
    </w:p>
    <w:p>
      <w:pPr>
        <w:pStyle w:val="15"/>
        <w:spacing w:line="600" w:lineRule="exact"/>
        <w:ind w:firstLine="643" w:firstLineChars="200"/>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1、运行成本</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人员经费预算数223.20万元，决算数221.98万元，预算执行率99.45%，公用经费数10.55万元，决算数9.79万元，预算执行率92.79%，均控制在预算范围内。</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“三公”经费财政拨款支出预算为9.40万元，支出决算为0.90万元，控制在预算范围内。</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rPr>
        <w:t>会议费预算5万元，决算为5万元，培训费</w:t>
      </w:r>
      <w:r>
        <w:rPr>
          <w:rFonts w:hint="eastAsia" w:ascii="仿宋_GB2312" w:hAnsi="仿宋_GB2312" w:eastAsia="仿宋_GB2312" w:cs="仿宋_GB2312"/>
          <w:sz w:val="32"/>
          <w:szCs w:val="32"/>
        </w:rPr>
        <w:t>预算5万元，决算5万元，均控制在预算范围内。</w:t>
      </w:r>
    </w:p>
    <w:p>
      <w:pPr>
        <w:pStyle w:val="15"/>
        <w:spacing w:line="600" w:lineRule="exact"/>
        <w:ind w:firstLine="643" w:firstLineChars="200"/>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2、管理效率</w:t>
      </w:r>
    </w:p>
    <w:p>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坚持把网络安全工作作为一项重要日常工作和重大政治责任来抓。</w:t>
      </w:r>
      <w:r>
        <w:rPr>
          <w:rFonts w:hint="eastAsia" w:ascii="仿宋_GB2312" w:hAnsi="仿宋_GB2312" w:eastAsia="仿宋_GB2312" w:cs="仿宋_GB2312"/>
          <w:sz w:val="32"/>
          <w:szCs w:val="32"/>
          <w:lang w:val="en-US" w:eastAsia="zh-CN"/>
        </w:rPr>
        <w:t>2022</w:t>
      </w:r>
      <w:r>
        <w:rPr>
          <w:rFonts w:hint="eastAsia" w:ascii="仿宋_GB2312" w:hAnsi="仿宋_GB2312" w:eastAsia="仿宋_GB2312" w:cs="仿宋_GB2312"/>
          <w:sz w:val="32"/>
          <w:szCs w:val="32"/>
        </w:rPr>
        <w:t>年，</w:t>
      </w:r>
      <w:r>
        <w:rPr>
          <w:rFonts w:hint="eastAsia" w:ascii="仿宋_GB2312" w:hAnsi="仿宋_GB2312" w:eastAsia="仿宋_GB2312" w:cs="仿宋_GB2312"/>
          <w:sz w:val="32"/>
          <w:szCs w:val="32"/>
          <w:lang w:val="en-US" w:eastAsia="zh-CN"/>
        </w:rPr>
        <w:t>厅系统</w:t>
      </w:r>
      <w:r>
        <w:rPr>
          <w:rFonts w:hint="eastAsia" w:ascii="仿宋_GB2312" w:hAnsi="仿宋_GB2312" w:eastAsia="仿宋_GB2312" w:cs="仿宋_GB2312"/>
          <w:sz w:val="32"/>
          <w:szCs w:val="32"/>
        </w:rPr>
        <w:t>未发生网络安全重大事件。一是</w:t>
      </w:r>
      <w:r>
        <w:rPr>
          <w:rFonts w:hint="eastAsia" w:ascii="仿宋_GB2312" w:hAnsi="仿宋_GB2312" w:eastAsia="仿宋_GB2312" w:cs="仿宋_GB2312"/>
          <w:sz w:val="32"/>
          <w:szCs w:val="32"/>
          <w:lang w:val="en-US" w:eastAsia="zh-CN"/>
        </w:rPr>
        <w:t>健全</w:t>
      </w:r>
      <w:r>
        <w:rPr>
          <w:rFonts w:hint="eastAsia" w:ascii="仿宋_GB2312" w:hAnsi="仿宋_GB2312" w:eastAsia="仿宋_GB2312" w:cs="仿宋_GB2312"/>
          <w:sz w:val="32"/>
          <w:szCs w:val="32"/>
        </w:rPr>
        <w:t>制度机制。将网络安全纳入《湖南省“十四五”农业农村现代化规划》、《湖南省农业农村大数据中心建设方案》和各项农业农村信息系统实施方案，制定《湖南省农业农村信息领域密码应用规范》、《湖南省农业农村厅网络舆情监测处置工作方案》、《湖南省农村土地承包数据管理办法》</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《中共湖南省农业农村厅党组网络意识形态工作责任制实施细则》</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《湖南省农业农村厅网评员职责》等一系列制度。二是提升保障能力。</w:t>
      </w:r>
      <w:r>
        <w:rPr>
          <w:rFonts w:hint="eastAsia" w:ascii="仿宋_GB2312" w:hAnsi="仿宋_GB2312" w:eastAsia="仿宋_GB2312" w:cs="仿宋_GB2312"/>
          <w:b w:val="0"/>
          <w:bCs/>
          <w:sz w:val="32"/>
          <w:szCs w:val="32"/>
          <w:lang w:val="en-US" w:eastAsia="zh-CN"/>
        </w:rPr>
        <w:t>组织开展网络资产清查，</w:t>
      </w:r>
      <w:r>
        <w:rPr>
          <w:rFonts w:hint="eastAsia" w:ascii="仿宋_GB2312" w:hAnsi="仿宋_GB2312" w:eastAsia="仿宋_GB2312" w:cs="仿宋_GB2312"/>
          <w:sz w:val="32"/>
          <w:szCs w:val="32"/>
        </w:rPr>
        <w:t>采购部署防火墙、杀毒软件、网络态势感知平台等一批安全设备；组织实施网络安全等保测评，完成11个业务信息系统网络安全等级保护测评备案项目采购，完成备案；对厅内网络架构进行强化</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依托</w:t>
      </w:r>
      <w:r>
        <w:rPr>
          <w:rFonts w:hint="eastAsia" w:ascii="仿宋_GB2312" w:hAnsi="仿宋_GB2312" w:eastAsia="仿宋_GB2312" w:cs="仿宋_GB2312"/>
          <w:sz w:val="32"/>
          <w:szCs w:val="32"/>
        </w:rPr>
        <w:t>农业特色优势产业集群信息系统等项目，统筹规划和推进网络安全设施建设，</w:t>
      </w:r>
      <w:r>
        <w:rPr>
          <w:rFonts w:hint="eastAsia" w:ascii="仿宋_GB2312" w:hAnsi="仿宋_GB2312" w:eastAsia="仿宋_GB2312" w:cs="仿宋_GB2312"/>
          <w:sz w:val="32"/>
          <w:szCs w:val="32"/>
          <w:lang w:val="en-US" w:eastAsia="zh-CN"/>
        </w:rPr>
        <w:t>整体</w:t>
      </w:r>
      <w:r>
        <w:rPr>
          <w:rFonts w:hint="eastAsia" w:ascii="仿宋_GB2312" w:hAnsi="仿宋_GB2312" w:eastAsia="仿宋_GB2312" w:cs="仿宋_GB2312"/>
          <w:sz w:val="32"/>
          <w:szCs w:val="32"/>
        </w:rPr>
        <w:t>提高我厅网络安全保障能力。加强密码应用体系建设，打造厅密码基础设施安全支撑平台，制定出台《湖南省农业农村信息领域密码应用规范》，推进密码技术在农业农村领域应用。三是</w:t>
      </w:r>
      <w:r>
        <w:rPr>
          <w:rFonts w:hint="eastAsia" w:ascii="仿宋_GB2312" w:hAnsi="仿宋_GB2312" w:eastAsia="仿宋_GB2312" w:cs="仿宋_GB2312"/>
          <w:sz w:val="32"/>
          <w:szCs w:val="32"/>
          <w:lang w:val="en-US" w:eastAsia="zh-CN"/>
        </w:rPr>
        <w:t>强化运维管理。</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抓好</w:t>
      </w:r>
      <w:r>
        <w:rPr>
          <w:rFonts w:hint="eastAsia" w:ascii="仿宋_GB2312" w:hAnsi="仿宋_GB2312" w:eastAsia="仿宋_GB2312" w:cs="仿宋_GB2312"/>
          <w:color w:val="000000" w:themeColor="text1"/>
          <w:sz w:val="32"/>
          <w:szCs w:val="32"/>
          <w14:textFill>
            <w14:solidFill>
              <w14:schemeClr w14:val="tx1"/>
            </w14:solidFill>
          </w14:textFill>
        </w:rPr>
        <w:t>网络基础运维</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和安全运维</w:t>
      </w:r>
      <w:r>
        <w:rPr>
          <w:rFonts w:hint="eastAsia" w:ascii="仿宋_GB2312" w:hAnsi="仿宋_GB2312" w:eastAsia="仿宋_GB2312" w:cs="仿宋_GB2312"/>
          <w:color w:val="000000" w:themeColor="text1"/>
          <w:sz w:val="32"/>
          <w:szCs w:val="32"/>
          <w14:textFill>
            <w14:solidFill>
              <w14:schemeClr w14:val="tx1"/>
            </w14:solidFill>
          </w14:textFill>
        </w:rPr>
        <w:t>，建立落实网络巡检、漏洞扫描、渗透测试、通报督办等制度，推进网络安全管理制度化常态化。</w:t>
      </w:r>
      <w:r>
        <w:rPr>
          <w:rFonts w:hint="eastAsia" w:ascii="仿宋_GB2312" w:hAnsi="仿宋_GB2312" w:eastAsia="仿宋_GB2312" w:cs="仿宋_GB2312"/>
          <w:sz w:val="32"/>
          <w:szCs w:val="32"/>
          <w:lang w:val="en-US" w:eastAsia="zh-CN"/>
        </w:rPr>
        <w:t>加强网络安全巡检</w:t>
      </w:r>
      <w:r>
        <w:rPr>
          <w:rFonts w:hint="eastAsia" w:ascii="仿宋_GB2312" w:hAnsi="仿宋_GB2312" w:eastAsia="仿宋_GB2312" w:cs="仿宋_GB2312"/>
          <w:sz w:val="32"/>
          <w:szCs w:val="32"/>
        </w:rPr>
        <w:t>监测</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及时发现处置网络安全风险隐患</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四是开展</w:t>
      </w:r>
      <w:r>
        <w:rPr>
          <w:rFonts w:hint="eastAsia" w:ascii="仿宋_GB2312" w:hAnsi="仿宋_GB2312" w:eastAsia="仿宋_GB2312" w:cs="仿宋_GB2312"/>
          <w:sz w:val="32"/>
          <w:szCs w:val="32"/>
        </w:rPr>
        <w:t>应急演练。制定网络安全应急预案，</w:t>
      </w:r>
      <w:r>
        <w:rPr>
          <w:rFonts w:hint="eastAsia" w:ascii="仿宋_GB2312" w:hAnsi="仿宋_GB2312" w:eastAsia="仿宋_GB2312" w:cs="仿宋_GB2312"/>
          <w:sz w:val="32"/>
          <w:szCs w:val="32"/>
          <w:lang w:val="en-US" w:eastAsia="zh-CN"/>
        </w:rPr>
        <w:t>开展应急演练，不断提升网络</w:t>
      </w:r>
      <w:r>
        <w:rPr>
          <w:rFonts w:hint="eastAsia" w:ascii="仿宋_GB2312" w:hAnsi="仿宋_GB2312" w:eastAsia="仿宋_GB2312" w:cs="仿宋_GB2312"/>
          <w:sz w:val="32"/>
          <w:szCs w:val="32"/>
        </w:rPr>
        <w:t>安全监测预警</w:t>
      </w:r>
      <w:r>
        <w:rPr>
          <w:rFonts w:hint="eastAsia" w:ascii="仿宋_GB2312" w:hAnsi="仿宋_GB2312" w:eastAsia="仿宋_GB2312" w:cs="仿宋_GB2312"/>
          <w:sz w:val="32"/>
          <w:szCs w:val="32"/>
          <w:lang w:val="en-US" w:eastAsia="zh-CN"/>
        </w:rPr>
        <w:t>和突发事件应对处置</w:t>
      </w:r>
      <w:r>
        <w:rPr>
          <w:rFonts w:hint="eastAsia" w:ascii="仿宋_GB2312" w:hAnsi="仿宋_GB2312" w:eastAsia="仿宋_GB2312" w:cs="仿宋_GB2312"/>
          <w:sz w:val="32"/>
          <w:szCs w:val="32"/>
        </w:rPr>
        <w:t>能力</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得到相关主管部门的充分肯定。</w:t>
      </w:r>
    </w:p>
    <w:p>
      <w:pPr>
        <w:pStyle w:val="15"/>
        <w:numPr>
          <w:ilvl w:val="0"/>
          <w:numId w:val="3"/>
        </w:numPr>
        <w:spacing w:line="600" w:lineRule="exact"/>
        <w:ind w:firstLine="643" w:firstLineChars="200"/>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履职效能</w:t>
      </w:r>
    </w:p>
    <w:p>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加强政务网站和新媒体建管。加强意识形态阵地建设，厅官网共采集发布稿件</w:t>
      </w:r>
      <w:r>
        <w:rPr>
          <w:rFonts w:hint="eastAsia" w:ascii="仿宋_GB2312" w:hAnsi="仿宋_GB2312" w:eastAsia="仿宋_GB2312" w:cs="仿宋_GB2312"/>
          <w:sz w:val="32"/>
          <w:szCs w:val="32"/>
          <w:lang w:val="en-US" w:eastAsia="zh-CN"/>
        </w:rPr>
        <w:t>8000余</w:t>
      </w:r>
      <w:r>
        <w:rPr>
          <w:rFonts w:hint="eastAsia" w:ascii="仿宋_GB2312" w:hAnsi="仿宋_GB2312" w:eastAsia="仿宋_GB2312" w:cs="仿宋_GB2312"/>
          <w:sz w:val="32"/>
          <w:szCs w:val="32"/>
        </w:rPr>
        <w:t>篇，向农业农村部网站报送发布信息73</w:t>
      </w:r>
      <w:r>
        <w:rPr>
          <w:rFonts w:hint="eastAsia" w:ascii="仿宋_GB2312" w:hAnsi="仿宋_GB2312" w:eastAsia="仿宋_GB2312" w:cs="仿宋_GB2312"/>
          <w:sz w:val="32"/>
          <w:szCs w:val="32"/>
          <w:lang w:val="en-US" w:eastAsia="zh-CN"/>
        </w:rPr>
        <w:t>00多</w:t>
      </w:r>
      <w:r>
        <w:rPr>
          <w:rFonts w:hint="eastAsia" w:ascii="仿宋_GB2312" w:hAnsi="仿宋_GB2312" w:eastAsia="仿宋_GB2312" w:cs="仿宋_GB2312"/>
          <w:sz w:val="32"/>
          <w:szCs w:val="32"/>
        </w:rPr>
        <w:t>篇。强化网络意识形态安全，组织完成对厅官网子网站栏目内容的清理排查，完成对13</w:t>
      </w:r>
      <w:r>
        <w:rPr>
          <w:rFonts w:hint="eastAsia" w:ascii="仿宋_GB2312" w:hAnsi="仿宋_GB2312" w:eastAsia="仿宋_GB2312" w:cs="仿宋_GB2312"/>
          <w:sz w:val="32"/>
          <w:szCs w:val="32"/>
          <w:lang w:val="en-US" w:eastAsia="zh-CN"/>
        </w:rPr>
        <w:t>0多</w:t>
      </w:r>
      <w:r>
        <w:rPr>
          <w:rFonts w:hint="eastAsia" w:ascii="仿宋_GB2312" w:hAnsi="仿宋_GB2312" w:eastAsia="仿宋_GB2312" w:cs="仿宋_GB2312"/>
          <w:sz w:val="32"/>
          <w:szCs w:val="32"/>
        </w:rPr>
        <w:t>个层级栏目和3</w:t>
      </w:r>
      <w:r>
        <w:rPr>
          <w:rFonts w:hint="eastAsia" w:ascii="仿宋_GB2312" w:hAnsi="仿宋_GB2312" w:eastAsia="仿宋_GB2312" w:cs="仿宋_GB2312"/>
          <w:sz w:val="32"/>
          <w:szCs w:val="32"/>
          <w:lang w:val="en-US" w:eastAsia="zh-CN"/>
        </w:rPr>
        <w:t>.</w:t>
      </w:r>
      <w:r>
        <w:rPr>
          <w:rFonts w:hint="eastAsia" w:ascii="仿宋_GB2312" w:hAnsi="仿宋_GB2312" w:eastAsia="仿宋_GB2312" w:cs="仿宋_GB2312"/>
          <w:sz w:val="32"/>
          <w:szCs w:val="32"/>
        </w:rPr>
        <w:t>5</w:t>
      </w:r>
      <w:r>
        <w:rPr>
          <w:rFonts w:hint="eastAsia" w:ascii="仿宋_GB2312" w:hAnsi="仿宋_GB2312" w:eastAsia="仿宋_GB2312" w:cs="仿宋_GB2312"/>
          <w:sz w:val="32"/>
          <w:szCs w:val="32"/>
          <w:lang w:val="en-US" w:eastAsia="zh-CN"/>
        </w:rPr>
        <w:t>万</w:t>
      </w:r>
      <w:r>
        <w:rPr>
          <w:rFonts w:hint="eastAsia" w:ascii="仿宋_GB2312" w:hAnsi="仿宋_GB2312" w:eastAsia="仿宋_GB2312" w:cs="仿宋_GB2312"/>
          <w:sz w:val="32"/>
          <w:szCs w:val="32"/>
        </w:rPr>
        <w:t>条历史存量信息扫描，发现问题有效处置。在厅官微—湖南农业“12316”固定推送“三农要闻”“工作动态”“市县动态”“农技指导”“农产品价格行情”“回应关切”等栏目专题，共发布重要信息9</w:t>
      </w:r>
      <w:r>
        <w:rPr>
          <w:rFonts w:hint="eastAsia" w:ascii="仿宋_GB2312" w:hAnsi="仿宋_GB2312" w:eastAsia="仿宋_GB2312" w:cs="仿宋_GB2312"/>
          <w:sz w:val="32"/>
          <w:szCs w:val="32"/>
          <w:lang w:val="en-US" w:eastAsia="zh-CN"/>
        </w:rPr>
        <w:t>00多</w:t>
      </w:r>
      <w:r>
        <w:rPr>
          <w:rFonts w:hint="eastAsia" w:ascii="仿宋_GB2312" w:hAnsi="仿宋_GB2312" w:eastAsia="仿宋_GB2312" w:cs="仿宋_GB2312"/>
          <w:sz w:val="32"/>
          <w:szCs w:val="32"/>
        </w:rPr>
        <w:t>条。厅官网官微同步</w:t>
      </w:r>
      <w:r>
        <w:rPr>
          <w:rFonts w:hint="eastAsia" w:ascii="仿宋_GB2312" w:hAnsi="仿宋_GB2312" w:eastAsia="仿宋_GB2312" w:cs="仿宋_GB2312"/>
          <w:sz w:val="32"/>
          <w:szCs w:val="32"/>
          <w:lang w:val="zh-CN"/>
        </w:rPr>
        <w:t>发布主要农产品批发价格、电商行情监测周报</w:t>
      </w:r>
      <w:r>
        <w:rPr>
          <w:rFonts w:hint="eastAsia" w:ascii="仿宋_GB2312" w:hAnsi="仿宋_GB2312" w:eastAsia="仿宋_GB2312" w:cs="仿宋_GB2312"/>
          <w:sz w:val="32"/>
          <w:szCs w:val="32"/>
        </w:rPr>
        <w:t>共94</w:t>
      </w:r>
      <w:r>
        <w:rPr>
          <w:rFonts w:hint="eastAsia" w:ascii="仿宋_GB2312" w:hAnsi="仿宋_GB2312" w:eastAsia="仿宋_GB2312" w:cs="仿宋_GB2312"/>
          <w:sz w:val="32"/>
          <w:szCs w:val="32"/>
          <w:lang w:val="zh-CN"/>
        </w:rPr>
        <w:t>期。</w:t>
      </w:r>
    </w:p>
    <w:p>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抓好各类政务业务系统运维。全省农业农村协同办公OA系统覆盖厅系统各单位、14个市州和122个县市区农业农村局及农机、畜牧水产系统；进一步优化系统功能，对接资金管理系统、视频会议系统、移动短信平台，开发工作数据上报、政府采购需求申报功能，有效实现全省农业农村系统协同办公，有力提升行政效能和工作服务水平。抓好全省农业视频会议系统运维管理，保障部省视频会议170多场次，在新冠疫情防控常态化的新形势下，为全省农业农村工作决策部署、组织调度、应急指挥提供了有力保障。科学调配网络资源，抓好技术支撑，强化安全管理，为</w:t>
      </w:r>
      <w:r>
        <w:rPr>
          <w:rFonts w:hint="eastAsia" w:ascii="仿宋_GB2312" w:hAnsi="仿宋_GB2312" w:eastAsia="仿宋_GB2312" w:cs="仿宋_GB2312"/>
          <w:sz w:val="32"/>
          <w:szCs w:val="32"/>
          <w:lang w:val="en-US" w:eastAsia="zh-CN"/>
        </w:rPr>
        <w:t>农业农村政务</w:t>
      </w:r>
      <w:r>
        <w:rPr>
          <w:rFonts w:hint="eastAsia" w:ascii="仿宋_GB2312" w:hAnsi="仿宋_GB2312" w:eastAsia="仿宋_GB2312" w:cs="仿宋_GB2312"/>
          <w:sz w:val="32"/>
          <w:szCs w:val="32"/>
        </w:rPr>
        <w:t>业务系统的部署运行、业务应用提供可靠保障。</w:t>
      </w:r>
    </w:p>
    <w:p>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推进政务业务数据采集共享。抓好农业农村政务业务数据归集接入，共采集数据4500万余项25亿条。编制省农业农村厅信用信息归集及共享目录，建立厅政务数据中心11大数据库，包括法人库、自然人库、行政事项库、执法人员库、检查抽查库、电子证照库、办件库、例行监测库、“三品一标”库、资质资格库、长江流域库、案件库等。开发建设政务数据对接平台，及时向“互联网+监管”“社会信息体系”“法人信息大平台”“政务一体化平台”“省中小企业融资服务平台”“政务信息共享网站”等省部政务平台推送对接政务数据。</w:t>
      </w:r>
    </w:p>
    <w:p>
      <w:pPr>
        <w:spacing w:line="560" w:lineRule="exact"/>
        <w:ind w:firstLine="640"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sz w:val="32"/>
          <w:szCs w:val="32"/>
          <w:lang w:val="en-US" w:eastAsia="zh-CN"/>
        </w:rPr>
        <w:t>强化</w:t>
      </w:r>
      <w:r>
        <w:rPr>
          <w:rFonts w:hint="eastAsia" w:ascii="仿宋_GB2312" w:hAnsi="仿宋_GB2312" w:eastAsia="仿宋_GB2312" w:cs="仿宋_GB2312"/>
          <w:sz w:val="32"/>
          <w:szCs w:val="32"/>
        </w:rPr>
        <w:t>网络舆情监测服务。制定《湖南省农业农村厅网络舆情监测处置工作方案》，组建网评员队伍，明确网评员职责。建设“湖南省农业农村厅网络舆情监测服务平台” ，实现7*24小时全网监控和多维度智能分析，实时监测涉及全省农业农村的重要网络舆情，为领导决策提供参考。建立舆情监测、整理、评估、跟踪、反馈、处置机制和</w:t>
      </w:r>
      <w:r>
        <w:rPr>
          <w:rFonts w:hint="eastAsia" w:ascii="仿宋_GB2312" w:hAnsi="仿宋_GB2312" w:eastAsia="仿宋_GB2312" w:cs="仿宋_GB2312"/>
          <w:sz w:val="32"/>
          <w:szCs w:val="32"/>
          <w:lang w:val="en-US" w:eastAsia="zh-CN"/>
        </w:rPr>
        <w:t>周</w:t>
      </w:r>
      <w:r>
        <w:rPr>
          <w:rFonts w:hint="eastAsia" w:ascii="仿宋_GB2312" w:hAnsi="仿宋_GB2312" w:eastAsia="仿宋_GB2312" w:cs="仿宋_GB2312"/>
          <w:sz w:val="32"/>
          <w:szCs w:val="32"/>
        </w:rPr>
        <w:t>报、快报制度。</w:t>
      </w:r>
      <w:r>
        <w:rPr>
          <w:rFonts w:hint="eastAsia" w:ascii="仿宋_GB2312" w:hAnsi="仿宋_GB2312" w:eastAsia="仿宋_GB2312" w:cs="仿宋_GB2312"/>
          <w:sz w:val="32"/>
          <w:szCs w:val="32"/>
          <w:lang w:val="en-US" w:eastAsia="zh-CN"/>
        </w:rPr>
        <w:t>2022</w:t>
      </w:r>
      <w:r>
        <w:rPr>
          <w:rFonts w:hint="eastAsia" w:ascii="仿宋_GB2312" w:hAnsi="仿宋_GB2312" w:eastAsia="仿宋_GB2312" w:cs="仿宋_GB2312"/>
          <w:sz w:val="32"/>
          <w:szCs w:val="32"/>
        </w:rPr>
        <w:t>年共编发《网情择要（周报）》84期；实施“镉超标”“福寿螺”“耕地抛荒”“华容芥菜”</w:t>
      </w:r>
      <w:r>
        <w:rPr>
          <w:rFonts w:hint="eastAsia" w:ascii="仿宋_GB2312" w:hAnsi="仿宋_GB2312" w:eastAsia="仿宋_GB2312" w:cs="仿宋_GB2312"/>
          <w:color w:val="000000"/>
          <w:sz w:val="32"/>
          <w:szCs w:val="32"/>
        </w:rPr>
        <w:t>“干旱灾害”“加拿大一枝黄花”等专题监测17次并积极处置，编发《网情择要（快报）》30多期。</w:t>
      </w:r>
    </w:p>
    <w:p>
      <w:pPr>
        <w:pStyle w:val="15"/>
        <w:spacing w:line="600" w:lineRule="exact"/>
        <w:ind w:firstLine="643" w:firstLineChars="200"/>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4、社会效应</w:t>
      </w:r>
    </w:p>
    <w:p>
      <w:pPr>
        <w:pStyle w:val="15"/>
        <w:spacing w:line="60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推进政务服务便民热线归并，加强12316归并12345热线管理，省级12316实现双号并行，进一步明确受理范围、优化工作流程、健全信息共享机制，工单按时反馈率100%、按时办结率100% 。推进湖南省 “三农”综合信息服务系统改造升级，新增短信、视频管理功能，支持在线培训、远程会商和应急指挥。扩充农业农村信息服务专家团队，打造农业农村政策法规和农业技术知识库，建立知识库条目12100多条，有力提升政务服务便民热线服务质量和水平。“农信通百事易”发送农业农村政策科技信息5000多条、市场信息7000多条，得到受众普遍好评。组织人员参加中组部、农业农村部农村实用人才农村电子商务专题培训班。抓好农业农村部“中国农业品牌公共服务平台”信息发布，上传湖南农业品牌信息8000余条。组织开展农业农村信息化能力监测工作，9个县市区获评“全国县域农业农村信息化发展先进县”，</w:t>
      </w:r>
      <w:r>
        <w:rPr>
          <w:rFonts w:hint="eastAsia" w:ascii="仿宋_GB2312" w:hAnsi="仿宋_GB2312" w:eastAsia="仿宋_GB2312" w:cs="仿宋_GB2312"/>
          <w:sz w:val="32"/>
          <w:szCs w:val="32"/>
          <w:lang w:val="en-US" w:eastAsia="zh-CN"/>
        </w:rPr>
        <w:t>省农业农村信息</w:t>
      </w:r>
      <w:r>
        <w:rPr>
          <w:rFonts w:hint="eastAsia" w:ascii="仿宋_GB2312" w:hAnsi="仿宋_GB2312" w:eastAsia="仿宋_GB2312" w:cs="仿宋_GB2312"/>
          <w:sz w:val="32"/>
          <w:szCs w:val="32"/>
        </w:rPr>
        <w:t>中心获评“全国县域农业农村信息化发展水平评价工作优秀组织单位”。</w:t>
      </w:r>
    </w:p>
    <w:p>
      <w:pPr>
        <w:pStyle w:val="15"/>
        <w:spacing w:line="600" w:lineRule="exact"/>
        <w:ind w:firstLine="643" w:firstLineChars="200"/>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lang w:val="en-US" w:eastAsia="zh-CN"/>
        </w:rPr>
        <w:t>5、</w:t>
      </w:r>
      <w:r>
        <w:rPr>
          <w:rFonts w:hint="eastAsia" w:ascii="仿宋_GB2312" w:hAnsi="仿宋_GB2312" w:eastAsia="仿宋_GB2312" w:cs="仿宋_GB2312"/>
          <w:b/>
          <w:bCs/>
          <w:sz w:val="32"/>
          <w:szCs w:val="32"/>
        </w:rPr>
        <w:t>可持续发展能力</w:t>
      </w:r>
    </w:p>
    <w:p>
      <w:pPr>
        <w:spacing w:line="560" w:lineRule="exact"/>
        <w:ind w:firstLine="640"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推进重大信息化项目建设。全省渔政调度中心、渔政监管信息化电力系统建设、渔政监管信息化基础设施建设等四个子项目已</w:t>
      </w:r>
      <w:r>
        <w:rPr>
          <w:rFonts w:hint="eastAsia" w:ascii="仿宋_GB2312" w:hAnsi="仿宋_GB2312" w:eastAsia="仿宋_GB2312" w:cs="仿宋_GB2312"/>
          <w:color w:val="000000"/>
          <w:sz w:val="32"/>
          <w:szCs w:val="32"/>
          <w:lang w:val="en-US" w:eastAsia="zh-CN"/>
        </w:rPr>
        <w:t>通过竣工</w:t>
      </w:r>
      <w:r>
        <w:rPr>
          <w:rFonts w:hint="eastAsia" w:ascii="仿宋_GB2312" w:hAnsi="仿宋_GB2312" w:eastAsia="仿宋_GB2312" w:cs="仿宋_GB2312"/>
          <w:color w:val="000000"/>
          <w:sz w:val="32"/>
          <w:szCs w:val="32"/>
        </w:rPr>
        <w:t>验收</w:t>
      </w:r>
      <w:r>
        <w:rPr>
          <w:rFonts w:hint="eastAsia" w:ascii="仿宋_GB2312" w:hAnsi="仿宋_GB2312" w:eastAsia="仿宋_GB2312" w:cs="仿宋_GB2312"/>
          <w:color w:val="000000"/>
          <w:sz w:val="32"/>
          <w:szCs w:val="32"/>
          <w:lang w:eastAsia="zh-CN"/>
        </w:rPr>
        <w:t>；</w:t>
      </w:r>
      <w:r>
        <w:rPr>
          <w:rFonts w:hint="eastAsia" w:ascii="仿宋_GB2312" w:hAnsi="仿宋_GB2312" w:eastAsia="仿宋_GB2312" w:cs="仿宋_GB2312"/>
          <w:color w:val="000000"/>
          <w:sz w:val="32"/>
          <w:szCs w:val="32"/>
        </w:rPr>
        <w:t>全省渔政监管平台项目已通过前置审查、立项</w:t>
      </w:r>
      <w:r>
        <w:rPr>
          <w:rFonts w:hint="eastAsia" w:ascii="仿宋_GB2312" w:hAnsi="仿宋_GB2312" w:eastAsia="仿宋_GB2312" w:cs="仿宋_GB2312"/>
          <w:color w:val="000000"/>
          <w:sz w:val="32"/>
          <w:szCs w:val="32"/>
          <w:lang w:val="en-US" w:eastAsia="zh-CN"/>
        </w:rPr>
        <w:t>批复</w:t>
      </w:r>
      <w:r>
        <w:rPr>
          <w:rFonts w:hint="eastAsia" w:ascii="仿宋_GB2312" w:hAnsi="仿宋_GB2312" w:eastAsia="仿宋_GB2312" w:cs="仿宋_GB2312"/>
          <w:color w:val="000000"/>
          <w:sz w:val="32"/>
          <w:szCs w:val="32"/>
        </w:rPr>
        <w:t>。编制全省</w:t>
      </w:r>
      <w:r>
        <w:rPr>
          <w:rFonts w:hint="eastAsia" w:ascii="仿宋_GB2312" w:hAnsi="仿宋_GB2312" w:eastAsia="仿宋_GB2312" w:cs="仿宋_GB2312"/>
          <w:color w:val="000000"/>
          <w:sz w:val="32"/>
          <w:szCs w:val="32"/>
          <w:lang w:val="en-US" w:eastAsia="zh-CN"/>
        </w:rPr>
        <w:t>农业</w:t>
      </w:r>
      <w:r>
        <w:rPr>
          <w:rFonts w:hint="eastAsia" w:ascii="仿宋_GB2312" w:hAnsi="仿宋_GB2312" w:eastAsia="仿宋_GB2312" w:cs="仿宋_GB2312"/>
          <w:color w:val="000000"/>
          <w:sz w:val="32"/>
          <w:szCs w:val="32"/>
        </w:rPr>
        <w:t>优势特色产业集群信息系统项目（一期）建设方案，已</w:t>
      </w:r>
      <w:r>
        <w:rPr>
          <w:rFonts w:hint="eastAsia" w:ascii="仿宋_GB2312" w:hAnsi="仿宋_GB2312" w:eastAsia="仿宋_GB2312" w:cs="仿宋_GB2312"/>
          <w:color w:val="000000"/>
          <w:sz w:val="32"/>
          <w:szCs w:val="32"/>
          <w:lang w:val="en-US" w:eastAsia="zh-CN"/>
        </w:rPr>
        <w:t>提交项目</w:t>
      </w:r>
      <w:r>
        <w:rPr>
          <w:rFonts w:hint="eastAsia" w:ascii="仿宋_GB2312" w:hAnsi="仿宋_GB2312" w:eastAsia="仿宋_GB2312" w:cs="仿宋_GB2312"/>
          <w:color w:val="000000"/>
          <w:sz w:val="32"/>
          <w:szCs w:val="32"/>
        </w:rPr>
        <w:t>前置审查。</w:t>
      </w:r>
    </w:p>
    <w:p>
      <w:pPr>
        <w:spacing w:line="560" w:lineRule="exact"/>
        <w:ind w:firstLine="643" w:firstLineChars="200"/>
        <w:rPr>
          <w:rFonts w:hint="eastAsia" w:ascii="仿宋_GB2312" w:hAnsi="仿宋_GB2312" w:eastAsia="仿宋_GB2312" w:cs="仿宋_GB2312"/>
          <w:b/>
          <w:bCs/>
          <w:sz w:val="32"/>
          <w:szCs w:val="32"/>
        </w:rPr>
      </w:pPr>
      <w:r>
        <w:rPr>
          <w:rFonts w:hint="eastAsia" w:ascii="仿宋_GB2312" w:hAnsi="仿宋_GB2312" w:eastAsia="仿宋_GB2312" w:cs="仿宋_GB2312"/>
          <w:b/>
          <w:bCs/>
          <w:color w:val="000000"/>
          <w:sz w:val="32"/>
          <w:szCs w:val="32"/>
          <w:lang w:val="en-US" w:eastAsia="zh-CN"/>
        </w:rPr>
        <w:t>6、</w:t>
      </w:r>
      <w:r>
        <w:rPr>
          <w:rFonts w:hint="eastAsia" w:ascii="仿宋_GB2312" w:hAnsi="仿宋_GB2312" w:eastAsia="仿宋_GB2312" w:cs="仿宋_GB2312"/>
          <w:b/>
          <w:bCs/>
          <w:sz w:val="32"/>
          <w:szCs w:val="32"/>
        </w:rPr>
        <w:t>服务对象满意度</w:t>
      </w:r>
    </w:p>
    <w:p>
      <w:pPr>
        <w:pStyle w:val="15"/>
        <w:spacing w:line="600" w:lineRule="exact"/>
        <w:ind w:left="420" w:left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 我单位服务对象满意度均在90%以上。</w:t>
      </w:r>
    </w:p>
    <w:p>
      <w:pPr>
        <w:pStyle w:val="15"/>
        <w:spacing w:line="600" w:lineRule="exact"/>
        <w:ind w:firstLine="643" w:firstLineChars="200"/>
        <w:rPr>
          <w:rFonts w:ascii="楷体" w:hAnsi="楷体" w:eastAsia="楷体" w:cs="楷体"/>
          <w:b/>
          <w:bCs/>
          <w:sz w:val="32"/>
          <w:szCs w:val="32"/>
        </w:rPr>
      </w:pPr>
      <w:r>
        <w:rPr>
          <w:rFonts w:hint="eastAsia" w:ascii="楷体" w:hAnsi="楷体" w:eastAsia="楷体" w:cs="楷体"/>
          <w:b/>
          <w:bCs/>
          <w:sz w:val="32"/>
          <w:szCs w:val="32"/>
        </w:rPr>
        <w:t>（二）存在的问题及原因分析</w:t>
      </w:r>
    </w:p>
    <w:p>
      <w:pPr>
        <w:pStyle w:val="15"/>
        <w:spacing w:line="600" w:lineRule="exact"/>
        <w:ind w:firstLine="640" w:firstLineChars="200"/>
        <w:rPr>
          <w:rFonts w:ascii="Times New Roman" w:hAnsi="Times New Roman" w:eastAsia="仿宋_GB2312"/>
          <w:sz w:val="32"/>
          <w:szCs w:val="32"/>
        </w:rPr>
      </w:pPr>
      <w:r>
        <w:rPr>
          <w:rFonts w:ascii="Times New Roman" w:hAnsi="Times New Roman" w:eastAsia="仿宋_GB2312"/>
          <w:sz w:val="32"/>
          <w:szCs w:val="32"/>
        </w:rPr>
        <w:t>1</w:t>
      </w:r>
      <w:r>
        <w:rPr>
          <w:rFonts w:hint="eastAsia" w:ascii="Times New Roman" w:hAnsi="Times New Roman" w:eastAsia="仿宋_GB2312"/>
          <w:sz w:val="32"/>
          <w:szCs w:val="32"/>
        </w:rPr>
        <w:t>、我单位项目支出预算执行率有待提高</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rPr>
        <w:t>项目支出全年预算数为</w:t>
      </w:r>
      <w:r>
        <w:rPr>
          <w:rFonts w:ascii="Times New Roman" w:hAnsi="Times New Roman" w:eastAsia="仿宋_GB2312"/>
          <w:sz w:val="32"/>
          <w:szCs w:val="32"/>
        </w:rPr>
        <w:t>2928.23</w:t>
      </w:r>
      <w:r>
        <w:rPr>
          <w:rFonts w:hint="eastAsia" w:ascii="Times New Roman" w:hAnsi="Times New Roman" w:eastAsia="仿宋_GB2312"/>
          <w:sz w:val="32"/>
          <w:szCs w:val="32"/>
        </w:rPr>
        <w:t>万元，决算数为</w:t>
      </w:r>
      <w:r>
        <w:rPr>
          <w:rFonts w:ascii="Times New Roman" w:hAnsi="Times New Roman" w:eastAsia="仿宋_GB2312"/>
          <w:sz w:val="32"/>
          <w:szCs w:val="32"/>
        </w:rPr>
        <w:t>1436.72</w:t>
      </w:r>
      <w:r>
        <w:rPr>
          <w:rFonts w:hint="eastAsia" w:ascii="Times New Roman" w:hAnsi="Times New Roman" w:eastAsia="仿宋_GB2312"/>
          <w:sz w:val="32"/>
          <w:szCs w:val="32"/>
        </w:rPr>
        <w:t>万元，执行率为</w:t>
      </w:r>
      <w:r>
        <w:rPr>
          <w:rFonts w:ascii="Times New Roman" w:hAnsi="Times New Roman" w:eastAsia="仿宋_GB2312"/>
          <w:sz w:val="32"/>
          <w:szCs w:val="32"/>
        </w:rPr>
        <w:t>49.06%</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rPr>
        <w:t>主要原因为项目跨年实施，项目前置审查本年未及完成，软件系统尚未采购。</w:t>
      </w:r>
    </w:p>
    <w:p>
      <w:pPr>
        <w:pStyle w:val="15"/>
        <w:spacing w:line="600" w:lineRule="exact"/>
        <w:ind w:firstLine="640" w:firstLineChars="200"/>
        <w:rPr>
          <w:rFonts w:ascii="Times New Roman" w:hAnsi="Times New Roman" w:eastAsia="仿宋_GB2312"/>
          <w:sz w:val="32"/>
          <w:szCs w:val="32"/>
        </w:rPr>
      </w:pPr>
      <w:r>
        <w:rPr>
          <w:rFonts w:hint="eastAsia" w:ascii="Times New Roman" w:hAnsi="Times New Roman" w:eastAsia="仿宋_GB2312"/>
          <w:sz w:val="32"/>
          <w:szCs w:val="32"/>
        </w:rPr>
        <w:t>下一步改进措施：完善单位预算编制管理，定期分析</w:t>
      </w:r>
      <w:r>
        <w:rPr>
          <w:rFonts w:hint="eastAsia" w:ascii="Times New Roman" w:hAnsi="Times New Roman" w:eastAsia="仿宋_GB2312"/>
          <w:sz w:val="32"/>
          <w:szCs w:val="32"/>
          <w:lang w:val="en-US" w:eastAsia="zh-CN"/>
        </w:rPr>
        <w:t>调度</w:t>
      </w:r>
      <w:r>
        <w:rPr>
          <w:rFonts w:hint="eastAsia" w:ascii="Times New Roman" w:hAnsi="Times New Roman" w:eastAsia="仿宋_GB2312"/>
          <w:sz w:val="32"/>
          <w:szCs w:val="32"/>
        </w:rPr>
        <w:t>项目资金的预算执行情况，</w:t>
      </w:r>
      <w:r>
        <w:rPr>
          <w:rFonts w:hint="eastAsia" w:ascii="Times New Roman" w:hAnsi="Times New Roman" w:eastAsia="仿宋_GB2312"/>
          <w:sz w:val="32"/>
          <w:szCs w:val="32"/>
          <w:lang w:val="en-US" w:eastAsia="zh-CN"/>
        </w:rPr>
        <w:t>并</w:t>
      </w:r>
      <w:r>
        <w:rPr>
          <w:rFonts w:hint="eastAsia" w:ascii="Times New Roman" w:hAnsi="Times New Roman" w:eastAsia="仿宋_GB2312"/>
          <w:sz w:val="32"/>
          <w:szCs w:val="32"/>
        </w:rPr>
        <w:t>作为下年预算编制的重要依据</w:t>
      </w:r>
      <w:r>
        <w:rPr>
          <w:rFonts w:hint="eastAsia" w:ascii="Times New Roman" w:hAnsi="Times New Roman" w:eastAsia="仿宋_GB2312"/>
          <w:sz w:val="32"/>
          <w:szCs w:val="32"/>
          <w:lang w:eastAsia="zh-CN"/>
        </w:rPr>
        <w:t>；</w:t>
      </w:r>
      <w:r>
        <w:rPr>
          <w:rFonts w:hint="eastAsia" w:ascii="Times New Roman" w:hAnsi="Times New Roman" w:eastAsia="仿宋_GB2312"/>
          <w:sz w:val="32"/>
          <w:szCs w:val="32"/>
        </w:rPr>
        <w:t>加强对跨年项目的实施管理，进一步提高我单位预算执行率。</w:t>
      </w:r>
    </w:p>
    <w:p>
      <w:pPr>
        <w:pStyle w:val="15"/>
        <w:jc w:val="center"/>
        <w:rPr>
          <w:sz w:val="72"/>
          <w:szCs w:val="72"/>
        </w:rPr>
      </w:pPr>
    </w:p>
    <w:p>
      <w:pPr>
        <w:pStyle w:val="15"/>
        <w:jc w:val="center"/>
        <w:rPr>
          <w:sz w:val="72"/>
          <w:szCs w:val="72"/>
        </w:rPr>
      </w:pPr>
    </w:p>
    <w:p>
      <w:pPr>
        <w:pStyle w:val="15"/>
        <w:jc w:val="center"/>
        <w:rPr>
          <w:sz w:val="72"/>
          <w:szCs w:val="72"/>
        </w:rPr>
      </w:pPr>
    </w:p>
    <w:p>
      <w:pPr>
        <w:pStyle w:val="15"/>
        <w:jc w:val="both"/>
        <w:rPr>
          <w:rFonts w:ascii="方正小标宋_GBK" w:hAnsi="方正小标宋_GBK" w:eastAsia="方正小标宋_GBK" w:cs="方正小标宋_GBK"/>
          <w:sz w:val="72"/>
          <w:szCs w:val="72"/>
        </w:rPr>
      </w:pPr>
    </w:p>
    <w:p>
      <w:pPr>
        <w:pStyle w:val="15"/>
        <w:jc w:val="center"/>
        <w:rPr>
          <w:rFonts w:ascii="方正小标宋_GBK" w:hAnsi="方正小标宋_GBK" w:eastAsia="方正小标宋_GBK" w:cs="方正小标宋_GBK"/>
          <w:sz w:val="72"/>
          <w:szCs w:val="72"/>
        </w:rPr>
      </w:pPr>
    </w:p>
    <w:p>
      <w:pPr>
        <w:pStyle w:val="15"/>
        <w:jc w:val="center"/>
        <w:rPr>
          <w:rFonts w:ascii="方正小标宋_GBK" w:hAnsi="方正小标宋_GBK" w:eastAsia="方正小标宋_GBK" w:cs="方正小标宋_GBK"/>
          <w:sz w:val="72"/>
          <w:szCs w:val="72"/>
        </w:rPr>
      </w:pPr>
    </w:p>
    <w:p>
      <w:pPr>
        <w:pStyle w:val="15"/>
        <w:jc w:val="center"/>
        <w:rPr>
          <w:rFonts w:ascii="方正小标宋_GBK" w:hAnsi="方正小标宋_GBK" w:eastAsia="方正小标宋_GBK" w:cs="方正小标宋_GBK"/>
          <w:sz w:val="72"/>
          <w:szCs w:val="72"/>
        </w:rPr>
      </w:pPr>
    </w:p>
    <w:p>
      <w:pPr>
        <w:pStyle w:val="15"/>
        <w:jc w:val="center"/>
        <w:rPr>
          <w:rFonts w:ascii="方正小标宋_GBK" w:hAnsi="方正小标宋_GBK" w:eastAsia="方正小标宋_GBK" w:cs="方正小标宋_GBK"/>
          <w:sz w:val="72"/>
          <w:szCs w:val="72"/>
        </w:rPr>
      </w:pPr>
    </w:p>
    <w:p>
      <w:pPr>
        <w:pStyle w:val="15"/>
        <w:jc w:val="center"/>
        <w:rPr>
          <w:rFonts w:ascii="方正小标宋_GBK" w:hAnsi="方正小标宋_GBK" w:eastAsia="方正小标宋_GBK" w:cs="方正小标宋_GBK"/>
          <w:sz w:val="72"/>
          <w:szCs w:val="72"/>
        </w:rPr>
      </w:pPr>
    </w:p>
    <w:p>
      <w:pPr>
        <w:pStyle w:val="15"/>
        <w:jc w:val="center"/>
        <w:rPr>
          <w:rFonts w:ascii="方正小标宋_GBK" w:hAnsi="方正小标宋_GBK" w:eastAsia="方正小标宋_GBK" w:cs="方正小标宋_GBK"/>
          <w:sz w:val="72"/>
          <w:szCs w:val="72"/>
        </w:rPr>
      </w:pPr>
    </w:p>
    <w:p>
      <w:pPr>
        <w:pStyle w:val="15"/>
        <w:jc w:val="center"/>
        <w:rPr>
          <w:rFonts w:ascii="方正小标宋_GBK" w:hAnsi="方正小标宋_GBK" w:eastAsia="方正小标宋_GBK" w:cs="方正小标宋_GBK"/>
          <w:sz w:val="72"/>
          <w:szCs w:val="72"/>
        </w:rPr>
      </w:pPr>
    </w:p>
    <w:p>
      <w:pPr>
        <w:pStyle w:val="15"/>
        <w:jc w:val="center"/>
        <w:rPr>
          <w:rFonts w:ascii="方正小标宋_GBK" w:hAnsi="方正小标宋_GBK" w:eastAsia="方正小标宋_GBK" w:cs="方正小标宋_GBK"/>
          <w:sz w:val="72"/>
          <w:szCs w:val="72"/>
        </w:rPr>
      </w:pPr>
    </w:p>
    <w:p>
      <w:pPr>
        <w:pStyle w:val="15"/>
        <w:jc w:val="center"/>
        <w:rPr>
          <w:rFonts w:ascii="方正小标宋_GBK" w:hAnsi="方正小标宋_GBK" w:eastAsia="方正小标宋_GBK" w:cs="方正小标宋_GBK"/>
          <w:sz w:val="72"/>
          <w:szCs w:val="72"/>
        </w:rPr>
      </w:pPr>
    </w:p>
    <w:p>
      <w:pPr>
        <w:pStyle w:val="15"/>
        <w:jc w:val="center"/>
        <w:rPr>
          <w:rFonts w:ascii="方正小标宋_GBK" w:hAnsi="方正小标宋_GBK" w:eastAsia="方正小标宋_GBK" w:cs="方正小标宋_GBK"/>
          <w:sz w:val="72"/>
          <w:szCs w:val="72"/>
        </w:rPr>
      </w:pPr>
    </w:p>
    <w:p>
      <w:pPr>
        <w:pStyle w:val="15"/>
        <w:jc w:val="center"/>
        <w:rPr>
          <w:rFonts w:ascii="方正小标宋_GBK" w:hAnsi="方正小标宋_GBK" w:eastAsia="方正小标宋_GBK" w:cs="方正小标宋_GBK"/>
          <w:sz w:val="72"/>
          <w:szCs w:val="72"/>
        </w:rPr>
      </w:pPr>
      <w:r>
        <w:rPr>
          <w:rFonts w:hint="eastAsia" w:ascii="方正小标宋_GBK" w:hAnsi="方正小标宋_GBK" w:eastAsia="方正小标宋_GBK" w:cs="方正小标宋_GBK"/>
          <w:sz w:val="72"/>
          <w:szCs w:val="72"/>
        </w:rPr>
        <w:t>第四部分</w:t>
      </w:r>
    </w:p>
    <w:p>
      <w:pPr>
        <w:jc w:val="center"/>
        <w:rPr>
          <w:rFonts w:ascii="方正小标宋_GBK" w:hAnsi="方正小标宋_GBK" w:eastAsia="方正小标宋_GBK" w:cs="方正小标宋_GBK"/>
          <w:color w:val="000000"/>
          <w:kern w:val="0"/>
          <w:sz w:val="72"/>
          <w:szCs w:val="72"/>
        </w:rPr>
      </w:pPr>
    </w:p>
    <w:p>
      <w:pPr>
        <w:jc w:val="center"/>
        <w:rPr>
          <w:rFonts w:ascii="方正小标宋_GBK" w:hAnsi="方正小标宋_GBK" w:eastAsia="方正小标宋_GBK" w:cs="方正小标宋_GBK"/>
          <w:color w:val="000000"/>
          <w:kern w:val="0"/>
          <w:sz w:val="72"/>
          <w:szCs w:val="72"/>
        </w:rPr>
      </w:pPr>
      <w:r>
        <w:rPr>
          <w:rFonts w:hint="eastAsia" w:ascii="方正小标宋_GBK" w:hAnsi="方正小标宋_GBK" w:eastAsia="方正小标宋_GBK" w:cs="方正小标宋_GBK"/>
          <w:color w:val="000000"/>
          <w:kern w:val="0"/>
          <w:sz w:val="72"/>
          <w:szCs w:val="72"/>
        </w:rPr>
        <w:t>名词解释</w:t>
      </w:r>
    </w:p>
    <w:p>
      <w:pPr>
        <w:widowControl/>
        <w:jc w:val="left"/>
        <w:rPr>
          <w:rFonts w:ascii="宋体" w:cs="黑体"/>
          <w:color w:val="000000"/>
          <w:kern w:val="0"/>
          <w:sz w:val="32"/>
          <w:szCs w:val="32"/>
        </w:rPr>
      </w:pPr>
      <w:r>
        <w:br w:type="page"/>
      </w:r>
    </w:p>
    <w:p>
      <w:pPr>
        <w:numPr>
          <w:ilvl w:val="0"/>
          <w:numId w:val="4"/>
        </w:numPr>
        <w:ind w:firstLine="640" w:firstLineChars="200"/>
        <w:jc w:val="left"/>
        <w:rPr>
          <w:rFonts w:ascii="仿宋" w:hAnsi="仿宋" w:eastAsia="仿宋" w:cs="黑体"/>
          <w:bCs/>
          <w:color w:val="000000"/>
          <w:kern w:val="0"/>
          <w:sz w:val="32"/>
          <w:szCs w:val="32"/>
        </w:rPr>
      </w:pPr>
      <w:r>
        <w:rPr>
          <w:rFonts w:hint="eastAsia" w:ascii="仿宋" w:hAnsi="仿宋" w:eastAsia="仿宋" w:cs="黑体"/>
          <w:bCs/>
          <w:color w:val="000000"/>
          <w:kern w:val="0"/>
          <w:sz w:val="32"/>
          <w:szCs w:val="32"/>
        </w:rPr>
        <w:t>基本支出：指为保障机构正常运转、完成日常工作任务而发生的各项支出，包括人员支出和公用支出。</w:t>
      </w:r>
    </w:p>
    <w:p>
      <w:pPr>
        <w:numPr>
          <w:ilvl w:val="0"/>
          <w:numId w:val="4"/>
        </w:numPr>
        <w:ind w:firstLine="640" w:firstLineChars="200"/>
        <w:jc w:val="left"/>
        <w:rPr>
          <w:rFonts w:ascii="仿宋" w:hAnsi="仿宋" w:eastAsia="仿宋" w:cs="黑体"/>
          <w:bCs/>
          <w:color w:val="000000"/>
          <w:kern w:val="0"/>
          <w:sz w:val="32"/>
          <w:szCs w:val="32"/>
        </w:rPr>
      </w:pPr>
      <w:r>
        <w:rPr>
          <w:rFonts w:hint="eastAsia" w:ascii="仿宋" w:hAnsi="仿宋" w:eastAsia="仿宋" w:cs="黑体"/>
          <w:bCs/>
          <w:color w:val="000000"/>
          <w:kern w:val="0"/>
          <w:sz w:val="32"/>
          <w:szCs w:val="32"/>
        </w:rPr>
        <w:t>项目支出：指在基本支出以外为完成相关行政任务和事业发展目标所发生的各项支出。</w:t>
      </w:r>
      <w:r>
        <w:rPr>
          <w:rFonts w:ascii="仿宋" w:hAnsi="仿宋" w:eastAsia="仿宋" w:cs="黑体"/>
          <w:bCs/>
          <w:color w:val="000000"/>
          <w:kern w:val="0"/>
          <w:sz w:val="32"/>
          <w:szCs w:val="32"/>
        </w:rPr>
        <w:t xml:space="preserve"> </w:t>
      </w:r>
    </w:p>
    <w:p>
      <w:pPr>
        <w:pStyle w:val="15"/>
        <w:ind w:firstLine="640" w:firstLineChars="200"/>
        <w:rPr>
          <w:rFonts w:ascii="仿宋" w:hAnsi="仿宋" w:eastAsia="仿宋"/>
          <w:bCs/>
          <w:sz w:val="32"/>
          <w:szCs w:val="32"/>
        </w:rPr>
      </w:pPr>
      <w:r>
        <w:rPr>
          <w:rFonts w:hint="eastAsia" w:ascii="仿宋" w:hAnsi="仿宋" w:eastAsia="仿宋"/>
          <w:bCs/>
          <w:sz w:val="32"/>
          <w:szCs w:val="32"/>
        </w:rPr>
        <w:t>三、“三公”经费</w:t>
      </w:r>
      <w:r>
        <w:rPr>
          <w:rFonts w:ascii="仿宋" w:hAnsi="仿宋" w:eastAsia="仿宋"/>
          <w:bCs/>
          <w:sz w:val="32"/>
          <w:szCs w:val="32"/>
        </w:rPr>
        <w:t>:</w:t>
      </w:r>
      <w:r>
        <w:rPr>
          <w:rFonts w:hint="eastAsia" w:ascii="仿宋" w:hAnsi="仿宋" w:eastAsia="仿宋"/>
          <w:bCs/>
          <w:sz w:val="32"/>
          <w:szCs w:val="32"/>
        </w:rPr>
        <w:t>纳入省财政预算管理的“三公“经费，是指用一般公共预算拨款安排的公务接待费、公务用车购置及运行维护费和因公出国</w:t>
      </w:r>
      <w:r>
        <w:rPr>
          <w:rFonts w:ascii="仿宋" w:hAnsi="仿宋" w:eastAsia="仿宋"/>
          <w:bCs/>
          <w:sz w:val="32"/>
          <w:szCs w:val="32"/>
        </w:rPr>
        <w:t>(</w:t>
      </w:r>
      <w:r>
        <w:rPr>
          <w:rFonts w:hint="eastAsia" w:ascii="仿宋" w:hAnsi="仿宋" w:eastAsia="仿宋"/>
          <w:bCs/>
          <w:sz w:val="32"/>
          <w:szCs w:val="32"/>
        </w:rPr>
        <w:t>境）费。其中，公务接待费反映单位按规定开支的各类公务接待支出</w:t>
      </w:r>
      <w:r>
        <w:rPr>
          <w:rFonts w:ascii="仿宋" w:hAnsi="仿宋" w:eastAsia="仿宋"/>
          <w:bCs/>
          <w:sz w:val="32"/>
          <w:szCs w:val="32"/>
        </w:rPr>
        <w:t>;</w:t>
      </w:r>
      <w:r>
        <w:rPr>
          <w:rFonts w:hint="eastAsia" w:ascii="仿宋" w:hAnsi="仿宋" w:eastAsia="仿宋"/>
          <w:bCs/>
          <w:sz w:val="32"/>
          <w:szCs w:val="32"/>
        </w:rPr>
        <w:t>公务用车购置及运行费反映单位公务用车车辆购置支出（含车辆购置税），以及燃料费、维修费、保险费等支出</w:t>
      </w:r>
      <w:r>
        <w:rPr>
          <w:rFonts w:ascii="仿宋" w:hAnsi="仿宋" w:eastAsia="仿宋"/>
          <w:bCs/>
          <w:sz w:val="32"/>
          <w:szCs w:val="32"/>
        </w:rPr>
        <w:t>;</w:t>
      </w:r>
      <w:r>
        <w:rPr>
          <w:rFonts w:hint="eastAsia" w:ascii="仿宋" w:hAnsi="仿宋" w:eastAsia="仿宋"/>
          <w:bCs/>
          <w:sz w:val="32"/>
          <w:szCs w:val="32"/>
        </w:rPr>
        <w:t>因公出国</w:t>
      </w:r>
      <w:r>
        <w:rPr>
          <w:rFonts w:ascii="仿宋" w:hAnsi="仿宋" w:eastAsia="仿宋"/>
          <w:bCs/>
          <w:sz w:val="32"/>
          <w:szCs w:val="32"/>
        </w:rPr>
        <w:t>(</w:t>
      </w:r>
      <w:r>
        <w:rPr>
          <w:rFonts w:hint="eastAsia" w:ascii="仿宋" w:hAnsi="仿宋" w:eastAsia="仿宋"/>
          <w:bCs/>
          <w:sz w:val="32"/>
          <w:szCs w:val="32"/>
        </w:rPr>
        <w:t>境）费反映单位公务出国（境</w:t>
      </w:r>
      <w:r>
        <w:rPr>
          <w:rFonts w:ascii="仿宋" w:hAnsi="仿宋" w:eastAsia="仿宋"/>
          <w:bCs/>
          <w:sz w:val="32"/>
          <w:szCs w:val="32"/>
        </w:rPr>
        <w:t>)</w:t>
      </w:r>
      <w:r>
        <w:rPr>
          <w:rFonts w:hint="eastAsia" w:ascii="仿宋" w:hAnsi="仿宋" w:eastAsia="仿宋"/>
          <w:bCs/>
          <w:sz w:val="32"/>
          <w:szCs w:val="32"/>
        </w:rPr>
        <w:t>的国际旅费、国外城市间交通费、食宿费等支出。</w:t>
      </w:r>
    </w:p>
    <w:p>
      <w:pPr>
        <w:pStyle w:val="15"/>
        <w:jc w:val="center"/>
        <w:rPr>
          <w:sz w:val="72"/>
          <w:szCs w:val="72"/>
        </w:rPr>
      </w:pPr>
    </w:p>
    <w:p>
      <w:pPr>
        <w:pStyle w:val="15"/>
        <w:jc w:val="center"/>
        <w:rPr>
          <w:sz w:val="72"/>
          <w:szCs w:val="72"/>
        </w:rPr>
      </w:pPr>
    </w:p>
    <w:p>
      <w:pPr>
        <w:pStyle w:val="15"/>
        <w:jc w:val="center"/>
        <w:rPr>
          <w:sz w:val="72"/>
          <w:szCs w:val="72"/>
        </w:rPr>
      </w:pPr>
    </w:p>
    <w:p>
      <w:pPr>
        <w:pStyle w:val="15"/>
        <w:jc w:val="center"/>
        <w:rPr>
          <w:sz w:val="72"/>
          <w:szCs w:val="72"/>
        </w:rPr>
      </w:pPr>
    </w:p>
    <w:p>
      <w:pPr>
        <w:pStyle w:val="15"/>
        <w:jc w:val="center"/>
        <w:rPr>
          <w:sz w:val="72"/>
          <w:szCs w:val="72"/>
        </w:rPr>
      </w:pPr>
    </w:p>
    <w:p>
      <w:pPr>
        <w:jc w:val="left"/>
        <w:rPr>
          <w:rFonts w:ascii="宋体" w:cs="黑体"/>
          <w:color w:val="000000"/>
          <w:kern w:val="0"/>
          <w:sz w:val="32"/>
          <w:szCs w:val="32"/>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ED4B7BFD-96EA-4E48-8B52-C2FB2C4EFAF3}"/>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小标宋_GBK">
    <w:panose1 w:val="02000000000000000000"/>
    <w:charset w:val="86"/>
    <w:family w:val="auto"/>
    <w:pitch w:val="default"/>
    <w:sig w:usb0="00000000" w:usb1="00000000" w:usb2="00000000" w:usb3="00000000" w:csb0="00000000" w:csb1="00000000"/>
    <w:embedRegular r:id="rId2" w:fontKey="{6832020D-10C0-43BC-ADFC-0E36AE755A5A}"/>
  </w:font>
  <w:font w:name="仿宋_GB2312">
    <w:panose1 w:val="02010609030101010101"/>
    <w:charset w:val="86"/>
    <w:family w:val="auto"/>
    <w:pitch w:val="default"/>
    <w:sig w:usb0="00000000" w:usb1="00000000" w:usb2="00000000" w:usb3="00000000" w:csb0="00000000" w:csb1="00000000"/>
    <w:embedRegular r:id="rId3" w:fontKey="{5FC12CE0-2514-480C-AFDB-8494B4550D26}"/>
  </w:font>
  <w:font w:name="仿宋">
    <w:panose1 w:val="02010609060101010101"/>
    <w:charset w:val="86"/>
    <w:family w:val="modern"/>
    <w:pitch w:val="default"/>
    <w:sig w:usb0="800002BF" w:usb1="38CF7CFA" w:usb2="00000016" w:usb3="00000000" w:csb0="00040001" w:csb1="00000000"/>
    <w:embedRegular r:id="rId4" w:fontKey="{6AE9A1E8-5AC1-490B-8633-14185DE19843}"/>
  </w:font>
  <w:font w:name="华文中宋">
    <w:panose1 w:val="02010600040101010101"/>
    <w:charset w:val="86"/>
    <w:family w:val="auto"/>
    <w:pitch w:val="default"/>
    <w:sig w:usb0="00000287" w:usb1="080F0000" w:usb2="00000000" w:usb3="00000000" w:csb0="0004009F" w:csb1="DFD70000"/>
    <w:embedRegular r:id="rId5" w:fontKey="{6E579D7D-C45C-421C-BCC5-D173D959E07C}"/>
  </w:font>
  <w:font w:name="楷体">
    <w:panose1 w:val="02010609060101010101"/>
    <w:charset w:val="86"/>
    <w:family w:val="modern"/>
    <w:pitch w:val="default"/>
    <w:sig w:usb0="800002BF" w:usb1="38CF7CFA" w:usb2="00000016" w:usb3="00000000" w:csb0="00040001" w:csb1="00000000"/>
    <w:embedRegular r:id="rId6" w:fontKey="{4423CE30-9B9F-495A-BD3B-127F77B5CF1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7" name="文本框 10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4"/>
                          </w:pPr>
                          <w:r>
                            <w:fldChar w:fldCharType="begin"/>
                          </w:r>
                          <w:r>
                            <w:instrText xml:space="preserve"> PAGE  \* MERGEFORMAT </w:instrText>
                          </w:r>
                          <w:r>
                            <w:fldChar w:fldCharType="separate"/>
                          </w:r>
                          <w:r>
                            <w:t>1</w:t>
                          </w:r>
                          <w:r>
                            <w:fldChar w:fldCharType="end"/>
                          </w:r>
                        </w:p>
                      </w:txbxContent>
                    </wps:txbx>
                    <wps:bodyPr wrap="none" lIns="0" tIns="0" rIns="0" bIns="0" upright="0">
                      <a:spAutoFit/>
                    </wps:bodyPr>
                  </wps:wsp>
                </a:graphicData>
              </a:graphic>
            </wp:anchor>
          </w:drawing>
        </mc:Choice>
        <mc:Fallback>
          <w:pict>
            <v:shape id="文本框 1025"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M6pebnPAAAABQEA&#10;AA8AAAAAAAAAAQAgAAAAIgAAAGRycy9kb3ducmV2LnhtbFBLAQIUABQAAAAIAIdO4kCyknP4sQEA&#10;AE4DAAAOAAAAAAAAAAEAIAAAAB4BAABkcnMvZTJvRG9jLnhtbFBLBQYAAAAABgAGAFkBAABBBQAA&#10;AAA=&#10;">
              <v:fill on="f" focussize="0,0"/>
              <v:stroke on="f"/>
              <v:imagedata o:title=""/>
              <o:lock v:ext="edit" aspectratio="f"/>
              <v:textbox inset="0mm,0mm,0mm,0mm" style="mso-fit-shape-to-text:t;">
                <w:txbxContent>
                  <w:p>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CDE2A6C"/>
    <w:multiLevelType w:val="singleLevel"/>
    <w:tmpl w:val="BCDE2A6C"/>
    <w:lvl w:ilvl="0" w:tentative="0">
      <w:start w:val="1"/>
      <w:numFmt w:val="chineseCounting"/>
      <w:suff w:val="nothing"/>
      <w:lvlText w:val="%1、"/>
      <w:lvlJc w:val="left"/>
      <w:rPr>
        <w:rFonts w:hint="eastAsia" w:cs="Times New Roman"/>
      </w:rPr>
    </w:lvl>
  </w:abstractNum>
  <w:abstractNum w:abstractNumId="1">
    <w:nsid w:val="CF092B84"/>
    <w:multiLevelType w:val="multilevel"/>
    <w:tmpl w:val="CF092B84"/>
    <w:lvl w:ilvl="0" w:tentative="0">
      <w:start w:val="1"/>
      <w:numFmt w:val="none"/>
      <w:lvlText w:val="一、"/>
      <w:lvlJc w:val="left"/>
      <w:pPr>
        <w:ind w:left="720" w:hanging="720"/>
      </w:pPr>
      <w:rPr>
        <w:rFonts w:hint="default" w:cs="Times New Roman"/>
      </w:rPr>
    </w:lvl>
    <w:lvl w:ilvl="1" w:tentative="0">
      <w:start w:val="1"/>
      <w:numFmt w:val="lowerLetter"/>
      <w:lvlText w:val="%2)"/>
      <w:lvlJc w:val="left"/>
      <w:pPr>
        <w:ind w:left="840" w:hanging="420"/>
      </w:pPr>
      <w:rPr>
        <w:rFonts w:cs="Times New Roman"/>
      </w:rPr>
    </w:lvl>
    <w:lvl w:ilvl="2" w:tentative="0">
      <w:start w:val="1"/>
      <w:numFmt w:val="lowerRoman"/>
      <w:lvlText w:val="%3."/>
      <w:lvlJc w:val="right"/>
      <w:pPr>
        <w:ind w:left="1260" w:hanging="420"/>
      </w:pPr>
      <w:rPr>
        <w:rFonts w:cs="Times New Roman"/>
      </w:rPr>
    </w:lvl>
    <w:lvl w:ilvl="3" w:tentative="0">
      <w:start w:val="1"/>
      <w:numFmt w:val="decimal"/>
      <w:lvlText w:val="%4."/>
      <w:lvlJc w:val="left"/>
      <w:pPr>
        <w:ind w:left="1680" w:hanging="420"/>
      </w:pPr>
      <w:rPr>
        <w:rFonts w:cs="Times New Roman"/>
      </w:rPr>
    </w:lvl>
    <w:lvl w:ilvl="4" w:tentative="0">
      <w:start w:val="1"/>
      <w:numFmt w:val="lowerLetter"/>
      <w:lvlText w:val="%5)"/>
      <w:lvlJc w:val="left"/>
      <w:pPr>
        <w:ind w:left="2100" w:hanging="420"/>
      </w:pPr>
      <w:rPr>
        <w:rFonts w:cs="Times New Roman"/>
      </w:rPr>
    </w:lvl>
    <w:lvl w:ilvl="5" w:tentative="0">
      <w:start w:val="1"/>
      <w:numFmt w:val="lowerRoman"/>
      <w:lvlText w:val="%6."/>
      <w:lvlJc w:val="right"/>
      <w:pPr>
        <w:ind w:left="2520" w:hanging="420"/>
      </w:pPr>
      <w:rPr>
        <w:rFonts w:cs="Times New Roman"/>
      </w:rPr>
    </w:lvl>
    <w:lvl w:ilvl="6" w:tentative="0">
      <w:start w:val="1"/>
      <w:numFmt w:val="decimal"/>
      <w:lvlText w:val="%7."/>
      <w:lvlJc w:val="left"/>
      <w:pPr>
        <w:ind w:left="2940" w:hanging="420"/>
      </w:pPr>
      <w:rPr>
        <w:rFonts w:cs="Times New Roman"/>
      </w:rPr>
    </w:lvl>
    <w:lvl w:ilvl="7" w:tentative="0">
      <w:start w:val="1"/>
      <w:numFmt w:val="lowerLetter"/>
      <w:lvlText w:val="%8)"/>
      <w:lvlJc w:val="left"/>
      <w:pPr>
        <w:ind w:left="3360" w:hanging="420"/>
      </w:pPr>
      <w:rPr>
        <w:rFonts w:cs="Times New Roman"/>
      </w:rPr>
    </w:lvl>
    <w:lvl w:ilvl="8" w:tentative="0">
      <w:start w:val="1"/>
      <w:numFmt w:val="lowerRoman"/>
      <w:lvlText w:val="%9."/>
      <w:lvlJc w:val="right"/>
      <w:pPr>
        <w:ind w:left="3780" w:hanging="420"/>
      </w:pPr>
      <w:rPr>
        <w:rFonts w:cs="Times New Roman"/>
      </w:rPr>
    </w:lvl>
  </w:abstractNum>
  <w:abstractNum w:abstractNumId="2">
    <w:nsid w:val="DF54D720"/>
    <w:multiLevelType w:val="singleLevel"/>
    <w:tmpl w:val="DF54D720"/>
    <w:lvl w:ilvl="0" w:tentative="0">
      <w:start w:val="7"/>
      <w:numFmt w:val="chineseCounting"/>
      <w:suff w:val="nothing"/>
      <w:lvlText w:val="%1、"/>
      <w:lvlJc w:val="left"/>
      <w:rPr>
        <w:rFonts w:hint="eastAsia" w:cs="Times New Roman"/>
      </w:rPr>
    </w:lvl>
  </w:abstractNum>
  <w:abstractNum w:abstractNumId="3">
    <w:nsid w:val="10450C1A"/>
    <w:multiLevelType w:val="singleLevel"/>
    <w:tmpl w:val="10450C1A"/>
    <w:lvl w:ilvl="0" w:tentative="0">
      <w:start w:val="3"/>
      <w:numFmt w:val="decimal"/>
      <w:suff w:val="nothing"/>
      <w:lvlText w:val="%1、"/>
      <w:lvlJc w:val="left"/>
      <w:rPr>
        <w:rFonts w:cs="Times New Roman"/>
      </w:r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oNotDisplayPageBoundaries w:val="1"/>
  <w:embedTrueTypeFonts/>
  <w:saveSubsetFonts/>
  <w:bordersDoNotSurroundHeader w:val="1"/>
  <w:bordersDoNotSurroundFooter w:val="1"/>
  <w:documentProtection w:enforcement="0"/>
  <w:defaultTabStop w:val="420"/>
  <w:drawingGridHorizontalSpacing w:val="105"/>
  <w:drawingGridVerticalSpacing w:val="156"/>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useFELayout/>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Y5ZTFmYjVmZTJkNzMyN2JkNTMyYzliODk5MmRkOTIifQ=="/>
  </w:docVars>
  <w:rsids>
    <w:rsidRoot w:val="00DF089F"/>
    <w:rsid w:val="000014B6"/>
    <w:rsid w:val="000836B5"/>
    <w:rsid w:val="00473609"/>
    <w:rsid w:val="00642924"/>
    <w:rsid w:val="008355D6"/>
    <w:rsid w:val="009916C4"/>
    <w:rsid w:val="00B61A19"/>
    <w:rsid w:val="00C017EA"/>
    <w:rsid w:val="00C7135A"/>
    <w:rsid w:val="00CC71C7"/>
    <w:rsid w:val="00D403FC"/>
    <w:rsid w:val="00DF089F"/>
    <w:rsid w:val="00E8717B"/>
    <w:rsid w:val="00F800A7"/>
    <w:rsid w:val="0ABA0CEF"/>
    <w:rsid w:val="10D055A5"/>
    <w:rsid w:val="11A97A8E"/>
    <w:rsid w:val="14CB23DD"/>
    <w:rsid w:val="1AF52302"/>
    <w:rsid w:val="20D050E1"/>
    <w:rsid w:val="215C78F7"/>
    <w:rsid w:val="25975154"/>
    <w:rsid w:val="2697285E"/>
    <w:rsid w:val="2A3B56D2"/>
    <w:rsid w:val="2B5313EA"/>
    <w:rsid w:val="2EBC4B08"/>
    <w:rsid w:val="343F478D"/>
    <w:rsid w:val="35040F15"/>
    <w:rsid w:val="37C265E4"/>
    <w:rsid w:val="38D54487"/>
    <w:rsid w:val="3A376017"/>
    <w:rsid w:val="3E465B55"/>
    <w:rsid w:val="4394097B"/>
    <w:rsid w:val="45C45923"/>
    <w:rsid w:val="52A1236D"/>
    <w:rsid w:val="54917DD5"/>
    <w:rsid w:val="55C56FB7"/>
    <w:rsid w:val="567151E8"/>
    <w:rsid w:val="57A93AB1"/>
    <w:rsid w:val="5C9B57A0"/>
    <w:rsid w:val="698A2A73"/>
    <w:rsid w:val="6C4E0789"/>
    <w:rsid w:val="6F9E4479"/>
    <w:rsid w:val="6FA44611"/>
    <w:rsid w:val="72250449"/>
    <w:rsid w:val="729441FA"/>
    <w:rsid w:val="7A7A6DE9"/>
    <w:rsid w:val="7D80673D"/>
    <w:rsid w:val="7EE542E7"/>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uiPriority="99"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qFormat="1" w:unhideWhenUsed="0"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Arial"/>
      <w:kern w:val="2"/>
      <w:sz w:val="21"/>
      <w:szCs w:val="22"/>
      <w:lang w:val="en-US" w:eastAsia="zh-CN" w:bidi="ar-SA"/>
    </w:rPr>
  </w:style>
  <w:style w:type="character" w:default="1" w:styleId="9">
    <w:name w:val="Default Paragraph Font"/>
    <w:semiHidden/>
    <w:qFormat/>
    <w:uiPriority w:val="99"/>
  </w:style>
  <w:style w:type="table" w:default="1" w:styleId="7">
    <w:name w:val="Normal Table"/>
    <w:semiHidden/>
    <w:unhideWhenUsed/>
    <w:qFormat/>
    <w:uiPriority w:val="99"/>
    <w:tblPr>
      <w:tblLayout w:type="fixed"/>
      <w:tblCellMar>
        <w:top w:w="0" w:type="dxa"/>
        <w:left w:w="108" w:type="dxa"/>
        <w:bottom w:w="0" w:type="dxa"/>
        <w:right w:w="108" w:type="dxa"/>
      </w:tblCellMar>
    </w:tblPr>
  </w:style>
  <w:style w:type="paragraph" w:styleId="2">
    <w:name w:val="Body Text Indent"/>
    <w:basedOn w:val="1"/>
    <w:link w:val="10"/>
    <w:qFormat/>
    <w:uiPriority w:val="99"/>
    <w:pPr>
      <w:spacing w:after="120"/>
      <w:ind w:left="420" w:leftChars="200"/>
    </w:pPr>
  </w:style>
  <w:style w:type="paragraph" w:styleId="3">
    <w:name w:val="Balloon Text"/>
    <w:basedOn w:val="1"/>
    <w:link w:val="11"/>
    <w:semiHidden/>
    <w:qFormat/>
    <w:uiPriority w:val="99"/>
    <w:rPr>
      <w:sz w:val="18"/>
      <w:szCs w:val="18"/>
    </w:rPr>
  </w:style>
  <w:style w:type="paragraph" w:styleId="4">
    <w:name w:val="footer"/>
    <w:basedOn w:val="1"/>
    <w:link w:val="12"/>
    <w:qFormat/>
    <w:uiPriority w:val="99"/>
    <w:pPr>
      <w:tabs>
        <w:tab w:val="center" w:pos="4153"/>
        <w:tab w:val="right" w:pos="8306"/>
      </w:tabs>
      <w:snapToGrid w:val="0"/>
      <w:jc w:val="left"/>
    </w:pPr>
    <w:rPr>
      <w:sz w:val="18"/>
      <w:szCs w:val="18"/>
    </w:rPr>
  </w:style>
  <w:style w:type="paragraph" w:styleId="5">
    <w:name w:val="header"/>
    <w:basedOn w:val="1"/>
    <w:link w:val="13"/>
    <w:qFormat/>
    <w:uiPriority w:val="99"/>
    <w:pPr>
      <w:pBdr>
        <w:bottom w:val="single" w:color="auto" w:sz="6" w:space="1"/>
      </w:pBdr>
      <w:tabs>
        <w:tab w:val="center" w:pos="4153"/>
        <w:tab w:val="right" w:pos="8306"/>
      </w:tabs>
      <w:snapToGrid w:val="0"/>
      <w:jc w:val="center"/>
    </w:pPr>
    <w:rPr>
      <w:sz w:val="18"/>
      <w:szCs w:val="18"/>
    </w:rPr>
  </w:style>
  <w:style w:type="paragraph" w:styleId="6">
    <w:name w:val="Body Text First Indent 2"/>
    <w:basedOn w:val="2"/>
    <w:link w:val="14"/>
    <w:qFormat/>
    <w:uiPriority w:val="99"/>
    <w:pPr>
      <w:ind w:firstLine="420" w:firstLineChars="200"/>
    </w:pPr>
  </w:style>
  <w:style w:type="table" w:styleId="8">
    <w:name w:val="Table Grid"/>
    <w:basedOn w:val="7"/>
    <w:qFormat/>
    <w:uiPriority w:val="99"/>
    <w:rPr>
      <w:kern w:val="0"/>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style>
  <w:style w:type="character" w:customStyle="1" w:styleId="10">
    <w:name w:val="Body Text Indent Char"/>
    <w:basedOn w:val="9"/>
    <w:link w:val="2"/>
    <w:semiHidden/>
    <w:qFormat/>
    <w:locked/>
    <w:uiPriority w:val="99"/>
    <w:rPr>
      <w:rFonts w:ascii="Calibri" w:hAnsi="Calibri" w:cs="Arial"/>
    </w:rPr>
  </w:style>
  <w:style w:type="character" w:customStyle="1" w:styleId="11">
    <w:name w:val="Balloon Text Char"/>
    <w:basedOn w:val="9"/>
    <w:link w:val="3"/>
    <w:semiHidden/>
    <w:qFormat/>
    <w:locked/>
    <w:uiPriority w:val="99"/>
    <w:rPr>
      <w:rFonts w:cs="Times New Roman"/>
      <w:sz w:val="18"/>
      <w:szCs w:val="18"/>
    </w:rPr>
  </w:style>
  <w:style w:type="character" w:customStyle="1" w:styleId="12">
    <w:name w:val="Footer Char"/>
    <w:basedOn w:val="9"/>
    <w:link w:val="4"/>
    <w:qFormat/>
    <w:locked/>
    <w:uiPriority w:val="99"/>
    <w:rPr>
      <w:rFonts w:cs="Times New Roman"/>
      <w:sz w:val="18"/>
      <w:szCs w:val="18"/>
    </w:rPr>
  </w:style>
  <w:style w:type="character" w:customStyle="1" w:styleId="13">
    <w:name w:val="Header Char"/>
    <w:basedOn w:val="9"/>
    <w:link w:val="5"/>
    <w:qFormat/>
    <w:locked/>
    <w:uiPriority w:val="99"/>
    <w:rPr>
      <w:rFonts w:cs="Times New Roman"/>
      <w:sz w:val="18"/>
      <w:szCs w:val="18"/>
    </w:rPr>
  </w:style>
  <w:style w:type="character" w:customStyle="1" w:styleId="14">
    <w:name w:val="Body Text First Indent 2 Char"/>
    <w:basedOn w:val="10"/>
    <w:link w:val="6"/>
    <w:semiHidden/>
    <w:qFormat/>
    <w:locked/>
    <w:uiPriority w:val="99"/>
  </w:style>
  <w:style w:type="paragraph" w:customStyle="1" w:styleId="15">
    <w:name w:val="Default"/>
    <w:qFormat/>
    <w:uiPriority w:val="99"/>
    <w:pPr>
      <w:widowControl w:val="0"/>
      <w:autoSpaceDE w:val="0"/>
      <w:autoSpaceDN w:val="0"/>
      <w:adjustRightInd w:val="0"/>
    </w:pPr>
    <w:rPr>
      <w:rFonts w:ascii="黑体" w:hAnsi="Calibri" w:eastAsia="黑体" w:cs="黑体"/>
      <w:color w:val="000000"/>
      <w:kern w:val="0"/>
      <w:sz w:val="24"/>
      <w:szCs w:val="24"/>
      <w:lang w:val="en-US" w:eastAsia="zh-CN" w:bidi="ar-SA"/>
    </w:rPr>
  </w:style>
  <w:style w:type="paragraph" w:styleId="16">
    <w:name w:val="List Paragraph"/>
    <w:basedOn w:val="1"/>
    <w:qFormat/>
    <w:uiPriority w:val="99"/>
    <w:pPr>
      <w:ind w:firstLine="420" w:firstLineChars="200"/>
    </w:pPr>
  </w:style>
  <w:style w:type="character" w:customStyle="1" w:styleId="17">
    <w:name w:val="font01"/>
    <w:basedOn w:val="9"/>
    <w:qFormat/>
    <w:uiPriority w:val="99"/>
    <w:rPr>
      <w:rFonts w:ascii="宋体" w:hAnsi="宋体" w:eastAsia="宋体" w:cs="宋体"/>
      <w:color w:val="000000"/>
      <w:sz w:val="22"/>
      <w:szCs w:val="22"/>
      <w:u w:val="none"/>
    </w:rPr>
  </w:style>
  <w:style w:type="character" w:customStyle="1" w:styleId="18">
    <w:name w:val="font21"/>
    <w:basedOn w:val="9"/>
    <w:qFormat/>
    <w:uiPriority w:val="99"/>
    <w:rPr>
      <w:rFonts w:ascii="宋体" w:hAnsi="宋体" w:eastAsia="宋体" w:cs="宋体"/>
      <w:color w:val="000000"/>
      <w:sz w:val="24"/>
      <w:szCs w:val="24"/>
      <w:u w:val="none"/>
    </w:rPr>
  </w:style>
  <w:style w:type="character" w:customStyle="1" w:styleId="19">
    <w:name w:val="font11"/>
    <w:basedOn w:val="9"/>
    <w:qFormat/>
    <w:uiPriority w:val="99"/>
    <w:rPr>
      <w:rFonts w:ascii="宋体" w:hAnsi="宋体" w:eastAsia="宋体" w:cs="宋体"/>
      <w:color w:val="000000"/>
      <w:sz w:val="24"/>
      <w:szCs w:val="24"/>
      <w:u w:val="none"/>
    </w:rPr>
  </w:style>
  <w:style w:type="paragraph" w:customStyle="1" w:styleId="20">
    <w:name w:val="BodyText"/>
    <w:basedOn w:val="1"/>
    <w:qFormat/>
    <w:uiPriority w:val="99"/>
    <w:pPr>
      <w:spacing w:after="120"/>
      <w:textAlignment w:val="baseline"/>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Normal_Wordconv.dotm</Template>
  <Company>Microsoft</Company>
  <Pages>33</Pages>
  <Words>6593</Words>
  <Characters>7181</Characters>
  <Lines>0</Lines>
  <Paragraphs>0</Paragraphs>
  <TotalTime>0</TotalTime>
  <ScaleCrop>false</ScaleCrop>
  <LinksUpToDate>false</LinksUpToDate>
  <CharactersWithSpaces>7214</CharactersWithSpaces>
  <Application>WPS Office_11.8.6.8556_F1E327BC-269C-435d-A152-05C5408002CA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2023-09-06T03:25:00Z</dcterms:created>
  <dc:creator>李航 null</dc:creator>
  <cp:lastModifiedBy>lenovo</cp:lastModifiedBy>
  <cp:lastPrinted>2023-08-15T09:28:00Z</cp:lastPrinted>
  <dcterms:modified xsi:type="dcterms:W3CDTF">2025-01-23T13:52:42Z</dcterms:modified>
  <dc:title>2022年度</dc:title>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2052-11.8.6.8556</vt:lpwstr>
  </property>
  <property fmtid="{D5CDD505-2E9C-101B-9397-08002B2CF9AE}" pid="3" name="ICV">
    <vt:lpwstr>011CAB6D9EC7405E976EC4B6EB5CE41B_13</vt:lpwstr>
  </property>
</Properties>
</file>