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湖南省水产原种场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</w:t>
      </w:r>
    </w:p>
    <w:p>
      <w:pPr>
        <w:widowControl/>
        <w:spacing w:line="600" w:lineRule="exact"/>
        <w:ind w:firstLine="627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本单位的主要职责为：采集、培育、保存水产原种，选育、推广水产养殖良种。四大家鱼、鳜鱼、中华鳖、龟等水产种质保存与遗传改良研究，专业技术推广与培训教育，相关社会服务。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湖南省水产原种场设有综合业务科、计划财务科、原种生产科、质量管理科4个科室。</w:t>
      </w:r>
    </w:p>
    <w:p>
      <w:pPr>
        <w:widowControl/>
        <w:spacing w:line="600" w:lineRule="exact"/>
        <w:ind w:firstLine="630" w:firstLineChars="196"/>
        <w:rPr>
          <w:rFonts w:ascii="黑体" w:hAnsi="黑体" w:eastAsia="黑体" w:cs="MingLiU"/>
          <w:b/>
          <w:sz w:val="32"/>
          <w:szCs w:val="32"/>
        </w:rPr>
      </w:pPr>
      <w:r>
        <w:rPr>
          <w:rFonts w:hint="eastAsia" w:ascii="黑体" w:hAnsi="黑体" w:eastAsia="黑体" w:cs="MingLiU"/>
          <w:b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27" w:firstLineChars="196"/>
        <w:rPr>
          <w:rFonts w:hint="eastAsia" w:ascii="仿宋" w:hAnsi="仿宋" w:eastAsia="仿宋" w:cs="MingLiU"/>
          <w:b/>
          <w:sz w:val="32"/>
          <w:szCs w:val="32"/>
          <w:lang w:eastAsia="zh-CN"/>
        </w:rPr>
      </w:pPr>
      <w:r>
        <w:rPr>
          <w:rFonts w:hint="eastAsia" w:ascii="仿宋" w:hAnsi="仿宋" w:eastAsia="仿宋" w:cs="MingLiU"/>
          <w:sz w:val="32"/>
          <w:szCs w:val="32"/>
        </w:rPr>
        <w:t>本部门纳入编制范围的预算单位仅包含</w:t>
      </w:r>
      <w:r>
        <w:rPr>
          <w:rFonts w:hint="eastAsia" w:eastAsia="仿宋_GB2312"/>
          <w:sz w:val="32"/>
          <w:szCs w:val="32"/>
        </w:rPr>
        <w:t>湖南省水产原种场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本级</w:t>
      </w:r>
      <w:r>
        <w:rPr>
          <w:rFonts w:hint="eastAsia" w:ascii="仿宋" w:hAnsi="仿宋" w:eastAsia="仿宋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</w:rPr>
        <w:t>1245.02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</w:rPr>
        <w:t>246.47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64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上级财政补助收入100万元，事业收入87万元，上年结转结余747.55万元</w:t>
      </w:r>
      <w:r>
        <w:rPr>
          <w:rFonts w:eastAsia="仿宋_GB2312"/>
          <w:sz w:val="32"/>
          <w:szCs w:val="32"/>
        </w:rPr>
        <w:t>。收入较去年增加</w:t>
      </w:r>
      <w:r>
        <w:rPr>
          <w:rFonts w:hint="eastAsia" w:eastAsia="仿宋_GB2312"/>
          <w:sz w:val="32"/>
          <w:szCs w:val="32"/>
        </w:rPr>
        <w:t>911.29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：①上年结转结余增加747.55万元；②增加渔业资源增殖及保护专项资金100万元；③房屋出租租金增加34万元；④原种调种收入增加27.74万元。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</w:rPr>
        <w:t>1245.02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社会保障和就业支出39.96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农林水支出1055.06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交通运输支出150</w:t>
      </w:r>
      <w:r>
        <w:rPr>
          <w:rFonts w:eastAsia="仿宋_GB2312"/>
          <w:sz w:val="32"/>
          <w:szCs w:val="32"/>
        </w:rPr>
        <w:t>万元。支出较去年增加</w:t>
      </w:r>
      <w:r>
        <w:rPr>
          <w:rFonts w:hint="eastAsia" w:eastAsia="仿宋_GB2312"/>
          <w:sz w:val="32"/>
          <w:szCs w:val="32"/>
        </w:rPr>
        <w:t>911.29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：①湖南省渔业种质资源场建设项目预算支出597.55万元；②水产绿色健康养殖技术推广“五大行动”示范项目150万元；③渔业资源增殖及保护项目100万元；④由于原种调种收入增加，从而导致原种保种支出增加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</w:rPr>
        <w:t>1158.02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社会保障和就业支出39.96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3.45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农林水支出968.06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83.6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交通运输支出150万元，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12.95</w:t>
      </w:r>
      <w:r>
        <w:rPr>
          <w:rFonts w:eastAsia="仿宋_GB2312"/>
          <w:sz w:val="32"/>
          <w:szCs w:val="32"/>
        </w:rPr>
        <w:t>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</w:rPr>
        <w:t>310.47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</w:rPr>
        <w:t>847.55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商品服务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471.85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项目相关的差旅、劳务、专用材料、委托业务</w:t>
      </w:r>
      <w:r>
        <w:rPr>
          <w:rFonts w:eastAsia="仿宋_GB2312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</w:rPr>
        <w:t>；资本性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375.7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湖南省鱼类种质资源场建设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</w:rPr>
        <w:t>43.69</w:t>
      </w:r>
      <w:r>
        <w:rPr>
          <w:rFonts w:eastAsia="仿宋_GB2312"/>
          <w:sz w:val="32"/>
          <w:szCs w:val="32"/>
        </w:rPr>
        <w:t>万元，比上年预算增加</w:t>
      </w:r>
      <w:r>
        <w:rPr>
          <w:rFonts w:hint="eastAsia" w:eastAsia="仿宋_GB2312"/>
          <w:sz w:val="32"/>
          <w:szCs w:val="32"/>
        </w:rPr>
        <w:t>13.69</w:t>
      </w:r>
      <w:r>
        <w:rPr>
          <w:rFonts w:eastAsia="仿宋_GB2312"/>
          <w:sz w:val="32"/>
          <w:szCs w:val="32"/>
        </w:rPr>
        <w:t>万元，上升</w:t>
      </w:r>
      <w:r>
        <w:rPr>
          <w:rFonts w:hint="eastAsia" w:eastAsia="仿宋_GB2312"/>
          <w:sz w:val="32"/>
          <w:szCs w:val="32"/>
        </w:rPr>
        <w:t>45.63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</w:rPr>
        <w:t>增加原种生产区和办公区卫生清理以及保安费用15万元。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 xml:space="preserve">万元（其中，公务用车购置费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万元，公务用车运行费 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年“三公”经费预算较</w:t>
      </w:r>
      <w:r>
        <w:rPr>
          <w:rFonts w:hint="eastAsia" w:eastAsia="仿宋_GB2312"/>
          <w:sz w:val="32"/>
          <w:szCs w:val="32"/>
        </w:rPr>
        <w:t>2021年持平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</w:t>
      </w:r>
      <w:r>
        <w:rPr>
          <w:rFonts w:hint="eastAsia" w:eastAsia="仿宋_GB2312"/>
          <w:kern w:val="0"/>
          <w:sz w:val="32"/>
          <w:szCs w:val="32"/>
        </w:rPr>
        <w:t>无</w:t>
      </w:r>
      <w:r>
        <w:rPr>
          <w:rFonts w:eastAsia="仿宋_GB2312"/>
          <w:kern w:val="0"/>
          <w:sz w:val="32"/>
          <w:szCs w:val="32"/>
        </w:rPr>
        <w:t>会议费</w:t>
      </w:r>
      <w:r>
        <w:rPr>
          <w:rFonts w:hint="eastAsia" w:eastAsia="仿宋_GB2312"/>
          <w:kern w:val="0"/>
          <w:sz w:val="32"/>
          <w:szCs w:val="32"/>
        </w:rPr>
        <w:t>、</w:t>
      </w:r>
      <w:r>
        <w:rPr>
          <w:rFonts w:eastAsia="仿宋_GB2312"/>
          <w:kern w:val="0"/>
          <w:sz w:val="32"/>
          <w:szCs w:val="32"/>
        </w:rPr>
        <w:t>培训费预算</w:t>
      </w:r>
      <w:r>
        <w:rPr>
          <w:rFonts w:hint="eastAsia" w:eastAsia="仿宋_GB2312"/>
          <w:kern w:val="0"/>
          <w:sz w:val="32"/>
          <w:szCs w:val="32"/>
        </w:rPr>
        <w:t>；无</w:t>
      </w:r>
      <w:r>
        <w:rPr>
          <w:rFonts w:eastAsia="仿宋_GB2312"/>
          <w:kern w:val="0"/>
          <w:sz w:val="32"/>
          <w:szCs w:val="32"/>
        </w:rPr>
        <w:t>节庆、晚会、论坛、赛事活动。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bCs/>
          <w:kern w:val="0"/>
          <w:sz w:val="32"/>
          <w:szCs w:val="32"/>
        </w:rPr>
        <w:t>1158.02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</w:rPr>
        <w:t>310.47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</w:rPr>
        <w:t>847.55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（见附表）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sectPr>
      <w:pgSz w:w="11905" w:h="16836"/>
      <w:pgMar w:top="2098" w:right="1474" w:bottom="1985" w:left="1588" w:header="851" w:footer="1588" w:gutter="0"/>
      <w:cols w:space="425" w:num="1"/>
      <w:docGrid w:linePitch="6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3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B4B"/>
    <w:rsid w:val="0006431A"/>
    <w:rsid w:val="00072BED"/>
    <w:rsid w:val="00141FA4"/>
    <w:rsid w:val="002F444A"/>
    <w:rsid w:val="00344B4B"/>
    <w:rsid w:val="00364403"/>
    <w:rsid w:val="003C1D2C"/>
    <w:rsid w:val="00411E8C"/>
    <w:rsid w:val="0041222B"/>
    <w:rsid w:val="00440909"/>
    <w:rsid w:val="00495706"/>
    <w:rsid w:val="004A6712"/>
    <w:rsid w:val="0051221B"/>
    <w:rsid w:val="005134BD"/>
    <w:rsid w:val="005906DE"/>
    <w:rsid w:val="00624C53"/>
    <w:rsid w:val="00670839"/>
    <w:rsid w:val="00696699"/>
    <w:rsid w:val="006D34FD"/>
    <w:rsid w:val="0071642E"/>
    <w:rsid w:val="00781898"/>
    <w:rsid w:val="007923AF"/>
    <w:rsid w:val="007B25CC"/>
    <w:rsid w:val="008A1AEE"/>
    <w:rsid w:val="008E234C"/>
    <w:rsid w:val="00A510D7"/>
    <w:rsid w:val="00B11604"/>
    <w:rsid w:val="00B534D7"/>
    <w:rsid w:val="00BE27E9"/>
    <w:rsid w:val="00BF6C78"/>
    <w:rsid w:val="00C56B69"/>
    <w:rsid w:val="00D509F5"/>
    <w:rsid w:val="00DF1389"/>
    <w:rsid w:val="00E23F82"/>
    <w:rsid w:val="00E32923"/>
    <w:rsid w:val="00E44B2A"/>
    <w:rsid w:val="00F74999"/>
    <w:rsid w:val="00FC55F0"/>
    <w:rsid w:val="00FC5D3B"/>
    <w:rsid w:val="20DB4D0A"/>
    <w:rsid w:val="7B02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2317</Words>
  <Characters>2543</Characters>
  <Lines>18</Lines>
  <Paragraphs>5</Paragraphs>
  <TotalTime>1</TotalTime>
  <ScaleCrop>false</ScaleCrop>
  <LinksUpToDate>false</LinksUpToDate>
  <CharactersWithSpaces>2548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2023-09-25T07:32:00Z</dcterms:created>
  <dc:creator>Administrator</dc:creator>
  <cp:lastModifiedBy>ok</cp:lastModifiedBy>
  <cp:lastPrinted>2022-02-24T08:17:00Z</cp:lastPrinted>
  <dcterms:modified xsi:type="dcterms:W3CDTF">2023-10-08T08:55:17Z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