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eastAsia="方正小标宋_GBK"/>
          <w:bCs/>
          <w:kern w:val="0"/>
          <w:sz w:val="44"/>
          <w:szCs w:val="44"/>
        </w:rPr>
      </w:pPr>
      <w:r>
        <w:rPr>
          <w:rFonts w:eastAsia="方正小标宋_GBK"/>
          <w:bCs/>
          <w:kern w:val="0"/>
          <w:sz w:val="44"/>
          <w:szCs w:val="44"/>
        </w:rPr>
        <w:t>202</w:t>
      </w:r>
      <w:r>
        <w:rPr>
          <w:rFonts w:hint="eastAsia" w:eastAsia="方正小标宋_GBK"/>
          <w:bCs/>
          <w:kern w:val="0"/>
          <w:sz w:val="44"/>
          <w:szCs w:val="44"/>
        </w:rPr>
        <w:t>2</w:t>
      </w:r>
      <w:r>
        <w:rPr>
          <w:rFonts w:eastAsia="方正小标宋_GBK"/>
          <w:bCs/>
          <w:kern w:val="0"/>
          <w:sz w:val="44"/>
          <w:szCs w:val="44"/>
        </w:rPr>
        <w:t>年</w:t>
      </w:r>
      <w:r>
        <w:rPr>
          <w:rFonts w:hint="eastAsia" w:eastAsia="方正小标宋_GBK"/>
          <w:bCs/>
          <w:kern w:val="0"/>
          <w:sz w:val="44"/>
          <w:szCs w:val="44"/>
        </w:rPr>
        <w:t>湖南省绿色食品发展中心</w:t>
      </w:r>
      <w:r>
        <w:rPr>
          <w:rFonts w:eastAsia="方正小标宋_GBK"/>
          <w:bCs/>
          <w:kern w:val="0"/>
          <w:sz w:val="44"/>
          <w:szCs w:val="44"/>
        </w:rPr>
        <w:t>单位预算</w:t>
      </w:r>
    </w:p>
    <w:p>
      <w:pPr>
        <w:widowControl/>
        <w:spacing w:line="600" w:lineRule="exact"/>
        <w:jc w:val="center"/>
        <w:rPr>
          <w:rFonts w:eastAsia="楷体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年单位预算说明</w:t>
      </w:r>
    </w:p>
    <w:p>
      <w:pPr>
        <w:widowControl/>
        <w:spacing w:line="600" w:lineRule="exact"/>
        <w:ind w:firstLine="643" w:firstLineChars="200"/>
        <w:jc w:val="left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 202</w:t>
      </w:r>
      <w:r>
        <w:rPr>
          <w:rFonts w:hint="eastAsia" w:eastAsia="仿宋_GB2312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年单位预算表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</w:t>
      </w:r>
      <w:r>
        <w:rPr>
          <w:rFonts w:hint="eastAsia" w:eastAsia="仿宋_GB2312"/>
          <w:bCs/>
          <w:kern w:val="0"/>
          <w:sz w:val="32"/>
          <w:szCs w:val="32"/>
        </w:rPr>
        <w:t>单位</w:t>
      </w:r>
      <w:r>
        <w:rPr>
          <w:rFonts w:eastAsia="仿宋_GB2312"/>
          <w:bCs/>
          <w:kern w:val="0"/>
          <w:sz w:val="32"/>
          <w:szCs w:val="32"/>
        </w:rPr>
        <w:t>预算报表中，空表表示本单位无相关收支情况。</w:t>
      </w:r>
    </w:p>
    <w:p>
      <w:pPr>
        <w:widowControl/>
        <w:spacing w:line="600" w:lineRule="exact"/>
        <w:ind w:firstLine="640" w:firstLineChars="200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eastAsia="仿宋_GB2312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第一部分 202</w:t>
      </w:r>
      <w:r>
        <w:rPr>
          <w:rFonts w:hint="eastAsia" w:eastAsia="方正小标宋_GBK"/>
          <w:bCs/>
          <w:kern w:val="0"/>
          <w:sz w:val="36"/>
          <w:szCs w:val="36"/>
        </w:rPr>
        <w:t>2</w:t>
      </w:r>
      <w:r>
        <w:rPr>
          <w:rFonts w:eastAsia="方正小标宋_GBK"/>
          <w:bCs/>
          <w:kern w:val="0"/>
          <w:sz w:val="36"/>
          <w:szCs w:val="36"/>
        </w:rPr>
        <w:t>年单位预算说明</w:t>
      </w:r>
    </w:p>
    <w:p>
      <w:pPr>
        <w:widowControl/>
        <w:spacing w:line="600" w:lineRule="exact"/>
        <w:jc w:val="left"/>
        <w:rPr>
          <w:rFonts w:eastAsia="仿宋_GB2312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（一）职能职责。</w:t>
      </w:r>
    </w:p>
    <w:p>
      <w:pPr>
        <w:widowControl/>
        <w:spacing w:line="600" w:lineRule="exact"/>
        <w:ind w:firstLine="627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组织全省“三品一标”生产加工及绿色食品生产资料新技术研究与协作；承担“三品一标”基地建设试验示范与推广服务；承担“三品一标”生产操作技术规程的制订工作；负责组织全省“三品一标”项目外引内联、产销对接，承担“三品一标”的市场开拓与监督、信息服务；承办“三品一标”的行业宣传和专业培训工作。</w:t>
      </w:r>
    </w:p>
    <w:p>
      <w:pPr>
        <w:widowControl/>
        <w:numPr>
          <w:ilvl w:val="0"/>
          <w:numId w:val="1"/>
        </w:numPr>
        <w:spacing w:line="600" w:lineRule="exact"/>
        <w:ind w:firstLine="630" w:firstLineChars="196"/>
        <w:jc w:val="left"/>
        <w:rPr>
          <w:rFonts w:eastAsia="楷体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机构设置。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单位内设机构，科技科、市场科、综合科。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二、部门预算单位构成</w:t>
      </w:r>
    </w:p>
    <w:p>
      <w:pPr>
        <w:widowControl/>
        <w:spacing w:line="600" w:lineRule="exact"/>
        <w:ind w:firstLine="627" w:firstLineChars="196"/>
        <w:rPr>
          <w:rFonts w:hint="eastAsia" w:ascii="仿宋" w:hAnsi="仿宋" w:eastAsia="仿宋" w:cs="MingLiU"/>
          <w:b/>
          <w:sz w:val="32"/>
          <w:szCs w:val="32"/>
          <w:lang w:eastAsia="zh-CN"/>
        </w:rPr>
      </w:pPr>
      <w:r>
        <w:rPr>
          <w:rFonts w:hint="eastAsia" w:ascii="仿宋" w:hAnsi="仿宋" w:eastAsia="仿宋" w:cs="MingLiU"/>
          <w:sz w:val="32"/>
          <w:szCs w:val="32"/>
        </w:rPr>
        <w:t>本部门纳入编制范围的预算单位仅包含</w:t>
      </w:r>
      <w:r>
        <w:rPr>
          <w:rFonts w:hint="eastAsia" w:ascii="仿宋" w:hAnsi="仿宋" w:eastAsia="仿宋"/>
          <w:bCs/>
          <w:kern w:val="0"/>
          <w:sz w:val="32"/>
          <w:szCs w:val="32"/>
        </w:rPr>
        <w:t>湖南省绿色食品发展中心本级</w:t>
      </w:r>
      <w:r>
        <w:rPr>
          <w:rFonts w:hint="eastAsia" w:ascii="仿宋" w:hAnsi="仿宋" w:eastAsia="仿宋"/>
          <w:bCs/>
          <w:kern w:val="0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ind w:firstLine="627" w:firstLineChars="196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eastAsia="黑体"/>
          <w:bCs/>
          <w:kern w:val="0"/>
          <w:sz w:val="32"/>
          <w:szCs w:val="32"/>
        </w:rPr>
        <w:t>三</w:t>
      </w:r>
      <w:r>
        <w:rPr>
          <w:rFonts w:eastAsia="黑体"/>
          <w:bCs/>
          <w:kern w:val="0"/>
          <w:sz w:val="32"/>
          <w:szCs w:val="32"/>
        </w:rPr>
        <w:t>、单位收支总体情况</w:t>
      </w:r>
    </w:p>
    <w:p>
      <w:pPr>
        <w:widowControl/>
        <w:spacing w:line="600" w:lineRule="exact"/>
        <w:ind w:firstLine="630" w:firstLineChars="196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（一）收入预算：</w:t>
      </w:r>
      <w:r>
        <w:rPr>
          <w:rFonts w:eastAsia="仿宋_GB2312"/>
          <w:sz w:val="32"/>
          <w:szCs w:val="32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年本单位收入预算</w:t>
      </w:r>
      <w:r>
        <w:rPr>
          <w:rFonts w:hint="eastAsia" w:eastAsia="仿宋_GB2312"/>
          <w:sz w:val="32"/>
          <w:szCs w:val="32"/>
        </w:rPr>
        <w:t>246.28</w:t>
      </w:r>
      <w:r>
        <w:rPr>
          <w:rFonts w:eastAsia="仿宋_GB2312"/>
          <w:sz w:val="32"/>
          <w:szCs w:val="32"/>
        </w:rPr>
        <w:t>万元，其中，一般公共预算拨款</w:t>
      </w:r>
      <w:r>
        <w:rPr>
          <w:rFonts w:hint="eastAsia" w:eastAsia="仿宋_GB2312"/>
          <w:sz w:val="32"/>
          <w:szCs w:val="32"/>
        </w:rPr>
        <w:t>179.9</w:t>
      </w:r>
      <w:r>
        <w:rPr>
          <w:rFonts w:eastAsia="仿宋_GB2312"/>
          <w:sz w:val="32"/>
          <w:szCs w:val="32"/>
        </w:rPr>
        <w:t>万元，政府性基金预算拨款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万元，国有资本经营预算拨款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万元，纳入专户管理的非税收入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万元。收入较去年增加</w:t>
      </w:r>
      <w:r>
        <w:rPr>
          <w:rFonts w:hint="eastAsia" w:eastAsia="仿宋_GB2312"/>
          <w:sz w:val="32"/>
          <w:szCs w:val="32"/>
        </w:rPr>
        <w:t>19.38</w:t>
      </w:r>
      <w:r>
        <w:rPr>
          <w:rFonts w:eastAsia="仿宋_GB2312"/>
          <w:sz w:val="32"/>
          <w:szCs w:val="32"/>
        </w:rPr>
        <w:t>万元，主要是</w:t>
      </w:r>
      <w:r>
        <w:rPr>
          <w:rFonts w:hint="eastAsia" w:eastAsia="仿宋_GB2312"/>
          <w:sz w:val="32"/>
          <w:szCs w:val="32"/>
        </w:rPr>
        <w:t>新增2021年湖南省农业转基因生物安全监管项目、早稻集中育秧驻点项目拨款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30" w:firstLineChars="196"/>
        <w:jc w:val="left"/>
        <w:rPr>
          <w:rFonts w:eastAsia="仿宋_GB2312"/>
          <w:b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（二）支出预算：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年本单位支出预算</w:t>
      </w:r>
      <w:r>
        <w:rPr>
          <w:rFonts w:hint="eastAsia" w:eastAsia="仿宋_GB2312"/>
          <w:sz w:val="32"/>
          <w:szCs w:val="32"/>
        </w:rPr>
        <w:t>246.28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社会保障和就业支出16.9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农林水支出216.68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住房保障支出12.7</w:t>
      </w:r>
      <w:r>
        <w:rPr>
          <w:rFonts w:eastAsia="仿宋_GB2312"/>
          <w:sz w:val="32"/>
          <w:szCs w:val="32"/>
        </w:rPr>
        <w:t>万元。</w:t>
      </w:r>
      <w:r>
        <w:rPr>
          <w:rFonts w:eastAsia="仿宋_GB2312"/>
          <w:bCs/>
          <w:sz w:val="32"/>
          <w:szCs w:val="32"/>
        </w:rPr>
        <w:t>支出较去年增加</w:t>
      </w:r>
      <w:r>
        <w:rPr>
          <w:rFonts w:hint="eastAsia" w:eastAsia="仿宋_GB2312"/>
          <w:bCs/>
          <w:sz w:val="32"/>
          <w:szCs w:val="32"/>
        </w:rPr>
        <w:t>19.38</w:t>
      </w:r>
      <w:r>
        <w:rPr>
          <w:rFonts w:eastAsia="仿宋_GB2312"/>
          <w:bCs/>
          <w:sz w:val="32"/>
          <w:szCs w:val="32"/>
        </w:rPr>
        <w:t>万元，主要是</w:t>
      </w:r>
      <w:r>
        <w:rPr>
          <w:rFonts w:hint="eastAsia" w:eastAsia="仿宋_GB2312"/>
          <w:bCs/>
          <w:sz w:val="32"/>
          <w:szCs w:val="32"/>
        </w:rPr>
        <w:t>增加2021年湖南省农业转基因生物安全监管项目支出4万元；早稻集中育秧驻点项目指出11万元</w:t>
      </w:r>
      <w:r>
        <w:rPr>
          <w:rFonts w:eastAsia="仿宋_GB2312"/>
          <w:bCs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年本单位一般公共预算拨款支出预算</w:t>
      </w:r>
      <w:r>
        <w:rPr>
          <w:rFonts w:hint="eastAsia" w:eastAsia="仿宋_GB2312"/>
          <w:sz w:val="32"/>
          <w:szCs w:val="32"/>
        </w:rPr>
        <w:t>198.68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社会保障和就业支出16.9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</w:rPr>
        <w:t>8.5</w:t>
      </w:r>
      <w:r>
        <w:rPr>
          <w:rFonts w:eastAsia="仿宋_GB2312"/>
          <w:sz w:val="32"/>
          <w:szCs w:val="32"/>
        </w:rPr>
        <w:t>%；</w:t>
      </w:r>
      <w:r>
        <w:rPr>
          <w:rFonts w:hint="eastAsia" w:eastAsia="仿宋_GB2312"/>
          <w:sz w:val="32"/>
          <w:szCs w:val="32"/>
        </w:rPr>
        <w:t>农林水支出169.08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</w:rPr>
        <w:t>85</w:t>
      </w:r>
      <w:r>
        <w:rPr>
          <w:rFonts w:eastAsia="仿宋_GB2312"/>
          <w:sz w:val="32"/>
          <w:szCs w:val="32"/>
        </w:rPr>
        <w:t>%；</w:t>
      </w:r>
      <w:r>
        <w:rPr>
          <w:rFonts w:hint="eastAsia" w:eastAsia="仿宋_GB2312"/>
          <w:sz w:val="32"/>
          <w:szCs w:val="32"/>
        </w:rPr>
        <w:t>住房保障支出12.7万元，占6.5%</w:t>
      </w:r>
      <w:r>
        <w:rPr>
          <w:rFonts w:eastAsia="仿宋_GB2312"/>
          <w:sz w:val="32"/>
          <w:szCs w:val="32"/>
        </w:rPr>
        <w:t>。具体安排情况如下：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年本单位基本支出预算数</w:t>
      </w:r>
      <w:r>
        <w:rPr>
          <w:rFonts w:hint="eastAsia" w:eastAsia="仿宋_GB2312"/>
          <w:sz w:val="32"/>
          <w:szCs w:val="32"/>
        </w:rPr>
        <w:t>68.9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年本单位项目支出预算</w:t>
      </w:r>
      <w:r>
        <w:rPr>
          <w:rFonts w:hint="eastAsia" w:eastAsia="仿宋_GB2312"/>
          <w:sz w:val="32"/>
          <w:szCs w:val="32"/>
        </w:rPr>
        <w:t>129.78</w:t>
      </w:r>
      <w:r>
        <w:rPr>
          <w:rFonts w:eastAsia="仿宋_GB2312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eastAsia="仿宋_GB2312"/>
          <w:sz w:val="32"/>
          <w:szCs w:val="32"/>
        </w:rPr>
        <w:t>2021年湖南省农业转基因生物安全监管项目</w:t>
      </w:r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绿色、有机食品博览会项目</w:t>
      </w:r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</w:rPr>
        <w:t>50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绿色生资管理项目支出52.47万元，早稻集中育秧驻点项目支出11万元，中国绿色有机食品博览会项目支出12.31万元</w:t>
      </w:r>
      <w:r>
        <w:rPr>
          <w:rFonts w:eastAsia="仿宋_GB2312"/>
          <w:sz w:val="32"/>
          <w:szCs w:val="32"/>
        </w:rPr>
        <w:t>。</w:t>
      </w:r>
      <w:r>
        <w:rPr>
          <w:rFonts w:hint="eastAsia" w:eastAsia="仿宋_GB2312"/>
          <w:sz w:val="32"/>
          <w:szCs w:val="32"/>
        </w:rPr>
        <w:t>主要用于湖南绿色生资企业认证；拓宽绿色生资的宣传渠道。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eastAsia="仿宋_GB2312"/>
          <w:b/>
          <w:sz w:val="32"/>
          <w:szCs w:val="32"/>
        </w:rPr>
      </w:pPr>
      <w:r>
        <w:rPr>
          <w:rFonts w:eastAsia="仿宋_GB2312"/>
          <w:sz w:val="32"/>
          <w:szCs w:val="32"/>
        </w:rPr>
        <w:t>本部门无政府性基金安排的支出</w:t>
      </w:r>
      <w:r>
        <w:rPr>
          <w:rFonts w:hint="eastAsia"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jc w:val="left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（一）机关运行经费：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年本单位机关运行经费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与上年一致。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（二）“三公”经费预算：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年本单位“三公”经费预算数为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万元，其中，公务接待费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 xml:space="preserve">万元，公务用车购置及运行费 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万元（其中，公务用车购置费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 xml:space="preserve">万元，公务用车运行费 万元），因公出国（境）费 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年“三公”经费预算较上年持平。</w:t>
      </w:r>
    </w:p>
    <w:p>
      <w:pPr>
        <w:widowControl/>
        <w:spacing w:line="600" w:lineRule="exact"/>
        <w:ind w:firstLine="660"/>
        <w:rPr>
          <w:rFonts w:eastAsia="仿宋_GB2312"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（三）一般性支出情况：</w:t>
      </w:r>
      <w:r>
        <w:rPr>
          <w:rFonts w:eastAsia="仿宋_GB2312"/>
          <w:kern w:val="0"/>
          <w:sz w:val="32"/>
          <w:szCs w:val="32"/>
        </w:rPr>
        <w:t>202</w:t>
      </w:r>
      <w:r>
        <w:rPr>
          <w:rFonts w:hint="eastAsia" w:eastAsia="仿宋_GB2312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年本单位会议费预算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万元</w:t>
      </w:r>
      <w:r>
        <w:rPr>
          <w:rFonts w:hint="eastAsia" w:eastAsia="仿宋_GB2312"/>
          <w:kern w:val="0"/>
          <w:sz w:val="32"/>
          <w:szCs w:val="32"/>
        </w:rPr>
        <w:t>。</w:t>
      </w:r>
      <w:r>
        <w:rPr>
          <w:rFonts w:eastAsia="仿宋_GB2312"/>
          <w:kern w:val="0"/>
          <w:sz w:val="32"/>
          <w:szCs w:val="32"/>
        </w:rPr>
        <w:t>拟召开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会议，人数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人；培训费预算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kern w:val="0"/>
          <w:sz w:val="32"/>
          <w:szCs w:val="32"/>
        </w:rPr>
        <w:t>万元</w:t>
      </w:r>
      <w:r>
        <w:rPr>
          <w:rFonts w:hint="eastAsia" w:eastAsia="仿宋_GB2312"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（四）政府采购情况：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年本部门政府采购预算总额万元，其中，货物类采购预算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万元；工程类采购预算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万元；服务类采购预算</w:t>
      </w:r>
      <w:r>
        <w:rPr>
          <w:rFonts w:hint="eastAsia" w:eastAsia="仿宋_GB2312"/>
          <w:sz w:val="32"/>
          <w:szCs w:val="32"/>
        </w:rPr>
        <w:t>0</w:t>
      </w:r>
      <w:r>
        <w:rPr>
          <w:rFonts w:eastAsia="仿宋_GB2312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（五）国有资产占用使用及新增资产配置情况：</w:t>
      </w:r>
      <w:r>
        <w:rPr>
          <w:rFonts w:eastAsia="仿宋_GB2312"/>
          <w:sz w:val="32"/>
          <w:szCs w:val="32"/>
        </w:rPr>
        <w:t>截至202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年12月底，本单位</w:t>
      </w:r>
      <w:r>
        <w:rPr>
          <w:rFonts w:eastAsia="仿宋_GB2312"/>
          <w:bCs/>
          <w:kern w:val="0"/>
          <w:sz w:val="32"/>
          <w:szCs w:val="32"/>
        </w:rPr>
        <w:t>共有公务用车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辆；单位价值50万元以上通用设备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台。202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年拟新增配置公务用车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辆，其中，机要通信用车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辆，应急保障用车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辆，执法执勤用车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辆；新增配备单位价值50万元以上通用设备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/>
          <w:bCs/>
          <w:kern w:val="0"/>
          <w:sz w:val="32"/>
          <w:szCs w:val="32"/>
        </w:rPr>
        <w:t>0</w:t>
      </w:r>
      <w:r>
        <w:rPr>
          <w:rFonts w:eastAsia="仿宋_GB2312"/>
          <w:bCs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eastAsia="楷体_GB2312"/>
          <w:b/>
          <w:bCs/>
          <w:kern w:val="0"/>
          <w:sz w:val="32"/>
          <w:szCs w:val="32"/>
        </w:rPr>
        <w:t>（六）预算绩效目标说明：</w:t>
      </w:r>
      <w:r>
        <w:rPr>
          <w:rFonts w:eastAsia="仿宋_GB2312"/>
          <w:bCs/>
          <w:kern w:val="0"/>
          <w:sz w:val="32"/>
          <w:szCs w:val="32"/>
        </w:rPr>
        <w:t>本单位所有支出实行绩效目标管理。纳入202</w:t>
      </w: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年单位整体支出绩效目标的金额为</w:t>
      </w:r>
      <w:r>
        <w:rPr>
          <w:rFonts w:hint="eastAsia" w:eastAsia="仿宋_GB2312"/>
          <w:sz w:val="32"/>
          <w:szCs w:val="32"/>
        </w:rPr>
        <w:t>246.28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</w:rPr>
        <w:t>68.9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</w:rPr>
        <w:t>177.38</w:t>
      </w:r>
      <w:r>
        <w:rPr>
          <w:rFonts w:eastAsia="仿宋_GB2312"/>
          <w:bCs/>
          <w:kern w:val="0"/>
          <w:sz w:val="32"/>
          <w:szCs w:val="32"/>
        </w:rPr>
        <w:t>万元，具体绩效目标详见报表。</w:t>
      </w:r>
    </w:p>
    <w:p>
      <w:pPr>
        <w:widowControl/>
        <w:spacing w:line="600" w:lineRule="exact"/>
        <w:ind w:firstLine="6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</w:t>
      </w:r>
      <w:r>
        <w:rPr>
          <w:rFonts w:hint="eastAsia" w:eastAsia="仿宋_GB2312"/>
          <w:sz w:val="32"/>
          <w:szCs w:val="32"/>
        </w:rPr>
        <w:t>单位</w:t>
      </w:r>
      <w:r>
        <w:rPr>
          <w:rFonts w:eastAsia="仿宋_GB2312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</w:p>
    <w:p>
      <w:pPr>
        <w:widowControl/>
        <w:spacing w:line="600" w:lineRule="exact"/>
        <w:rPr>
          <w:rFonts w:eastAsia="方正小标宋_GBK"/>
          <w:sz w:val="44"/>
          <w:szCs w:val="44"/>
        </w:rPr>
      </w:pPr>
    </w:p>
    <w:p>
      <w:pPr>
        <w:widowControl/>
        <w:numPr>
          <w:ilvl w:val="0"/>
          <w:numId w:val="2"/>
        </w:numPr>
        <w:spacing w:line="600" w:lineRule="exact"/>
        <w:ind w:firstLine="1800" w:firstLineChars="500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202</w:t>
      </w:r>
      <w:r>
        <w:rPr>
          <w:rFonts w:hint="eastAsia" w:eastAsia="方正小标宋_GBK"/>
          <w:bCs/>
          <w:kern w:val="0"/>
          <w:sz w:val="36"/>
          <w:szCs w:val="36"/>
        </w:rPr>
        <w:t>2</w:t>
      </w:r>
      <w:r>
        <w:rPr>
          <w:rFonts w:eastAsia="方正小标宋_GBK"/>
          <w:bCs/>
          <w:kern w:val="0"/>
          <w:sz w:val="36"/>
          <w:szCs w:val="36"/>
        </w:rPr>
        <w:t>年单位预算表</w:t>
      </w:r>
    </w:p>
    <w:p>
      <w:pPr>
        <w:widowControl/>
        <w:numPr>
          <w:ilvl w:val="0"/>
          <w:numId w:val="0"/>
        </w:numPr>
        <w:spacing w:line="600" w:lineRule="exact"/>
        <w:jc w:val="center"/>
        <w:rPr>
          <w:rFonts w:hint="default" w:eastAsia="方正小标宋_GBK"/>
          <w:bCs/>
          <w:kern w:val="0"/>
          <w:sz w:val="36"/>
          <w:szCs w:val="36"/>
          <w:lang w:val="en-US" w:eastAsia="zh-CN"/>
        </w:rPr>
      </w:pPr>
      <w:r>
        <w:rPr>
          <w:rFonts w:hint="eastAsia" w:eastAsia="方正小标宋_GBK"/>
          <w:bCs/>
          <w:kern w:val="0"/>
          <w:sz w:val="36"/>
          <w:szCs w:val="36"/>
          <w:lang w:eastAsia="zh-CN"/>
        </w:rPr>
        <w:t>（</w:t>
      </w:r>
      <w:r>
        <w:rPr>
          <w:rFonts w:hint="eastAsia" w:eastAsia="方正小标宋_GBK"/>
          <w:bCs/>
          <w:kern w:val="0"/>
          <w:sz w:val="36"/>
          <w:szCs w:val="36"/>
          <w:lang w:val="en-US" w:eastAsia="zh-CN"/>
        </w:rPr>
        <w:t>见附件）</w:t>
      </w:r>
    </w:p>
    <w:p>
      <w:pPr>
        <w:widowControl/>
        <w:spacing w:line="600" w:lineRule="exact"/>
        <w:ind w:firstLine="660"/>
        <w:rPr>
          <w:rFonts w:eastAsia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8B72A0"/>
    <w:multiLevelType w:val="singleLevel"/>
    <w:tmpl w:val="B48B72A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EC6AFD3"/>
    <w:multiLevelType w:val="singleLevel"/>
    <w:tmpl w:val="0EC6AFD3"/>
    <w:lvl w:ilvl="0" w:tentative="0">
      <w:start w:val="2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F4B6670"/>
    <w:rsid w:val="00092D41"/>
    <w:rsid w:val="001F69FD"/>
    <w:rsid w:val="0066213F"/>
    <w:rsid w:val="01943C8A"/>
    <w:rsid w:val="0B137D32"/>
    <w:rsid w:val="350611C8"/>
    <w:rsid w:val="35112DBC"/>
    <w:rsid w:val="3F4B6670"/>
    <w:rsid w:val="57B36E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6</Pages>
  <Words>391</Words>
  <Characters>2234</Characters>
  <Lines>18</Lines>
  <Paragraphs>5</Paragraphs>
  <TotalTime>0</TotalTime>
  <ScaleCrop>false</ScaleCrop>
  <LinksUpToDate>false</LinksUpToDate>
  <CharactersWithSpaces>2620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2023-09-25T07:42:00Z</dcterms:created>
  <dc:creator>zjj</dc:creator>
  <cp:lastModifiedBy>ok</cp:lastModifiedBy>
  <dcterms:modified xsi:type="dcterms:W3CDTF">2023-09-26T02:31:42Z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55B92BDAA9294E989A764273ACFBFA37</vt:lpwstr>
  </property>
</Properties>
</file>