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Cs/>
          <w:kern w:val="0"/>
          <w:sz w:val="44"/>
          <w:szCs w:val="44"/>
        </w:rPr>
      </w:pPr>
      <w:r>
        <w:rPr>
          <w:rFonts w:eastAsia="方正小标宋_GBK"/>
          <w:bCs/>
          <w:kern w:val="0"/>
          <w:sz w:val="44"/>
          <w:szCs w:val="44"/>
        </w:rPr>
        <w:t>202</w:t>
      </w:r>
      <w:r>
        <w:rPr>
          <w:rFonts w:hint="eastAsia" w:eastAsia="方正小标宋_GBK"/>
          <w:bCs/>
          <w:kern w:val="0"/>
          <w:sz w:val="44"/>
          <w:szCs w:val="44"/>
        </w:rPr>
        <w:t>2</w:t>
      </w:r>
      <w:r>
        <w:rPr>
          <w:rFonts w:eastAsia="方正小标宋_GBK"/>
          <w:bCs/>
          <w:kern w:val="0"/>
          <w:sz w:val="44"/>
          <w:szCs w:val="44"/>
        </w:rPr>
        <w:t>年</w:t>
      </w:r>
      <w:r>
        <w:rPr>
          <w:rFonts w:hint="eastAsia" w:eastAsia="方正小标宋_GBK"/>
          <w:bCs/>
          <w:kern w:val="0"/>
          <w:sz w:val="44"/>
          <w:szCs w:val="44"/>
        </w:rPr>
        <w:t>湖南省农业科技服务中心</w:t>
      </w:r>
      <w:r>
        <w:rPr>
          <w:rFonts w:eastAsia="方正小标宋_GBK"/>
          <w:bCs/>
          <w:kern w:val="0"/>
          <w:sz w:val="44"/>
          <w:szCs w:val="44"/>
        </w:rPr>
        <w:t>预算</w:t>
      </w:r>
    </w:p>
    <w:p>
      <w:pPr>
        <w:widowControl/>
        <w:spacing w:line="600" w:lineRule="exact"/>
        <w:jc w:val="center"/>
        <w:rPr>
          <w:rFonts w:eastAsia="方正小标宋_GBK"/>
          <w:bCs/>
          <w:kern w:val="0"/>
          <w:sz w:val="44"/>
          <w:szCs w:val="44"/>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rPr>
        <w:t>2</w:t>
      </w:r>
      <w:r>
        <w:rPr>
          <w:rFonts w:eastAsia="仿宋_GB2312"/>
          <w:b/>
          <w:bCs/>
          <w:kern w:val="0"/>
          <w:sz w:val="32"/>
          <w:szCs w:val="32"/>
        </w:rPr>
        <w:t>年单位预算说明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rPr>
        <w:t>2</w:t>
      </w:r>
      <w:r>
        <w:rPr>
          <w:rFonts w:eastAsia="仿宋_GB2312"/>
          <w:b/>
          <w:bCs/>
          <w:kern w:val="0"/>
          <w:sz w:val="32"/>
          <w:szCs w:val="32"/>
        </w:rPr>
        <w:t>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w:t>
      </w:r>
      <w:r>
        <w:rPr>
          <w:rFonts w:hint="eastAsia" w:eastAsia="仿宋_GB2312"/>
          <w:bCs/>
          <w:kern w:val="0"/>
          <w:sz w:val="32"/>
          <w:szCs w:val="32"/>
        </w:rPr>
        <w:t>单位</w:t>
      </w:r>
      <w:r>
        <w:rPr>
          <w:rFonts w:eastAsia="仿宋_GB2312"/>
          <w:bCs/>
          <w:kern w:val="0"/>
          <w:sz w:val="32"/>
          <w:szCs w:val="32"/>
        </w:rPr>
        <w:t>预算报表中，空表表示本单位无相关收支情况。</w:t>
      </w:r>
    </w:p>
    <w:p>
      <w:pPr>
        <w:widowControl/>
        <w:spacing w:line="600" w:lineRule="exact"/>
        <w:ind w:firstLine="640" w:firstLineChars="200"/>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ascii="宋体" w:hAnsi="宋体" w:cs="宋体"/>
          <w:bCs/>
          <w:kern w:val="0"/>
          <w:sz w:val="36"/>
          <w:szCs w:val="36"/>
        </w:rPr>
      </w:pPr>
    </w:p>
    <w:p>
      <w:pPr>
        <w:widowControl/>
        <w:spacing w:line="600" w:lineRule="exact"/>
        <w:jc w:val="center"/>
        <w:rPr>
          <w:rFonts w:ascii="宋体" w:hAnsi="宋体" w:cs="宋体"/>
          <w:bCs/>
          <w:kern w:val="0"/>
          <w:sz w:val="36"/>
          <w:szCs w:val="36"/>
        </w:rPr>
      </w:pPr>
    </w:p>
    <w:p>
      <w:pPr>
        <w:widowControl/>
        <w:spacing w:line="600" w:lineRule="exact"/>
        <w:jc w:val="center"/>
        <w:rPr>
          <w:rFonts w:ascii="宋体" w:hAnsi="宋体" w:cs="宋体"/>
          <w:bCs/>
          <w:kern w:val="0"/>
          <w:sz w:val="36"/>
          <w:szCs w:val="36"/>
        </w:rPr>
      </w:pPr>
    </w:p>
    <w:p>
      <w:pPr>
        <w:widowControl/>
        <w:spacing w:line="600" w:lineRule="exact"/>
        <w:jc w:val="center"/>
        <w:rPr>
          <w:rFonts w:ascii="宋体" w:hAnsi="宋体" w:cs="宋体"/>
          <w:bCs/>
          <w:kern w:val="0"/>
          <w:sz w:val="36"/>
          <w:szCs w:val="36"/>
        </w:rPr>
      </w:pPr>
    </w:p>
    <w:p>
      <w:pPr>
        <w:widowControl/>
        <w:spacing w:line="600" w:lineRule="exact"/>
        <w:jc w:val="center"/>
        <w:rPr>
          <w:rFonts w:ascii="宋体" w:hAnsi="宋体" w:cs="宋体"/>
          <w:bCs/>
          <w:kern w:val="0"/>
          <w:sz w:val="36"/>
          <w:szCs w:val="36"/>
        </w:rPr>
      </w:pPr>
      <w:r>
        <w:rPr>
          <w:rFonts w:hint="eastAsia" w:ascii="宋体" w:hAnsi="宋体" w:cs="宋体"/>
          <w:bCs/>
          <w:kern w:val="0"/>
          <w:sz w:val="36"/>
          <w:szCs w:val="36"/>
        </w:rPr>
        <w:t>第一部分 2022年单位预算说明</w:t>
      </w:r>
    </w:p>
    <w:p>
      <w:pPr>
        <w:widowControl/>
        <w:spacing w:line="600" w:lineRule="exact"/>
        <w:jc w:val="left"/>
        <w:rPr>
          <w:rFonts w:ascii="宋体" w:hAnsi="宋体" w:cs="宋体"/>
          <w:b/>
          <w:bCs/>
          <w:kern w:val="0"/>
          <w:sz w:val="32"/>
          <w:szCs w:val="32"/>
        </w:rPr>
      </w:pPr>
    </w:p>
    <w:p>
      <w:pPr>
        <w:widowControl/>
        <w:spacing w:line="600" w:lineRule="exact"/>
        <w:ind w:firstLine="627" w:firstLineChars="196"/>
        <w:jc w:val="left"/>
        <w:rPr>
          <w:rFonts w:ascii="黑体" w:hAnsi="黑体" w:eastAsia="黑体" w:cs="黑体"/>
          <w:bCs/>
          <w:kern w:val="0"/>
          <w:sz w:val="32"/>
          <w:szCs w:val="32"/>
        </w:rPr>
      </w:pPr>
      <w:r>
        <w:rPr>
          <w:rFonts w:hint="eastAsia" w:ascii="黑体" w:hAnsi="黑体" w:eastAsia="黑体" w:cs="黑体"/>
          <w:bCs/>
          <w:kern w:val="0"/>
          <w:sz w:val="32"/>
          <w:szCs w:val="32"/>
        </w:rPr>
        <w:t>一、单位基本概况</w:t>
      </w:r>
    </w:p>
    <w:p>
      <w:pPr>
        <w:widowControl/>
        <w:spacing w:line="600" w:lineRule="exact"/>
        <w:ind w:firstLine="630" w:firstLineChars="196"/>
        <w:jc w:val="left"/>
        <w:rPr>
          <w:rFonts w:ascii="仿宋" w:hAnsi="仿宋" w:eastAsia="仿宋" w:cs="仿宋"/>
          <w:b/>
          <w:sz w:val="32"/>
          <w:szCs w:val="32"/>
        </w:rPr>
      </w:pPr>
      <w:r>
        <w:rPr>
          <w:rFonts w:hint="eastAsia" w:ascii="仿宋" w:hAnsi="仿宋" w:eastAsia="仿宋" w:cs="仿宋"/>
          <w:b/>
          <w:sz w:val="32"/>
          <w:szCs w:val="32"/>
        </w:rPr>
        <w:t>（一）职能职责</w:t>
      </w:r>
    </w:p>
    <w:p>
      <w:pPr>
        <w:spacing w:line="580" w:lineRule="exact"/>
        <w:ind w:firstLine="640"/>
        <w:rPr>
          <w:rFonts w:ascii="仿宋" w:hAnsi="仿宋" w:eastAsia="仿宋" w:cs="仿宋"/>
          <w:sz w:val="32"/>
          <w:szCs w:val="32"/>
        </w:rPr>
      </w:pPr>
      <w:r>
        <w:rPr>
          <w:rFonts w:hint="eastAsia" w:ascii="仿宋" w:hAnsi="仿宋" w:eastAsia="仿宋" w:cs="仿宋"/>
          <w:sz w:val="32"/>
          <w:szCs w:val="32"/>
        </w:rPr>
        <w:t>湖南省农业科技服务中心是由省农委下属的省农业科学技术教育服务中心、省粮油作物科技中心、省农垦科技服务中心、省农业工程设计所四个单位合并而成的正处级公益二类事业单位，主要承担农业科技成果的转化、开发和技术服务等职责。具体职责：</w:t>
      </w:r>
    </w:p>
    <w:p>
      <w:pPr>
        <w:spacing w:line="580" w:lineRule="exact"/>
        <w:ind w:firstLine="640"/>
        <w:rPr>
          <w:rFonts w:ascii="仿宋" w:hAnsi="仿宋" w:eastAsia="仿宋" w:cs="仿宋"/>
          <w:sz w:val="32"/>
          <w:szCs w:val="32"/>
        </w:rPr>
      </w:pPr>
      <w:r>
        <w:rPr>
          <w:rFonts w:hint="eastAsia" w:ascii="仿宋" w:hAnsi="仿宋" w:eastAsia="仿宋" w:cs="仿宋"/>
          <w:sz w:val="32"/>
          <w:szCs w:val="32"/>
        </w:rPr>
        <w:t>（一）贯彻国家和省有关农业科技方面的法律法规和政策；开展农业科技相关调查研究，提供对策建议，供省农业委员会决策参考；参与地方农业科技规划的编制。</w:t>
      </w:r>
    </w:p>
    <w:p>
      <w:pPr>
        <w:spacing w:line="580" w:lineRule="exact"/>
        <w:ind w:firstLine="640"/>
        <w:rPr>
          <w:rFonts w:ascii="仿宋" w:hAnsi="仿宋" w:eastAsia="仿宋" w:cs="仿宋"/>
          <w:sz w:val="32"/>
          <w:szCs w:val="32"/>
        </w:rPr>
      </w:pPr>
      <w:r>
        <w:rPr>
          <w:rFonts w:hint="eastAsia" w:ascii="仿宋" w:hAnsi="仿宋" w:eastAsia="仿宋" w:cs="仿宋"/>
          <w:sz w:val="32"/>
          <w:szCs w:val="32"/>
        </w:rPr>
        <w:t>（二）协助省农业委员会相关业务处、室、站做好科技服务工作。</w:t>
      </w:r>
    </w:p>
    <w:p>
      <w:pPr>
        <w:spacing w:line="580" w:lineRule="exact"/>
        <w:ind w:firstLine="640"/>
        <w:rPr>
          <w:rFonts w:ascii="仿宋" w:hAnsi="仿宋" w:eastAsia="仿宋" w:cs="仿宋"/>
          <w:sz w:val="32"/>
          <w:szCs w:val="32"/>
        </w:rPr>
      </w:pPr>
      <w:r>
        <w:rPr>
          <w:rFonts w:hint="eastAsia" w:ascii="仿宋" w:hAnsi="仿宋" w:eastAsia="仿宋" w:cs="仿宋"/>
          <w:sz w:val="32"/>
          <w:szCs w:val="32"/>
        </w:rPr>
        <w:t>（三）承担农业科技成果的转化、市场开发和农业科技培训、咨询服务工作。主要包括农业新品种、新产品、新技术的试验、示范和推广开发工作。</w:t>
      </w:r>
    </w:p>
    <w:p>
      <w:pPr>
        <w:spacing w:line="580" w:lineRule="exact"/>
        <w:ind w:firstLine="640"/>
        <w:rPr>
          <w:rFonts w:ascii="仿宋" w:hAnsi="仿宋" w:eastAsia="仿宋" w:cs="仿宋"/>
          <w:sz w:val="32"/>
          <w:szCs w:val="32"/>
        </w:rPr>
      </w:pPr>
      <w:r>
        <w:rPr>
          <w:rFonts w:hint="eastAsia" w:ascii="仿宋" w:hAnsi="仿宋" w:eastAsia="仿宋" w:cs="仿宋"/>
          <w:sz w:val="32"/>
          <w:szCs w:val="32"/>
        </w:rPr>
        <w:t>（四）接受农业科技成果评价委托，提供农业科技成果评价服务。</w:t>
      </w:r>
    </w:p>
    <w:p>
      <w:pPr>
        <w:spacing w:line="580" w:lineRule="exact"/>
        <w:ind w:firstLine="640"/>
        <w:rPr>
          <w:rFonts w:ascii="仿宋" w:hAnsi="仿宋" w:eastAsia="仿宋" w:cs="仿宋"/>
          <w:sz w:val="32"/>
          <w:szCs w:val="32"/>
        </w:rPr>
      </w:pPr>
      <w:r>
        <w:rPr>
          <w:rFonts w:hint="eastAsia" w:ascii="仿宋" w:hAnsi="仿宋" w:eastAsia="仿宋" w:cs="仿宋"/>
          <w:sz w:val="32"/>
          <w:szCs w:val="32"/>
        </w:rPr>
        <w:t>（五）完成省农业委员会交办的其他工作。</w:t>
      </w:r>
    </w:p>
    <w:p>
      <w:pPr>
        <w:widowControl/>
        <w:spacing w:line="600" w:lineRule="exact"/>
        <w:ind w:firstLine="630" w:firstLineChars="196"/>
        <w:jc w:val="left"/>
        <w:rPr>
          <w:rFonts w:ascii="仿宋" w:hAnsi="仿宋" w:eastAsia="仿宋" w:cs="仿宋"/>
          <w:sz w:val="32"/>
          <w:szCs w:val="32"/>
        </w:rPr>
      </w:pPr>
      <w:r>
        <w:rPr>
          <w:rFonts w:hint="eastAsia" w:ascii="仿宋" w:hAnsi="仿宋" w:eastAsia="仿宋" w:cs="仿宋"/>
          <w:b/>
          <w:sz w:val="32"/>
          <w:szCs w:val="32"/>
        </w:rPr>
        <w:t>（二）机构设置</w:t>
      </w:r>
    </w:p>
    <w:p>
      <w:pPr>
        <w:spacing w:line="580" w:lineRule="exact"/>
        <w:ind w:firstLine="640"/>
        <w:rPr>
          <w:rFonts w:hint="eastAsia" w:ascii="仿宋" w:hAnsi="仿宋" w:eastAsia="仿宋" w:cs="仿宋"/>
          <w:sz w:val="32"/>
          <w:szCs w:val="32"/>
        </w:rPr>
      </w:pPr>
      <w:r>
        <w:rPr>
          <w:rFonts w:hint="eastAsia" w:ascii="仿宋" w:hAnsi="仿宋" w:eastAsia="仿宋" w:cs="仿宋"/>
          <w:sz w:val="32"/>
          <w:szCs w:val="32"/>
        </w:rPr>
        <w:t>湖南省农业科技服务中心设办公室、财务科、农业科技服务科、科技成果转化科及科技培训科（加挂科技成果评价科）。</w:t>
      </w:r>
    </w:p>
    <w:p>
      <w:pPr>
        <w:widowControl/>
        <w:spacing w:line="600" w:lineRule="exact"/>
        <w:ind w:firstLine="640" w:firstLineChars="200"/>
        <w:jc w:val="left"/>
        <w:rPr>
          <w:rFonts w:ascii="黑体" w:hAnsi="黑体" w:eastAsia="黑体" w:cs="黑体"/>
          <w:bCs/>
          <w:kern w:val="0"/>
          <w:sz w:val="32"/>
          <w:szCs w:val="32"/>
        </w:rPr>
      </w:pPr>
      <w:r>
        <w:rPr>
          <w:rFonts w:hint="eastAsia" w:ascii="黑体" w:hAnsi="黑体" w:eastAsia="黑体" w:cs="黑体"/>
          <w:bCs/>
          <w:kern w:val="0"/>
          <w:sz w:val="32"/>
          <w:szCs w:val="32"/>
        </w:rPr>
        <w:t>二、部门预算单位构成</w:t>
      </w:r>
    </w:p>
    <w:p>
      <w:pPr>
        <w:widowControl/>
        <w:spacing w:line="600" w:lineRule="exact"/>
        <w:ind w:firstLine="627" w:firstLineChars="196"/>
        <w:jc w:val="left"/>
        <w:rPr>
          <w:rFonts w:ascii="仿宋" w:hAnsi="仿宋" w:eastAsia="仿宋" w:cs="仿宋"/>
          <w:sz w:val="32"/>
          <w:szCs w:val="32"/>
        </w:rPr>
      </w:pPr>
      <w:r>
        <w:rPr>
          <w:rFonts w:hint="eastAsia" w:ascii="仿宋" w:hAnsi="仿宋" w:eastAsia="仿宋" w:cs="仿宋"/>
          <w:sz w:val="32"/>
          <w:szCs w:val="32"/>
        </w:rPr>
        <w:t>本部门纳入编制范围的预算单位仅包含湖南省农业科技服务中心</w:t>
      </w:r>
      <w:bookmarkStart w:id="0" w:name="_GoBack"/>
      <w:bookmarkEnd w:id="0"/>
      <w:r>
        <w:rPr>
          <w:rFonts w:hint="eastAsia" w:ascii="仿宋" w:hAnsi="仿宋" w:eastAsia="仿宋" w:cs="仿宋"/>
          <w:sz w:val="32"/>
          <w:szCs w:val="32"/>
        </w:rPr>
        <w:t>本级。</w:t>
      </w:r>
    </w:p>
    <w:p>
      <w:pPr>
        <w:widowControl/>
        <w:spacing w:line="600" w:lineRule="exact"/>
        <w:ind w:firstLine="627" w:firstLineChars="196"/>
        <w:jc w:val="left"/>
        <w:rPr>
          <w:rFonts w:ascii="黑体" w:hAnsi="黑体" w:eastAsia="黑体" w:cs="黑体"/>
          <w:bCs/>
          <w:kern w:val="0"/>
          <w:sz w:val="32"/>
          <w:szCs w:val="32"/>
        </w:rPr>
      </w:pPr>
      <w:r>
        <w:rPr>
          <w:rFonts w:hint="eastAsia" w:ascii="黑体" w:hAnsi="黑体" w:eastAsia="黑体" w:cs="黑体"/>
          <w:bCs/>
          <w:kern w:val="0"/>
          <w:sz w:val="32"/>
          <w:szCs w:val="32"/>
        </w:rPr>
        <w:t>三、单位收支总体情况</w:t>
      </w:r>
    </w:p>
    <w:p>
      <w:pPr>
        <w:widowControl/>
        <w:spacing w:line="600" w:lineRule="exact"/>
        <w:ind w:firstLine="630" w:firstLineChars="196"/>
        <w:rPr>
          <w:rFonts w:ascii="仿宋" w:hAnsi="仿宋" w:eastAsia="仿宋" w:cs="仿宋"/>
          <w:sz w:val="32"/>
          <w:szCs w:val="32"/>
        </w:rPr>
      </w:pPr>
      <w:r>
        <w:rPr>
          <w:rFonts w:hint="eastAsia" w:ascii="仿宋" w:hAnsi="仿宋" w:eastAsia="仿宋" w:cs="仿宋"/>
          <w:b/>
          <w:sz w:val="32"/>
          <w:szCs w:val="32"/>
        </w:rPr>
        <w:t>（一）收入预算：</w:t>
      </w:r>
      <w:r>
        <w:rPr>
          <w:rFonts w:hint="eastAsia" w:ascii="仿宋" w:hAnsi="仿宋" w:eastAsia="仿宋" w:cs="仿宋"/>
          <w:sz w:val="32"/>
          <w:szCs w:val="32"/>
        </w:rPr>
        <w:t>包括一般公共预算、政府性基金、国有资本经营预算等财政拨款收入，以及经营收入、事业收入等单位资金。2022年本单位收入预算544.5万元，其中，一般公共预算拨款382.5万元，其他收入162万元，收入较去年增加107.4万元，主要是其他收入增加。</w:t>
      </w:r>
    </w:p>
    <w:p>
      <w:pPr>
        <w:widowControl/>
        <w:spacing w:line="600" w:lineRule="exact"/>
        <w:ind w:firstLine="630" w:firstLineChars="196"/>
        <w:jc w:val="left"/>
        <w:rPr>
          <w:rFonts w:ascii="仿宋" w:hAnsi="仿宋" w:eastAsia="仿宋" w:cs="仿宋"/>
          <w:sz w:val="32"/>
          <w:szCs w:val="32"/>
        </w:rPr>
      </w:pPr>
      <w:r>
        <w:rPr>
          <w:rFonts w:hint="eastAsia" w:ascii="仿宋" w:hAnsi="仿宋" w:eastAsia="仿宋" w:cs="仿宋"/>
          <w:b/>
          <w:sz w:val="32"/>
          <w:szCs w:val="32"/>
        </w:rPr>
        <w:t>（二） 支出预算：</w:t>
      </w:r>
      <w:r>
        <w:rPr>
          <w:rFonts w:hint="eastAsia" w:ascii="仿宋" w:hAnsi="仿宋" w:eastAsia="仿宋" w:cs="仿宋"/>
          <w:sz w:val="32"/>
          <w:szCs w:val="32"/>
        </w:rPr>
        <w:t>2022年本单位支出预算544.5万元，其中，农林水支出484.5万元，社会保障和就业支出60万元。支出较去年增加107.4万元，主要是其他支出增加。</w:t>
      </w:r>
    </w:p>
    <w:p>
      <w:pPr>
        <w:widowControl/>
        <w:spacing w:line="600" w:lineRule="exact"/>
        <w:ind w:firstLine="660"/>
        <w:jc w:val="left"/>
        <w:rPr>
          <w:rFonts w:ascii="黑体" w:hAnsi="黑体" w:eastAsia="黑体" w:cs="黑体"/>
          <w:sz w:val="32"/>
          <w:szCs w:val="32"/>
        </w:rPr>
      </w:pPr>
      <w:r>
        <w:rPr>
          <w:rFonts w:hint="eastAsia" w:ascii="黑体" w:hAnsi="黑体" w:eastAsia="黑体" w:cs="黑体"/>
          <w:sz w:val="32"/>
          <w:szCs w:val="32"/>
        </w:rPr>
        <w:t>四、一般公共预算拨款支出</w:t>
      </w:r>
    </w:p>
    <w:p>
      <w:pPr>
        <w:widowControl/>
        <w:spacing w:line="600" w:lineRule="exact"/>
        <w:ind w:firstLine="660"/>
        <w:jc w:val="left"/>
        <w:rPr>
          <w:rFonts w:ascii="仿宋" w:hAnsi="仿宋" w:eastAsia="仿宋" w:cs="仿宋"/>
          <w:sz w:val="32"/>
          <w:szCs w:val="32"/>
        </w:rPr>
      </w:pPr>
      <w:r>
        <w:rPr>
          <w:rFonts w:hint="eastAsia" w:ascii="仿宋" w:hAnsi="仿宋" w:eastAsia="仿宋" w:cs="仿宋"/>
          <w:sz w:val="32"/>
          <w:szCs w:val="32"/>
        </w:rPr>
        <w:t>2022年本单位一般公共预算拨款支出预算382.5万元，具体安排情况如下：</w:t>
      </w:r>
    </w:p>
    <w:p>
      <w:pPr>
        <w:widowControl/>
        <w:numPr>
          <w:ilvl w:val="0"/>
          <w:numId w:val="1"/>
        </w:numPr>
        <w:spacing w:line="600" w:lineRule="exact"/>
        <w:ind w:firstLine="660"/>
        <w:jc w:val="left"/>
        <w:rPr>
          <w:rFonts w:ascii="仿宋" w:hAnsi="仿宋" w:eastAsia="仿宋" w:cs="仿宋"/>
          <w:sz w:val="32"/>
          <w:szCs w:val="32"/>
        </w:rPr>
      </w:pPr>
      <w:r>
        <w:rPr>
          <w:rFonts w:hint="eastAsia" w:ascii="仿宋" w:hAnsi="仿宋" w:eastAsia="仿宋" w:cs="仿宋"/>
          <w:b/>
          <w:sz w:val="32"/>
          <w:szCs w:val="32"/>
        </w:rPr>
        <w:t>基本支出：</w:t>
      </w:r>
      <w:r>
        <w:rPr>
          <w:rFonts w:hint="eastAsia" w:ascii="仿宋" w:hAnsi="仿宋" w:eastAsia="仿宋" w:cs="仿宋"/>
          <w:sz w:val="32"/>
          <w:szCs w:val="32"/>
        </w:rPr>
        <w:t>2022年本单位基本支出预算数262.5万元，主要是为保障单位机构正常运转、完成日常工作任务而发生的各项支出，包括用于基本工资、津贴补贴等人员经费以及办公费、印刷费、水电费、办公设备购置等公用经费。</w:t>
      </w:r>
    </w:p>
    <w:p>
      <w:pPr>
        <w:widowControl/>
        <w:spacing w:line="600" w:lineRule="exact"/>
        <w:ind w:firstLine="643" w:firstLineChars="200"/>
        <w:jc w:val="left"/>
        <w:rPr>
          <w:rFonts w:ascii="仿宋" w:hAnsi="仿宋" w:eastAsia="仿宋" w:cs="仿宋"/>
          <w:sz w:val="32"/>
          <w:szCs w:val="32"/>
        </w:rPr>
      </w:pPr>
      <w:r>
        <w:rPr>
          <w:rFonts w:hint="eastAsia" w:ascii="仿宋" w:hAnsi="仿宋" w:eastAsia="仿宋" w:cs="仿宋"/>
          <w:b/>
          <w:sz w:val="32"/>
          <w:szCs w:val="32"/>
        </w:rPr>
        <w:t>（二）项目支出：</w:t>
      </w:r>
      <w:r>
        <w:rPr>
          <w:rFonts w:hint="eastAsia" w:ascii="仿宋" w:hAnsi="仿宋" w:eastAsia="仿宋" w:cs="仿宋"/>
          <w:sz w:val="32"/>
          <w:szCs w:val="32"/>
        </w:rPr>
        <w:t>2022年本单位项目支出预算120万元，主要是部门为完成特定行政工作任务或事业发展目标而发生的支出，包括农业生产发展专项支出，其中：农业生产发展支出120万元，主要用于推进产业扶贫、乡村振兴等工作，通过新技术示范推广及成果评价加快农业科技成果转化等方面。</w:t>
      </w:r>
    </w:p>
    <w:p>
      <w:pPr>
        <w:widowControl/>
        <w:spacing w:line="600" w:lineRule="exact"/>
        <w:ind w:firstLine="660"/>
        <w:jc w:val="left"/>
        <w:rPr>
          <w:rFonts w:ascii="黑体" w:hAnsi="黑体" w:eastAsia="黑体" w:cs="黑体"/>
          <w:sz w:val="32"/>
          <w:szCs w:val="32"/>
        </w:rPr>
      </w:pPr>
      <w:r>
        <w:rPr>
          <w:rFonts w:hint="eastAsia" w:ascii="黑体" w:hAnsi="黑体" w:eastAsia="黑体" w:cs="黑体"/>
          <w:sz w:val="32"/>
          <w:szCs w:val="32"/>
        </w:rPr>
        <w:t>五、政府性基金预算支出</w:t>
      </w:r>
    </w:p>
    <w:p>
      <w:pPr>
        <w:widowControl/>
        <w:spacing w:line="600" w:lineRule="exact"/>
        <w:ind w:firstLine="660"/>
        <w:jc w:val="left"/>
        <w:rPr>
          <w:rFonts w:ascii="仿宋" w:hAnsi="仿宋" w:eastAsia="仿宋" w:cs="仿宋"/>
          <w:sz w:val="32"/>
          <w:szCs w:val="32"/>
        </w:rPr>
      </w:pPr>
      <w:r>
        <w:rPr>
          <w:rFonts w:hint="eastAsia" w:ascii="仿宋" w:hAnsi="仿宋" w:eastAsia="仿宋" w:cs="仿宋"/>
          <w:sz w:val="32"/>
          <w:szCs w:val="32"/>
        </w:rPr>
        <w:t>2022年本单位政府性基金支出预算0万元。</w:t>
      </w:r>
    </w:p>
    <w:p>
      <w:pPr>
        <w:widowControl/>
        <w:spacing w:line="600" w:lineRule="exact"/>
        <w:ind w:firstLine="660"/>
        <w:jc w:val="left"/>
        <w:rPr>
          <w:rFonts w:ascii="黑体" w:hAnsi="黑体" w:eastAsia="黑体" w:cs="黑体"/>
          <w:sz w:val="32"/>
          <w:szCs w:val="32"/>
        </w:rPr>
      </w:pPr>
      <w:r>
        <w:rPr>
          <w:rFonts w:hint="eastAsia" w:ascii="黑体" w:hAnsi="黑体" w:eastAsia="黑体" w:cs="黑体"/>
          <w:sz w:val="32"/>
          <w:szCs w:val="32"/>
        </w:rPr>
        <w:t>六、其他重要事项的情况说明</w:t>
      </w:r>
    </w:p>
    <w:p>
      <w:pPr>
        <w:widowControl/>
        <w:spacing w:line="600" w:lineRule="exact"/>
        <w:ind w:firstLine="626" w:firstLineChars="195"/>
        <w:jc w:val="left"/>
        <w:rPr>
          <w:rFonts w:ascii="仿宋" w:hAnsi="仿宋" w:eastAsia="仿宋" w:cs="仿宋"/>
          <w:sz w:val="32"/>
          <w:szCs w:val="32"/>
        </w:rPr>
      </w:pPr>
      <w:r>
        <w:rPr>
          <w:rFonts w:hint="eastAsia" w:ascii="仿宋" w:hAnsi="仿宋" w:eastAsia="仿宋" w:cs="仿宋"/>
          <w:b/>
          <w:sz w:val="32"/>
          <w:szCs w:val="32"/>
        </w:rPr>
        <w:t>（一）机关运行经费：</w:t>
      </w:r>
      <w:r>
        <w:rPr>
          <w:rFonts w:hint="eastAsia" w:ascii="仿宋" w:hAnsi="仿宋" w:eastAsia="仿宋" w:cs="仿宋"/>
          <w:sz w:val="32"/>
          <w:szCs w:val="32"/>
        </w:rPr>
        <w:t>2022年本单位机关运行经费0万元，较上年无变动。</w:t>
      </w:r>
    </w:p>
    <w:p>
      <w:pPr>
        <w:widowControl/>
        <w:spacing w:line="600" w:lineRule="exact"/>
        <w:ind w:firstLine="660"/>
        <w:rPr>
          <w:rFonts w:ascii="仿宋" w:hAnsi="仿宋" w:eastAsia="仿宋" w:cs="仿宋"/>
          <w:sz w:val="32"/>
          <w:szCs w:val="32"/>
        </w:rPr>
      </w:pPr>
      <w:r>
        <w:rPr>
          <w:rFonts w:hint="eastAsia" w:ascii="仿宋" w:hAnsi="仿宋" w:eastAsia="仿宋" w:cs="仿宋"/>
          <w:b/>
          <w:sz w:val="32"/>
          <w:szCs w:val="32"/>
        </w:rPr>
        <w:t>（二）“三公”经费预算：</w:t>
      </w:r>
      <w:r>
        <w:rPr>
          <w:rFonts w:hint="eastAsia" w:ascii="仿宋" w:hAnsi="仿宋" w:eastAsia="仿宋" w:cs="仿宋"/>
          <w:sz w:val="32"/>
          <w:szCs w:val="32"/>
        </w:rPr>
        <w:t>2022年本单位“三公”经费预算数为0万元，其中，公务接待费0万元，公务用车购置及运行费0万元（其中，公务用车购置费 0万元，公务用车运行费 0万元），因公出国（境）费0万元。2022年“三公”经费预算较上年减少2万元，主要是公务接待费减少2万元，原因是一般公共预算拨款减少。</w:t>
      </w:r>
    </w:p>
    <w:p>
      <w:pPr>
        <w:widowControl/>
        <w:spacing w:line="600" w:lineRule="exact"/>
        <w:ind w:firstLine="660"/>
        <w:rPr>
          <w:rFonts w:ascii="仿宋" w:hAnsi="仿宋" w:eastAsia="仿宋" w:cs="仿宋"/>
          <w:kern w:val="0"/>
          <w:sz w:val="32"/>
          <w:szCs w:val="32"/>
        </w:rPr>
      </w:pPr>
      <w:r>
        <w:rPr>
          <w:rFonts w:hint="eastAsia" w:ascii="仿宋" w:hAnsi="仿宋" w:eastAsia="仿宋" w:cs="仿宋"/>
          <w:b/>
          <w:sz w:val="32"/>
          <w:szCs w:val="32"/>
        </w:rPr>
        <w:t>（三）一般性支出情况：</w:t>
      </w:r>
      <w:r>
        <w:rPr>
          <w:rFonts w:hint="eastAsia" w:ascii="仿宋" w:hAnsi="仿宋" w:eastAsia="仿宋" w:cs="仿宋"/>
          <w:kern w:val="0"/>
          <w:sz w:val="32"/>
          <w:szCs w:val="32"/>
        </w:rPr>
        <w:t>2022年本单位会议费预算0万元，拟召开0会议，人数0人；培训费预算0万元，拟开展0培训，人数0人；经费预算 0万元。</w:t>
      </w:r>
    </w:p>
    <w:p>
      <w:pPr>
        <w:widowControl/>
        <w:spacing w:line="600" w:lineRule="exact"/>
        <w:ind w:firstLine="660"/>
        <w:rPr>
          <w:rFonts w:ascii="仿宋" w:hAnsi="仿宋" w:eastAsia="仿宋" w:cs="仿宋"/>
          <w:sz w:val="32"/>
          <w:szCs w:val="32"/>
        </w:rPr>
      </w:pPr>
      <w:r>
        <w:rPr>
          <w:rFonts w:hint="eastAsia" w:ascii="仿宋" w:hAnsi="仿宋" w:eastAsia="仿宋" w:cs="仿宋"/>
          <w:b/>
          <w:sz w:val="32"/>
          <w:szCs w:val="32"/>
        </w:rPr>
        <w:t>（四）政府采购情况：</w:t>
      </w:r>
      <w:r>
        <w:rPr>
          <w:rFonts w:hint="eastAsia" w:ascii="仿宋" w:hAnsi="仿宋" w:eastAsia="仿宋" w:cs="仿宋"/>
          <w:sz w:val="32"/>
          <w:szCs w:val="32"/>
        </w:rPr>
        <w:t>2022年本部门政府采购预算总额0万元。其中，货物类采购预算0万元；工程类采购预算0万元；服务类采购预算0万元。</w:t>
      </w:r>
    </w:p>
    <w:p>
      <w:pPr>
        <w:widowControl/>
        <w:spacing w:line="600" w:lineRule="exact"/>
        <w:ind w:firstLine="660"/>
        <w:jc w:val="left"/>
        <w:rPr>
          <w:rFonts w:ascii="仿宋" w:hAnsi="仿宋" w:eastAsia="仿宋" w:cs="仿宋"/>
          <w:bCs/>
          <w:kern w:val="0"/>
          <w:sz w:val="32"/>
          <w:szCs w:val="32"/>
        </w:rPr>
      </w:pPr>
      <w:r>
        <w:rPr>
          <w:rFonts w:hint="eastAsia" w:ascii="仿宋" w:hAnsi="仿宋" w:eastAsia="仿宋" w:cs="仿宋"/>
          <w:b/>
          <w:sz w:val="32"/>
          <w:szCs w:val="32"/>
        </w:rPr>
        <w:t>（五）国有资产占用使用及新增资产配置情况：</w:t>
      </w:r>
      <w:r>
        <w:rPr>
          <w:rFonts w:hint="eastAsia" w:ascii="仿宋" w:hAnsi="仿宋" w:eastAsia="仿宋" w:cs="仿宋"/>
          <w:sz w:val="32"/>
          <w:szCs w:val="32"/>
        </w:rPr>
        <w:t>截至2020年12月底，本单位</w:t>
      </w:r>
      <w:r>
        <w:rPr>
          <w:rFonts w:hint="eastAsia" w:ascii="仿宋" w:hAnsi="仿宋" w:eastAsia="仿宋" w:cs="仿宋"/>
          <w:bCs/>
          <w:kern w:val="0"/>
          <w:sz w:val="32"/>
          <w:szCs w:val="32"/>
        </w:rPr>
        <w:t>共有公务用车0辆，其中，机要通信用车0辆，应急保障用车0辆，执法执勤用车0辆，特种专业技术用车0辆，其他按照规定配备的公务用车0辆；单位价值50万元以上通用设备0台，单位价值100万元以上专用设备0台。2022年拟新增配置公务用车0辆，其中，机要通信用车0辆，应急保障用车0辆，执法执勤用车0辆，特种专业技术用车0辆，其他按照规定配备的公务用车0辆；新增配备单位价值50万元以上通用设备0台，单位价值100万元以上专用设备0台。</w:t>
      </w:r>
    </w:p>
    <w:p>
      <w:pPr>
        <w:widowControl/>
        <w:spacing w:line="600" w:lineRule="exact"/>
        <w:ind w:firstLine="660"/>
        <w:jc w:val="left"/>
        <w:rPr>
          <w:rFonts w:ascii="仿宋" w:hAnsi="仿宋" w:eastAsia="仿宋" w:cs="仿宋"/>
          <w:bCs/>
          <w:kern w:val="0"/>
          <w:sz w:val="32"/>
          <w:szCs w:val="32"/>
        </w:rPr>
      </w:pPr>
      <w:r>
        <w:rPr>
          <w:rFonts w:hint="eastAsia" w:ascii="仿宋" w:hAnsi="仿宋" w:eastAsia="仿宋" w:cs="仿宋"/>
          <w:b/>
          <w:bCs/>
          <w:kern w:val="0"/>
          <w:sz w:val="32"/>
          <w:szCs w:val="32"/>
        </w:rPr>
        <w:t>（六）预算绩效目标说明：</w:t>
      </w:r>
      <w:r>
        <w:rPr>
          <w:rFonts w:hint="eastAsia" w:ascii="仿宋" w:hAnsi="仿宋" w:eastAsia="仿宋" w:cs="仿宋"/>
          <w:bCs/>
          <w:kern w:val="0"/>
          <w:sz w:val="32"/>
          <w:szCs w:val="32"/>
        </w:rPr>
        <w:t>本单位所有支出实行绩效目标管理。纳入2022年单位整体支出绩效目标的金额为544.5万元，其中，基本支出262.5万元，项目支出282万元，具体绩效目标详见报表。</w:t>
      </w:r>
    </w:p>
    <w:p>
      <w:pPr>
        <w:widowControl/>
        <w:spacing w:line="600" w:lineRule="exact"/>
        <w:ind w:firstLine="660"/>
        <w:rPr>
          <w:rFonts w:ascii="黑体" w:hAnsi="黑体" w:eastAsia="黑体" w:cs="黑体"/>
          <w:sz w:val="32"/>
          <w:szCs w:val="32"/>
        </w:rPr>
      </w:pPr>
      <w:r>
        <w:rPr>
          <w:rFonts w:hint="eastAsia" w:ascii="黑体" w:hAnsi="黑体" w:eastAsia="黑体" w:cs="黑体"/>
          <w:sz w:val="32"/>
          <w:szCs w:val="32"/>
        </w:rPr>
        <w:t>七、名词解释</w:t>
      </w:r>
    </w:p>
    <w:p>
      <w:pPr>
        <w:widowControl/>
        <w:spacing w:line="600" w:lineRule="exact"/>
        <w:ind w:firstLine="660"/>
        <w:rPr>
          <w:rFonts w:ascii="仿宋" w:hAnsi="仿宋" w:eastAsia="仿宋" w:cs="仿宋"/>
          <w:sz w:val="32"/>
          <w:szCs w:val="32"/>
        </w:rPr>
      </w:pPr>
      <w:r>
        <w:rPr>
          <w:rFonts w:hint="eastAsia" w:ascii="仿宋" w:hAnsi="仿宋" w:eastAsia="仿宋" w:cs="仿宋"/>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ascii="仿宋" w:hAnsi="仿宋" w:eastAsia="仿宋" w:cs="仿宋"/>
          <w:sz w:val="32"/>
          <w:szCs w:val="32"/>
        </w:rPr>
      </w:pPr>
      <w:r>
        <w:rPr>
          <w:rFonts w:hint="eastAsia" w:ascii="仿宋" w:hAnsi="仿宋" w:eastAsia="仿宋" w:cs="仿宋"/>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jc w:val="left"/>
        <w:rPr>
          <w:rFonts w:ascii="仿宋" w:hAnsi="仿宋" w:eastAsia="仿宋" w:cs="仿宋"/>
          <w:sz w:val="32"/>
          <w:szCs w:val="32"/>
        </w:rPr>
      </w:pPr>
    </w:p>
    <w:p>
      <w:pPr>
        <w:widowControl/>
        <w:spacing w:line="600" w:lineRule="exact"/>
        <w:jc w:val="left"/>
        <w:rPr>
          <w:rFonts w:ascii="仿宋" w:hAnsi="仿宋" w:eastAsia="仿宋" w:cs="仿宋"/>
          <w:sz w:val="32"/>
          <w:szCs w:val="32"/>
        </w:rPr>
      </w:pPr>
    </w:p>
    <w:p>
      <w:pPr>
        <w:spacing w:line="600" w:lineRule="exact"/>
        <w:rPr>
          <w:rFonts w:ascii="仿宋" w:hAnsi="仿宋" w:eastAsia="仿宋" w:cs="仿宋"/>
          <w:sz w:val="32"/>
          <w:szCs w:val="32"/>
        </w:rPr>
      </w:pPr>
    </w:p>
    <w:p>
      <w:pPr>
        <w:widowControl/>
        <w:spacing w:line="600" w:lineRule="exact"/>
        <w:jc w:val="left"/>
        <w:rPr>
          <w:rFonts w:ascii="仿宋" w:hAnsi="仿宋" w:eastAsia="仿宋" w:cs="仿宋"/>
          <w:sz w:val="32"/>
          <w:szCs w:val="32"/>
        </w:rPr>
      </w:pPr>
    </w:p>
    <w:p>
      <w:pPr>
        <w:widowControl/>
        <w:spacing w:line="600" w:lineRule="exact"/>
        <w:jc w:val="left"/>
        <w:rPr>
          <w:rFonts w:ascii="仿宋" w:hAnsi="仿宋" w:eastAsia="仿宋" w:cs="仿宋"/>
          <w:sz w:val="32"/>
          <w:szCs w:val="32"/>
        </w:rPr>
      </w:pPr>
    </w:p>
    <w:p>
      <w:pPr>
        <w:widowControl/>
        <w:spacing w:line="600" w:lineRule="exact"/>
        <w:jc w:val="left"/>
        <w:rPr>
          <w:rFonts w:ascii="仿宋" w:hAnsi="仿宋" w:eastAsia="仿宋" w:cs="仿宋"/>
          <w:sz w:val="32"/>
          <w:szCs w:val="32"/>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numPr>
          <w:ilvl w:val="0"/>
          <w:numId w:val="2"/>
        </w:numPr>
        <w:spacing w:line="600" w:lineRule="exact"/>
        <w:ind w:firstLine="720" w:firstLineChars="200"/>
        <w:jc w:val="center"/>
        <w:rPr>
          <w:rFonts w:eastAsia="方正小标宋_GBK"/>
          <w:bCs/>
          <w:kern w:val="0"/>
          <w:sz w:val="36"/>
          <w:szCs w:val="36"/>
        </w:rPr>
      </w:pPr>
      <w:r>
        <w:rPr>
          <w:rFonts w:eastAsia="方正小标宋_GBK"/>
          <w:bCs/>
          <w:kern w:val="0"/>
          <w:sz w:val="36"/>
          <w:szCs w:val="36"/>
        </w:rPr>
        <w:t>202</w:t>
      </w:r>
      <w:r>
        <w:rPr>
          <w:rFonts w:hint="eastAsia" w:eastAsia="方正小标宋_GBK"/>
          <w:bCs/>
          <w:kern w:val="0"/>
          <w:sz w:val="36"/>
          <w:szCs w:val="36"/>
        </w:rPr>
        <w:t>2</w:t>
      </w:r>
      <w:r>
        <w:rPr>
          <w:rFonts w:eastAsia="方正小标宋_GBK"/>
          <w:bCs/>
          <w:kern w:val="0"/>
          <w:sz w:val="36"/>
          <w:szCs w:val="36"/>
        </w:rPr>
        <w:t>年单位预算表</w:t>
      </w:r>
    </w:p>
    <w:p>
      <w:pPr>
        <w:widowControl/>
        <w:spacing w:line="600" w:lineRule="exact"/>
        <w:jc w:val="center"/>
        <w:rPr>
          <w:rFonts w:ascii="仿宋" w:hAnsi="仿宋" w:eastAsia="仿宋" w:cs="仿宋"/>
          <w:bCs/>
          <w:kern w:val="0"/>
          <w:sz w:val="36"/>
          <w:szCs w:val="36"/>
        </w:rPr>
      </w:pPr>
      <w:r>
        <w:rPr>
          <w:rFonts w:hint="eastAsia" w:ascii="仿宋" w:hAnsi="仿宋" w:eastAsia="仿宋" w:cs="仿宋"/>
          <w:bCs/>
          <w:kern w:val="0"/>
          <w:sz w:val="36"/>
          <w:szCs w:val="36"/>
        </w:rPr>
        <w:t>（见附表）</w:t>
      </w:r>
    </w:p>
    <w:p/>
    <w:p>
      <w:pPr>
        <w:rPr>
          <w:rFonts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F880CB"/>
    <w:multiLevelType w:val="singleLevel"/>
    <w:tmpl w:val="ABF880CB"/>
    <w:lvl w:ilvl="0" w:tentative="0">
      <w:start w:val="2"/>
      <w:numFmt w:val="chineseCounting"/>
      <w:suff w:val="space"/>
      <w:lvlText w:val="第%1部分"/>
      <w:lvlJc w:val="left"/>
      <w:rPr>
        <w:rFonts w:hint="eastAsia"/>
      </w:rPr>
    </w:lvl>
  </w:abstractNum>
  <w:abstractNum w:abstractNumId="1">
    <w:nsid w:val="4D452F77"/>
    <w:multiLevelType w:val="singleLevel"/>
    <w:tmpl w:val="4D452F7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C0BEE"/>
    <w:rsid w:val="00070708"/>
    <w:rsid w:val="000941BF"/>
    <w:rsid w:val="000D2ADE"/>
    <w:rsid w:val="000E777E"/>
    <w:rsid w:val="0018569E"/>
    <w:rsid w:val="0019502F"/>
    <w:rsid w:val="001B4C3F"/>
    <w:rsid w:val="00212FA0"/>
    <w:rsid w:val="002273EB"/>
    <w:rsid w:val="002564AB"/>
    <w:rsid w:val="00312A9A"/>
    <w:rsid w:val="00356061"/>
    <w:rsid w:val="003A436F"/>
    <w:rsid w:val="003C0BEE"/>
    <w:rsid w:val="004616D6"/>
    <w:rsid w:val="004B2B58"/>
    <w:rsid w:val="004E3C11"/>
    <w:rsid w:val="005303BE"/>
    <w:rsid w:val="0053396B"/>
    <w:rsid w:val="005377ED"/>
    <w:rsid w:val="005D1A55"/>
    <w:rsid w:val="006215F6"/>
    <w:rsid w:val="006A4C3D"/>
    <w:rsid w:val="00711112"/>
    <w:rsid w:val="00752F06"/>
    <w:rsid w:val="0078599A"/>
    <w:rsid w:val="00863918"/>
    <w:rsid w:val="00896DFA"/>
    <w:rsid w:val="008F492A"/>
    <w:rsid w:val="009004E8"/>
    <w:rsid w:val="00954389"/>
    <w:rsid w:val="00A15D5B"/>
    <w:rsid w:val="00A37377"/>
    <w:rsid w:val="00AA7A91"/>
    <w:rsid w:val="00AF4F78"/>
    <w:rsid w:val="00B816E6"/>
    <w:rsid w:val="00BF608C"/>
    <w:rsid w:val="00C52B27"/>
    <w:rsid w:val="00CB6196"/>
    <w:rsid w:val="00D00C44"/>
    <w:rsid w:val="00D06FB8"/>
    <w:rsid w:val="00D36ED0"/>
    <w:rsid w:val="00E003FE"/>
    <w:rsid w:val="00E96D26"/>
    <w:rsid w:val="00EE1996"/>
    <w:rsid w:val="00F417DE"/>
    <w:rsid w:val="00FC5F67"/>
    <w:rsid w:val="0109650F"/>
    <w:rsid w:val="06780DA6"/>
    <w:rsid w:val="098E4DDC"/>
    <w:rsid w:val="0F1875F2"/>
    <w:rsid w:val="105A46BB"/>
    <w:rsid w:val="121D23B2"/>
    <w:rsid w:val="139F268A"/>
    <w:rsid w:val="15EE2982"/>
    <w:rsid w:val="1A8F2652"/>
    <w:rsid w:val="1AA74D3E"/>
    <w:rsid w:val="1AB01AA7"/>
    <w:rsid w:val="1D2B18B9"/>
    <w:rsid w:val="205B1BE8"/>
    <w:rsid w:val="21C66054"/>
    <w:rsid w:val="2CE371FB"/>
    <w:rsid w:val="2E4D26E7"/>
    <w:rsid w:val="2FB03E84"/>
    <w:rsid w:val="2FCC1609"/>
    <w:rsid w:val="319943C6"/>
    <w:rsid w:val="357F463F"/>
    <w:rsid w:val="37F25322"/>
    <w:rsid w:val="38496B05"/>
    <w:rsid w:val="3D15233D"/>
    <w:rsid w:val="3FCF1D23"/>
    <w:rsid w:val="45260BC5"/>
    <w:rsid w:val="46E45B80"/>
    <w:rsid w:val="47A60F3E"/>
    <w:rsid w:val="49FF33BC"/>
    <w:rsid w:val="4A5A5AF1"/>
    <w:rsid w:val="4BD3155F"/>
    <w:rsid w:val="4CE56DAC"/>
    <w:rsid w:val="593800C7"/>
    <w:rsid w:val="60657AFE"/>
    <w:rsid w:val="610C2420"/>
    <w:rsid w:val="618733F5"/>
    <w:rsid w:val="6263416F"/>
    <w:rsid w:val="63285CDF"/>
    <w:rsid w:val="63365E8E"/>
    <w:rsid w:val="643B1AE6"/>
    <w:rsid w:val="66F57CD0"/>
    <w:rsid w:val="6F092829"/>
    <w:rsid w:val="702754DC"/>
    <w:rsid w:val="7111064A"/>
    <w:rsid w:val="71544A26"/>
    <w:rsid w:val="71F07487"/>
    <w:rsid w:val="73AA26AC"/>
    <w:rsid w:val="7C1D77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8AF090-6E12-4B9A-B8C1-6E141957B97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399</Words>
  <Characters>2279</Characters>
  <Lines>18</Lines>
  <Paragraphs>5</Paragraphs>
  <TotalTime>2</TotalTime>
  <ScaleCrop>false</ScaleCrop>
  <LinksUpToDate>false</LinksUpToDate>
  <CharactersWithSpaces>2673</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2023-09-25T08:16:00Z</dcterms:created>
  <dc:creator>user</dc:creator>
  <cp:lastModifiedBy>ok</cp:lastModifiedBy>
  <cp:lastPrinted>2021-03-16T06:57:00Z</cp:lastPrinted>
  <dcterms:modified xsi:type="dcterms:W3CDTF">2023-09-26T02:17:52Z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5CA5DE79ED1A46A6B5B4776F5CB596CD</vt:lpwstr>
  </property>
</Properties>
</file>