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49C" w:rsidRDefault="0049349C">
      <w:pPr>
        <w:pStyle w:val="Default"/>
        <w:jc w:val="center"/>
        <w:rPr>
          <w:sz w:val="56"/>
          <w:szCs w:val="56"/>
        </w:rPr>
      </w:pPr>
    </w:p>
    <w:p w:rsidR="0049349C" w:rsidRDefault="0049349C">
      <w:pPr>
        <w:pStyle w:val="Default"/>
        <w:jc w:val="center"/>
        <w:rPr>
          <w:sz w:val="56"/>
          <w:szCs w:val="56"/>
        </w:rPr>
      </w:pPr>
    </w:p>
    <w:p w:rsidR="0049349C" w:rsidRDefault="0049349C">
      <w:pPr>
        <w:pStyle w:val="Default"/>
        <w:jc w:val="center"/>
        <w:rPr>
          <w:sz w:val="84"/>
          <w:szCs w:val="84"/>
        </w:rPr>
      </w:pPr>
    </w:p>
    <w:p w:rsidR="0049349C" w:rsidRDefault="0049349C">
      <w:pPr>
        <w:pStyle w:val="Default"/>
        <w:jc w:val="center"/>
        <w:rPr>
          <w:sz w:val="84"/>
          <w:szCs w:val="84"/>
        </w:rPr>
      </w:pPr>
    </w:p>
    <w:p w:rsidR="0049349C" w:rsidRDefault="00D57BB8">
      <w:pPr>
        <w:pStyle w:val="Default"/>
        <w:jc w:val="center"/>
        <w:rPr>
          <w:sz w:val="84"/>
          <w:szCs w:val="84"/>
        </w:rPr>
      </w:pPr>
      <w:r>
        <w:rPr>
          <w:rFonts w:hint="eastAsia"/>
          <w:sz w:val="84"/>
          <w:szCs w:val="84"/>
        </w:rPr>
        <w:t>2022年度</w:t>
      </w:r>
    </w:p>
    <w:p w:rsidR="0049349C" w:rsidRDefault="00D57BB8">
      <w:pPr>
        <w:pStyle w:val="Default"/>
        <w:jc w:val="center"/>
        <w:rPr>
          <w:sz w:val="84"/>
          <w:szCs w:val="84"/>
        </w:rPr>
      </w:pPr>
      <w:r>
        <w:rPr>
          <w:rFonts w:hint="eastAsia"/>
          <w:sz w:val="80"/>
          <w:szCs w:val="84"/>
        </w:rPr>
        <w:t>湖南省经济贸易高级技工学校</w:t>
      </w:r>
      <w:r>
        <w:rPr>
          <w:rFonts w:hint="eastAsia"/>
          <w:sz w:val="84"/>
          <w:szCs w:val="84"/>
        </w:rPr>
        <w:t>部门决算</w:t>
      </w:r>
    </w:p>
    <w:p w:rsidR="0049349C" w:rsidRDefault="0049349C">
      <w:pPr>
        <w:pStyle w:val="Default"/>
        <w:jc w:val="center"/>
        <w:rPr>
          <w:sz w:val="56"/>
          <w:szCs w:val="56"/>
        </w:rPr>
      </w:pPr>
    </w:p>
    <w:p w:rsidR="0049349C" w:rsidRDefault="0049349C">
      <w:pPr>
        <w:pStyle w:val="Default"/>
        <w:jc w:val="center"/>
        <w:rPr>
          <w:sz w:val="56"/>
          <w:szCs w:val="56"/>
        </w:rPr>
      </w:pPr>
    </w:p>
    <w:p w:rsidR="0049349C" w:rsidRDefault="0049349C">
      <w:pPr>
        <w:pStyle w:val="Default"/>
        <w:jc w:val="center"/>
        <w:rPr>
          <w:sz w:val="56"/>
          <w:szCs w:val="56"/>
        </w:rPr>
      </w:pPr>
    </w:p>
    <w:p w:rsidR="0049349C" w:rsidRDefault="0049349C">
      <w:pPr>
        <w:pStyle w:val="Default"/>
        <w:jc w:val="center"/>
        <w:rPr>
          <w:sz w:val="56"/>
          <w:szCs w:val="56"/>
        </w:rPr>
      </w:pPr>
    </w:p>
    <w:p w:rsidR="0049349C" w:rsidRDefault="0049349C">
      <w:pPr>
        <w:pStyle w:val="Default"/>
        <w:jc w:val="center"/>
        <w:rPr>
          <w:sz w:val="32"/>
          <w:szCs w:val="32"/>
        </w:rPr>
      </w:pPr>
    </w:p>
    <w:p w:rsidR="0049349C" w:rsidRDefault="0049349C">
      <w:pPr>
        <w:pStyle w:val="Default"/>
        <w:jc w:val="center"/>
        <w:rPr>
          <w:sz w:val="32"/>
          <w:szCs w:val="32"/>
        </w:rPr>
      </w:pPr>
    </w:p>
    <w:p w:rsidR="0049349C" w:rsidRDefault="0049349C">
      <w:pPr>
        <w:pStyle w:val="Default"/>
        <w:jc w:val="center"/>
        <w:rPr>
          <w:sz w:val="32"/>
          <w:szCs w:val="32"/>
        </w:rPr>
      </w:pPr>
    </w:p>
    <w:p w:rsidR="0049349C" w:rsidRDefault="0049349C">
      <w:pPr>
        <w:pStyle w:val="Default"/>
        <w:jc w:val="center"/>
        <w:rPr>
          <w:sz w:val="32"/>
          <w:szCs w:val="32"/>
        </w:rPr>
      </w:pPr>
    </w:p>
    <w:p w:rsidR="0049349C" w:rsidRDefault="0049349C">
      <w:pPr>
        <w:pStyle w:val="Default"/>
        <w:jc w:val="center"/>
        <w:rPr>
          <w:sz w:val="32"/>
          <w:szCs w:val="32"/>
        </w:rPr>
      </w:pPr>
    </w:p>
    <w:p w:rsidR="0049349C" w:rsidRDefault="00D57BB8">
      <w:pPr>
        <w:pStyle w:val="Default"/>
        <w:spacing w:line="500" w:lineRule="exact"/>
        <w:jc w:val="center"/>
        <w:rPr>
          <w:b/>
          <w:sz w:val="36"/>
          <w:szCs w:val="28"/>
        </w:rPr>
      </w:pPr>
      <w:r>
        <w:rPr>
          <w:rFonts w:hint="eastAsia"/>
          <w:b/>
          <w:sz w:val="36"/>
          <w:szCs w:val="28"/>
        </w:rPr>
        <w:lastRenderedPageBreak/>
        <w:t>目录</w:t>
      </w:r>
    </w:p>
    <w:p w:rsidR="0049349C" w:rsidRDefault="00D57BB8">
      <w:pPr>
        <w:pStyle w:val="Default"/>
        <w:spacing w:line="500" w:lineRule="exact"/>
        <w:rPr>
          <w:rFonts w:ascii="仿宋_GB2312" w:hAnsi="仿宋_GB2312" w:cs="仿宋_GB2312"/>
          <w:b/>
          <w:sz w:val="28"/>
          <w:szCs w:val="28"/>
        </w:rPr>
      </w:pPr>
      <w:r>
        <w:rPr>
          <w:rFonts w:hint="eastAsia"/>
          <w:b/>
          <w:sz w:val="28"/>
          <w:szCs w:val="28"/>
        </w:rPr>
        <w:t>第一部分 湖南省经济贸易高级技工学校单位概况</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49349C" w:rsidRDefault="00D57BB8">
      <w:pPr>
        <w:pStyle w:val="Default"/>
        <w:spacing w:line="500" w:lineRule="exact"/>
        <w:rPr>
          <w:rFonts w:ascii="仿宋_GB2312" w:hAnsi="仿宋_GB2312" w:cs="仿宋_GB2312"/>
          <w:b/>
          <w:sz w:val="28"/>
          <w:szCs w:val="28"/>
        </w:rPr>
      </w:pPr>
      <w:r>
        <w:rPr>
          <w:rFonts w:hAnsi="仿宋_GB2312" w:hint="eastAsia"/>
          <w:b/>
          <w:sz w:val="28"/>
          <w:szCs w:val="28"/>
        </w:rPr>
        <w:t>第二部分 部门决算表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七、政府性基金预算财政拨款收入支出决算表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w:t>
      </w:r>
      <w:r>
        <w:rPr>
          <w:rFonts w:asciiTheme="minorEastAsia" w:eastAsiaTheme="minorEastAsia" w:hAnsiTheme="minorEastAsia" w:cs="仿宋_GB2312" w:hint="eastAsia"/>
          <w:sz w:val="28"/>
          <w:szCs w:val="28"/>
        </w:rPr>
        <w:t>国有资本经营预算财政拨款支出决算表</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w:t>
      </w:r>
      <w:r>
        <w:rPr>
          <w:rFonts w:asciiTheme="minorEastAsia" w:eastAsiaTheme="minorEastAsia" w:hAnsiTheme="minorEastAsia" w:cs="仿宋_GB2312"/>
          <w:sz w:val="28"/>
          <w:szCs w:val="28"/>
        </w:rPr>
        <w:t>财政拨款“三公”经费支出决算表</w:t>
      </w:r>
    </w:p>
    <w:p w:rsidR="0049349C" w:rsidRDefault="00D57BB8">
      <w:pPr>
        <w:pStyle w:val="Default"/>
        <w:spacing w:line="500" w:lineRule="exact"/>
        <w:rPr>
          <w:rFonts w:ascii="仿宋_GB2312" w:hAnsi="仿宋_GB2312" w:cs="仿宋_GB2312"/>
          <w:b/>
          <w:sz w:val="28"/>
          <w:szCs w:val="28"/>
        </w:rPr>
      </w:pPr>
      <w:r>
        <w:rPr>
          <w:rFonts w:hAnsi="仿宋_GB2312" w:hint="eastAsia"/>
          <w:b/>
          <w:sz w:val="28"/>
          <w:szCs w:val="28"/>
        </w:rPr>
        <w:t>第三部分 部门决算情况说明</w:t>
      </w:r>
    </w:p>
    <w:p w:rsidR="0049349C" w:rsidRDefault="00D57BB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49349C" w:rsidRDefault="00D57BB8">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w:t>
      </w:r>
      <w:proofErr w:type="gramStart"/>
      <w:r>
        <w:rPr>
          <w:rFonts w:ascii="仿宋_GB2312" w:hAnsi="仿宋_GB2312" w:cs="仿宋_GB2312"/>
          <w:color w:val="000000"/>
          <w:kern w:val="0"/>
          <w:sz w:val="28"/>
          <w:szCs w:val="28"/>
        </w:rPr>
        <w:t>公经费</w:t>
      </w:r>
      <w:proofErr w:type="gramEnd"/>
      <w:r>
        <w:rPr>
          <w:rFonts w:ascii="仿宋_GB2312" w:hAnsi="仿宋_GB2312" w:cs="仿宋_GB2312"/>
          <w:color w:val="000000"/>
          <w:kern w:val="0"/>
          <w:sz w:val="28"/>
          <w:szCs w:val="28"/>
        </w:rPr>
        <w:t>支出决算情况说明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49349C" w:rsidRDefault="00D57BB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49349C" w:rsidRDefault="00D57BB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49349C" w:rsidRDefault="00D57BB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十三、关于预算绩效情况的说明</w:t>
      </w:r>
    </w:p>
    <w:p w:rsidR="0049349C" w:rsidRDefault="00D57BB8">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w:t>
      </w:r>
      <w:r>
        <w:rPr>
          <w:rFonts w:ascii="黑体" w:eastAsia="黑体" w:hAnsi="黑体" w:cs="黑体" w:hint="eastAsia"/>
          <w:b/>
          <w:color w:val="000000"/>
          <w:kern w:val="0"/>
          <w:sz w:val="28"/>
          <w:szCs w:val="28"/>
        </w:rPr>
        <w:t xml:space="preserve"> </w:t>
      </w:r>
      <w:r>
        <w:rPr>
          <w:rFonts w:ascii="黑体" w:eastAsia="黑体" w:hAnsi="黑体" w:cs="黑体"/>
          <w:b/>
          <w:color w:val="000000"/>
          <w:kern w:val="0"/>
          <w:sz w:val="28"/>
          <w:szCs w:val="28"/>
        </w:rPr>
        <w:t>名词解释</w:t>
      </w: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rPr>
          <w:sz w:val="72"/>
          <w:szCs w:val="72"/>
        </w:rPr>
      </w:pPr>
    </w:p>
    <w:p w:rsidR="0049349C" w:rsidRDefault="00D57BB8">
      <w:pPr>
        <w:pStyle w:val="Default"/>
        <w:jc w:val="center"/>
        <w:rPr>
          <w:sz w:val="84"/>
          <w:szCs w:val="84"/>
        </w:rPr>
      </w:pPr>
      <w:r>
        <w:rPr>
          <w:rFonts w:hint="eastAsia"/>
          <w:sz w:val="84"/>
          <w:szCs w:val="84"/>
        </w:rPr>
        <w:t>第一部分</w:t>
      </w:r>
      <w:r>
        <w:rPr>
          <w:sz w:val="84"/>
          <w:szCs w:val="84"/>
        </w:rPr>
        <w:t xml:space="preserve"> </w:t>
      </w:r>
    </w:p>
    <w:p w:rsidR="0049349C" w:rsidRDefault="0049349C">
      <w:pPr>
        <w:pStyle w:val="Default"/>
        <w:jc w:val="center"/>
        <w:rPr>
          <w:sz w:val="84"/>
          <w:szCs w:val="84"/>
        </w:rPr>
      </w:pPr>
    </w:p>
    <w:p w:rsidR="0049349C" w:rsidRDefault="00D57BB8">
      <w:pPr>
        <w:pStyle w:val="Default"/>
        <w:jc w:val="center"/>
        <w:rPr>
          <w:sz w:val="80"/>
          <w:szCs w:val="84"/>
        </w:rPr>
      </w:pPr>
      <w:r>
        <w:rPr>
          <w:rFonts w:hint="eastAsia"/>
          <w:sz w:val="80"/>
          <w:szCs w:val="84"/>
        </w:rPr>
        <w:t>湖南省经济贸易高级技工学校</w:t>
      </w:r>
    </w:p>
    <w:p w:rsidR="0049349C" w:rsidRDefault="00D57BB8">
      <w:pPr>
        <w:pStyle w:val="Default"/>
        <w:jc w:val="center"/>
        <w:rPr>
          <w:sz w:val="84"/>
          <w:szCs w:val="84"/>
        </w:rPr>
      </w:pPr>
      <w:r>
        <w:rPr>
          <w:rFonts w:hint="eastAsia"/>
          <w:sz w:val="84"/>
          <w:szCs w:val="84"/>
        </w:rPr>
        <w:t>概况</w:t>
      </w: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pStyle w:val="ab"/>
        <w:ind w:left="720" w:firstLineChars="0" w:firstLine="0"/>
        <w:jc w:val="left"/>
        <w:rPr>
          <w:rFonts w:ascii="黑体" w:eastAsia="黑体" w:hAnsi="黑体"/>
          <w:sz w:val="32"/>
          <w:szCs w:val="32"/>
        </w:rPr>
      </w:pPr>
    </w:p>
    <w:p w:rsidR="0049349C" w:rsidRDefault="00D57BB8">
      <w:pPr>
        <w:pStyle w:val="ab"/>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49349C" w:rsidRDefault="00D57BB8">
      <w:pPr>
        <w:ind w:firstLineChars="250" w:firstLine="800"/>
        <w:jc w:val="left"/>
        <w:rPr>
          <w:rFonts w:asciiTheme="minorEastAsia" w:hAnsiTheme="minorEastAsia"/>
          <w:bCs/>
          <w:kern w:val="0"/>
          <w:sz w:val="32"/>
          <w:szCs w:val="32"/>
        </w:rPr>
      </w:pPr>
      <w:r>
        <w:rPr>
          <w:rFonts w:asciiTheme="minorEastAsia" w:hAnsiTheme="minorEastAsia" w:hint="eastAsia"/>
          <w:bCs/>
          <w:kern w:val="0"/>
          <w:sz w:val="32"/>
          <w:szCs w:val="32"/>
        </w:rPr>
        <w:t>我单位是湖南省粮食和物资储备局主管的二级预算单位。主要职责：</w:t>
      </w:r>
    </w:p>
    <w:p w:rsidR="0049349C" w:rsidRDefault="00D57BB8">
      <w:pPr>
        <w:ind w:firstLineChars="250" w:firstLine="800"/>
        <w:jc w:val="left"/>
        <w:rPr>
          <w:rFonts w:asciiTheme="minorEastAsia" w:hAnsiTheme="minorEastAsia"/>
          <w:bCs/>
          <w:kern w:val="0"/>
          <w:sz w:val="32"/>
          <w:szCs w:val="32"/>
        </w:rPr>
      </w:pPr>
      <w:r>
        <w:rPr>
          <w:rFonts w:asciiTheme="minorEastAsia" w:hAnsiTheme="minorEastAsia" w:hint="eastAsia"/>
          <w:bCs/>
          <w:kern w:val="0"/>
          <w:sz w:val="32"/>
          <w:szCs w:val="32"/>
        </w:rPr>
        <w:t>1.全面贯彻执行党的路线、方针、政策、依法行政、按教育法律法规办事。</w:t>
      </w:r>
    </w:p>
    <w:p w:rsidR="0049349C" w:rsidRDefault="00D57BB8">
      <w:pPr>
        <w:ind w:firstLineChars="250" w:firstLine="800"/>
        <w:jc w:val="left"/>
        <w:rPr>
          <w:rFonts w:asciiTheme="minorEastAsia" w:hAnsiTheme="minorEastAsia"/>
          <w:bCs/>
          <w:kern w:val="0"/>
          <w:sz w:val="32"/>
          <w:szCs w:val="32"/>
        </w:rPr>
      </w:pPr>
      <w:r>
        <w:rPr>
          <w:rFonts w:asciiTheme="minorEastAsia" w:hAnsiTheme="minorEastAsia" w:hint="eastAsia"/>
          <w:bCs/>
          <w:kern w:val="0"/>
          <w:sz w:val="32"/>
          <w:szCs w:val="32"/>
        </w:rPr>
        <w:t>2.是培养高技能型人才的国办全日制学校，是国家级重点学校，国家高技能人才培养基地。</w:t>
      </w:r>
    </w:p>
    <w:p w:rsidR="0049349C" w:rsidRDefault="00D57BB8">
      <w:pPr>
        <w:ind w:firstLineChars="250" w:firstLine="800"/>
        <w:jc w:val="left"/>
        <w:rPr>
          <w:rFonts w:asciiTheme="minorEastAsia" w:hAnsiTheme="minorEastAsia"/>
          <w:bCs/>
          <w:kern w:val="0"/>
          <w:sz w:val="32"/>
          <w:szCs w:val="32"/>
        </w:rPr>
      </w:pPr>
      <w:r>
        <w:rPr>
          <w:rFonts w:asciiTheme="minorEastAsia" w:hAnsiTheme="minorEastAsia" w:hint="eastAsia"/>
          <w:bCs/>
          <w:kern w:val="0"/>
          <w:sz w:val="32"/>
          <w:szCs w:val="32"/>
        </w:rPr>
        <w:t>3.负责粮食行业人才培养、培训和技能鉴定。</w:t>
      </w:r>
    </w:p>
    <w:p w:rsidR="0049349C" w:rsidRDefault="00D57BB8">
      <w:pPr>
        <w:ind w:firstLineChars="250" w:firstLine="800"/>
        <w:jc w:val="left"/>
        <w:rPr>
          <w:rFonts w:asciiTheme="minorEastAsia" w:hAnsiTheme="minorEastAsia"/>
          <w:bCs/>
          <w:kern w:val="0"/>
          <w:sz w:val="32"/>
          <w:szCs w:val="32"/>
        </w:rPr>
      </w:pPr>
      <w:r>
        <w:rPr>
          <w:rFonts w:asciiTheme="minorEastAsia" w:hAnsiTheme="minorEastAsia" w:hint="eastAsia"/>
          <w:bCs/>
          <w:kern w:val="0"/>
          <w:sz w:val="32"/>
          <w:szCs w:val="32"/>
        </w:rPr>
        <w:t>4.全面贯彻执行党的路线、方针、政策、依法行政、按教育法律法规办事。</w:t>
      </w:r>
    </w:p>
    <w:p w:rsidR="0049349C" w:rsidRDefault="00D57BB8">
      <w:pPr>
        <w:ind w:firstLineChars="250" w:firstLine="800"/>
        <w:jc w:val="left"/>
        <w:rPr>
          <w:rFonts w:asciiTheme="minorEastAsia" w:hAnsiTheme="minorEastAsia"/>
          <w:sz w:val="32"/>
          <w:szCs w:val="32"/>
        </w:rPr>
      </w:pPr>
      <w:r>
        <w:rPr>
          <w:rFonts w:asciiTheme="minorEastAsia" w:hAnsiTheme="minorEastAsia" w:hint="eastAsia"/>
          <w:bCs/>
          <w:kern w:val="0"/>
          <w:sz w:val="32"/>
          <w:szCs w:val="32"/>
        </w:rPr>
        <w:t>5.完成省局交办的其他任务。</w:t>
      </w:r>
    </w:p>
    <w:p w:rsidR="0049349C" w:rsidRDefault="00D57BB8">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49349C" w:rsidRDefault="00D57BB8">
      <w:pPr>
        <w:widowControl/>
        <w:spacing w:line="600" w:lineRule="exact"/>
        <w:ind w:firstLineChars="150" w:firstLine="480"/>
        <w:rPr>
          <w:rFonts w:asciiTheme="minorEastAsia" w:hAnsiTheme="minorEastAsia"/>
          <w:bCs/>
          <w:kern w:val="0"/>
          <w:sz w:val="32"/>
          <w:szCs w:val="32"/>
        </w:rPr>
      </w:pPr>
      <w:r>
        <w:rPr>
          <w:rFonts w:asciiTheme="minorEastAsia" w:hAnsiTheme="minorEastAsia" w:hint="eastAsia"/>
          <w:bCs/>
          <w:kern w:val="0"/>
          <w:sz w:val="32"/>
          <w:szCs w:val="32"/>
        </w:rPr>
        <w:t xml:space="preserve">（一）内设机构设置。我单位内设6个科室：党政办公室、教务科、学生科、招生就业办、行财科、培训部。校办企业1 </w:t>
      </w:r>
      <w:proofErr w:type="gramStart"/>
      <w:r>
        <w:rPr>
          <w:rFonts w:asciiTheme="minorEastAsia" w:hAnsiTheme="minorEastAsia" w:hint="eastAsia"/>
          <w:bCs/>
          <w:kern w:val="0"/>
          <w:sz w:val="32"/>
          <w:szCs w:val="32"/>
        </w:rPr>
        <w:t>个</w:t>
      </w:r>
      <w:proofErr w:type="gramEnd"/>
      <w:r>
        <w:rPr>
          <w:rFonts w:asciiTheme="minorEastAsia" w:hAnsiTheme="minorEastAsia" w:hint="eastAsia"/>
          <w:bCs/>
          <w:kern w:val="0"/>
          <w:sz w:val="32"/>
          <w:szCs w:val="32"/>
        </w:rPr>
        <w:t>，为湘潭方圆机动车驾校培训学校有限公司。</w:t>
      </w:r>
    </w:p>
    <w:p w:rsidR="0049349C" w:rsidRDefault="00D57BB8">
      <w:pPr>
        <w:widowControl/>
        <w:spacing w:line="600" w:lineRule="exact"/>
        <w:ind w:firstLineChars="150" w:firstLine="480"/>
        <w:rPr>
          <w:rFonts w:ascii="仿宋_GB2312" w:eastAsia="仿宋_GB2312" w:hAnsiTheme="minorEastAsia"/>
          <w:sz w:val="28"/>
          <w:szCs w:val="32"/>
        </w:rPr>
      </w:pPr>
      <w:r>
        <w:rPr>
          <w:rFonts w:asciiTheme="minorEastAsia" w:hAnsiTheme="minorEastAsia" w:hint="eastAsia"/>
          <w:bCs/>
          <w:kern w:val="0"/>
          <w:sz w:val="32"/>
          <w:szCs w:val="32"/>
        </w:rPr>
        <w:t>（二）决算单位构成。我单位2022年部门决算汇总公开单位构成包括：湖南省经济贸易高级技工学校本级以及湘潭方圆机动车驾校培训学校有限公司。</w:t>
      </w: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rFonts w:ascii="黑体" w:eastAsia="黑体" w:hAnsi="黑体"/>
          <w:sz w:val="28"/>
          <w:szCs w:val="28"/>
        </w:rPr>
      </w:pP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D57BB8">
      <w:pPr>
        <w:pStyle w:val="Default"/>
        <w:jc w:val="center"/>
        <w:rPr>
          <w:sz w:val="72"/>
          <w:szCs w:val="72"/>
        </w:rPr>
      </w:pPr>
      <w:r>
        <w:rPr>
          <w:rFonts w:hint="eastAsia"/>
          <w:sz w:val="72"/>
          <w:szCs w:val="72"/>
        </w:rPr>
        <w:t>第二部分</w:t>
      </w:r>
    </w:p>
    <w:p w:rsidR="0049349C" w:rsidRDefault="0049349C">
      <w:pPr>
        <w:pStyle w:val="Default"/>
        <w:jc w:val="center"/>
        <w:rPr>
          <w:sz w:val="72"/>
          <w:szCs w:val="72"/>
        </w:rPr>
      </w:pPr>
    </w:p>
    <w:p w:rsidR="0049349C" w:rsidRDefault="00D57BB8">
      <w:pPr>
        <w:pStyle w:val="Default"/>
        <w:jc w:val="center"/>
        <w:rPr>
          <w:sz w:val="72"/>
          <w:szCs w:val="72"/>
        </w:rPr>
      </w:pPr>
      <w:r>
        <w:rPr>
          <w:rFonts w:hint="eastAsia"/>
          <w:sz w:val="72"/>
          <w:szCs w:val="72"/>
        </w:rPr>
        <w:t>部门决算表</w:t>
      </w:r>
    </w:p>
    <w:p w:rsidR="0049349C" w:rsidRDefault="0049349C">
      <w:pPr>
        <w:jc w:val="center"/>
        <w:rPr>
          <w:sz w:val="72"/>
          <w:szCs w:val="72"/>
        </w:rPr>
      </w:pPr>
    </w:p>
    <w:p w:rsidR="0049349C" w:rsidRDefault="0049349C">
      <w:pPr>
        <w:jc w:val="center"/>
        <w:rPr>
          <w:sz w:val="72"/>
          <w:szCs w:val="72"/>
        </w:rPr>
      </w:pPr>
    </w:p>
    <w:p w:rsidR="0049349C" w:rsidRDefault="0049349C">
      <w:pPr>
        <w:jc w:val="center"/>
        <w:rPr>
          <w:sz w:val="72"/>
          <w:szCs w:val="72"/>
        </w:rPr>
      </w:pPr>
    </w:p>
    <w:p w:rsidR="0049349C" w:rsidRDefault="0049349C">
      <w:pPr>
        <w:jc w:val="left"/>
        <w:rPr>
          <w:sz w:val="32"/>
          <w:szCs w:val="32"/>
        </w:rPr>
      </w:pPr>
    </w:p>
    <w:p w:rsidR="0049349C" w:rsidRDefault="0049349C">
      <w:pPr>
        <w:jc w:val="left"/>
        <w:rPr>
          <w:rFonts w:asciiTheme="minorEastAsia" w:hAnsiTheme="minorEastAsia"/>
          <w:sz w:val="32"/>
          <w:szCs w:val="32"/>
        </w:rPr>
        <w:sectPr w:rsidR="0049349C">
          <w:pgSz w:w="11906" w:h="16838"/>
          <w:pgMar w:top="720" w:right="720" w:bottom="720" w:left="720" w:header="851" w:footer="992" w:gutter="0"/>
          <w:cols w:space="425"/>
          <w:docGrid w:type="lines" w:linePitch="312"/>
        </w:sectPr>
      </w:pPr>
    </w:p>
    <w:tbl>
      <w:tblPr>
        <w:tblW w:w="14080" w:type="dxa"/>
        <w:jc w:val="center"/>
        <w:tblLook w:val="04A0" w:firstRow="1" w:lastRow="0" w:firstColumn="1" w:lastColumn="0" w:noHBand="0" w:noVBand="1"/>
      </w:tblPr>
      <w:tblGrid>
        <w:gridCol w:w="4200"/>
        <w:gridCol w:w="580"/>
        <w:gridCol w:w="1549"/>
        <w:gridCol w:w="4911"/>
        <w:gridCol w:w="580"/>
        <w:gridCol w:w="2260"/>
      </w:tblGrid>
      <w:tr w:rsidR="0049349C">
        <w:trPr>
          <w:trHeight w:val="375"/>
          <w:jc w:val="center"/>
        </w:trPr>
        <w:tc>
          <w:tcPr>
            <w:tcW w:w="420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22"/>
              </w:rPr>
            </w:pPr>
            <w:r>
              <w:rPr>
                <w:rFonts w:ascii="宋体" w:eastAsia="宋体" w:hAnsi="宋体" w:cs="Arial" w:hint="eastAsia"/>
                <w:kern w:val="0"/>
                <w:sz w:val="22"/>
              </w:rPr>
              <w:lastRenderedPageBreak/>
              <w:t xml:space="preserve">　</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6460" w:type="dxa"/>
            <w:gridSpan w:val="2"/>
            <w:tcBorders>
              <w:top w:val="nil"/>
              <w:left w:val="nil"/>
              <w:bottom w:val="nil"/>
              <w:right w:val="nil"/>
            </w:tcBorders>
            <w:shd w:val="clear" w:color="000000" w:fill="FFFFFF"/>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收入支出决算总表</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49349C">
        <w:trPr>
          <w:trHeight w:val="300"/>
          <w:jc w:val="center"/>
        </w:trPr>
        <w:tc>
          <w:tcPr>
            <w:tcW w:w="420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9"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4911"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公开01表</w:t>
            </w:r>
          </w:p>
        </w:tc>
      </w:tr>
      <w:tr w:rsidR="0049349C">
        <w:trPr>
          <w:trHeight w:val="300"/>
          <w:jc w:val="center"/>
        </w:trPr>
        <w:tc>
          <w:tcPr>
            <w:tcW w:w="420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部门：湖南省经济贸易高级技工学校</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9" w:type="dxa"/>
            <w:tcBorders>
              <w:top w:val="nil"/>
              <w:left w:val="nil"/>
              <w:bottom w:val="nil"/>
              <w:right w:val="nil"/>
            </w:tcBorders>
            <w:shd w:val="clear" w:color="000000" w:fill="FFFFFF"/>
            <w:noWrap/>
            <w:vAlign w:val="center"/>
          </w:tcPr>
          <w:p w:rsidR="0049349C" w:rsidRDefault="00D57BB8">
            <w:pPr>
              <w:widowControl/>
              <w:jc w:val="center"/>
              <w:rPr>
                <w:rFonts w:ascii="宋体" w:eastAsia="宋体" w:hAnsi="宋体" w:cs="Arial"/>
                <w:color w:val="000000"/>
                <w:kern w:val="0"/>
                <w:sz w:val="24"/>
                <w:szCs w:val="24"/>
              </w:rPr>
            </w:pPr>
            <w:r>
              <w:rPr>
                <w:rFonts w:ascii="宋体" w:eastAsia="宋体" w:hAnsi="宋体" w:cs="Arial" w:hint="eastAsia"/>
                <w:color w:val="000000"/>
                <w:kern w:val="0"/>
                <w:sz w:val="24"/>
                <w:szCs w:val="24"/>
              </w:rPr>
              <w:t>2022年度</w:t>
            </w:r>
          </w:p>
        </w:tc>
        <w:tc>
          <w:tcPr>
            <w:tcW w:w="4911"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60"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单位：万元</w:t>
            </w:r>
          </w:p>
        </w:tc>
      </w:tr>
      <w:tr w:rsidR="0049349C">
        <w:trPr>
          <w:trHeight w:val="300"/>
          <w:jc w:val="center"/>
        </w:trPr>
        <w:tc>
          <w:tcPr>
            <w:tcW w:w="63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收入</w:t>
            </w:r>
          </w:p>
        </w:tc>
        <w:tc>
          <w:tcPr>
            <w:tcW w:w="7751" w:type="dxa"/>
            <w:gridSpan w:val="3"/>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支出</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行次</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金额</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行次</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金额</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栏次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栏次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一、一般公共预算财政拨款收入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4,186.65</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一、一般公共服务支出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32</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二、政府性基金预算财政拨款收入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二、外交支出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33</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三、国有资本经营预算财政拨款收入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三、国防支出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34</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四、上级补助收入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四、公共安全支出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35</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五、事业收入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163.19</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五、教育支出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36</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3,731.34</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六、经营收入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165.86</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六、科学技术支出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37</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七、附属单位上缴收入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7</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七、文化旅游体育与传媒支出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38</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八、其他收入</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8</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436.60</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八、社会保障和就业支出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39</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208.74</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9</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九、卫生健康支出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40</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10</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十、节能环保支出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41</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11</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十一、城乡社区支出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42</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12</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十二、农林水支出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43</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13</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十三、交通运输支出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44</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14</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十四、资源勘探工业信息等支出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45</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15</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十五、商业服务业等支出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46</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16</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十六、金融支出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47</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17</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十七、援助其他地区支出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48</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18</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十八、自然资源海洋气象等支出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49</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19</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十九、住房保障支出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50</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二十、粮油物资储备支出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51</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477.91</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21</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二十一、国有资本经营预算支出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52</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22</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二十二、灾害防治及应急管理支出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53</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23</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二十三、其他支出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54</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rsidTr="004C114E">
        <w:trPr>
          <w:trHeight w:val="300"/>
          <w:jc w:val="center"/>
        </w:trPr>
        <w:tc>
          <w:tcPr>
            <w:tcW w:w="420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0"/>
                <w:szCs w:val="20"/>
              </w:rPr>
            </w:pPr>
            <w:r>
              <w:rPr>
                <w:rFonts w:ascii="宋体" w:eastAsia="宋体" w:hAnsi="宋体" w:cs="Arial" w:hint="eastAsia"/>
                <w:b/>
                <w:bCs/>
                <w:color w:val="000000"/>
                <w:kern w:val="0"/>
                <w:sz w:val="20"/>
                <w:szCs w:val="20"/>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24</w:t>
            </w:r>
          </w:p>
        </w:tc>
        <w:tc>
          <w:tcPr>
            <w:tcW w:w="154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0"/>
                <w:szCs w:val="20"/>
              </w:rPr>
            </w:pPr>
            <w:r>
              <w:rPr>
                <w:rFonts w:ascii="宋体" w:eastAsia="宋体" w:hAnsi="宋体" w:cs="Arial" w:hint="eastAsia"/>
                <w:color w:val="000000"/>
                <w:kern w:val="0"/>
                <w:sz w:val="20"/>
                <w:szCs w:val="20"/>
              </w:rPr>
              <w:t xml:space="preserve">　</w:t>
            </w:r>
          </w:p>
        </w:tc>
        <w:tc>
          <w:tcPr>
            <w:tcW w:w="491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二十四、债务还本支出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55</w:t>
            </w:r>
          </w:p>
        </w:tc>
        <w:tc>
          <w:tcPr>
            <w:tcW w:w="22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rsidTr="004C114E">
        <w:trPr>
          <w:trHeight w:val="300"/>
          <w:jc w:val="center"/>
        </w:trPr>
        <w:tc>
          <w:tcPr>
            <w:tcW w:w="4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0"/>
                <w:szCs w:val="20"/>
              </w:rPr>
            </w:pPr>
            <w:r>
              <w:rPr>
                <w:rFonts w:ascii="宋体" w:eastAsia="宋体" w:hAnsi="宋体" w:cs="Arial" w:hint="eastAsia"/>
                <w:color w:val="000000"/>
                <w:kern w:val="0"/>
                <w:sz w:val="20"/>
                <w:szCs w:val="20"/>
              </w:rPr>
              <w:lastRenderedPageBreak/>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25</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0"/>
                <w:szCs w:val="20"/>
              </w:rPr>
            </w:pPr>
            <w:r>
              <w:rPr>
                <w:rFonts w:ascii="宋体" w:eastAsia="宋体" w:hAnsi="宋体" w:cs="Arial" w:hint="eastAsia"/>
                <w:color w:val="000000"/>
                <w:kern w:val="0"/>
                <w:sz w:val="20"/>
                <w:szCs w:val="20"/>
              </w:rPr>
              <w:t xml:space="preserve">　</w:t>
            </w:r>
          </w:p>
        </w:tc>
        <w:tc>
          <w:tcPr>
            <w:tcW w:w="4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二十五、债务付息支出</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56</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rsidTr="004C114E">
        <w:trPr>
          <w:trHeight w:val="300"/>
          <w:jc w:val="center"/>
        </w:trPr>
        <w:tc>
          <w:tcPr>
            <w:tcW w:w="4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0"/>
                <w:szCs w:val="20"/>
              </w:rPr>
            </w:pPr>
            <w:r>
              <w:rPr>
                <w:rFonts w:ascii="宋体" w:eastAsia="宋体" w:hAnsi="宋体" w:cs="Arial" w:hint="eastAsia"/>
                <w:color w:val="000000"/>
                <w:kern w:val="0"/>
                <w:sz w:val="20"/>
                <w:szCs w:val="20"/>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0"/>
                <w:szCs w:val="20"/>
              </w:rPr>
            </w:pPr>
            <w:r>
              <w:rPr>
                <w:rFonts w:ascii="宋体" w:eastAsia="宋体" w:hAnsi="宋体" w:cs="Arial" w:hint="eastAsia"/>
                <w:color w:val="000000"/>
                <w:kern w:val="0"/>
                <w:sz w:val="20"/>
                <w:szCs w:val="20"/>
              </w:rPr>
              <w:t>26</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0"/>
                <w:szCs w:val="20"/>
              </w:rPr>
            </w:pPr>
            <w:r>
              <w:rPr>
                <w:rFonts w:ascii="宋体" w:eastAsia="宋体" w:hAnsi="宋体" w:cs="Arial" w:hint="eastAsia"/>
                <w:color w:val="000000"/>
                <w:kern w:val="0"/>
                <w:sz w:val="20"/>
                <w:szCs w:val="20"/>
              </w:rPr>
              <w:t xml:space="preserve">　</w:t>
            </w:r>
          </w:p>
        </w:tc>
        <w:tc>
          <w:tcPr>
            <w:tcW w:w="4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二十六、抗</w:t>
            </w:r>
            <w:proofErr w:type="gramStart"/>
            <w:r>
              <w:rPr>
                <w:rFonts w:ascii="宋体" w:eastAsia="宋体" w:hAnsi="宋体" w:cs="Arial" w:hint="eastAsia"/>
                <w:color w:val="000000"/>
                <w:kern w:val="0"/>
                <w:sz w:val="22"/>
              </w:rPr>
              <w:t>疫</w:t>
            </w:r>
            <w:proofErr w:type="gramEnd"/>
            <w:r>
              <w:rPr>
                <w:rFonts w:ascii="宋体" w:eastAsia="宋体" w:hAnsi="宋体" w:cs="Arial" w:hint="eastAsia"/>
                <w:color w:val="000000"/>
                <w:kern w:val="0"/>
                <w:sz w:val="22"/>
              </w:rPr>
              <w:t>特别国债安排的支出</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57</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rsidTr="004C114E">
        <w:trPr>
          <w:trHeight w:val="300"/>
          <w:jc w:val="center"/>
        </w:trPr>
        <w:tc>
          <w:tcPr>
            <w:tcW w:w="4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本年收入合计</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27</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4,952.30</w:t>
            </w:r>
          </w:p>
        </w:tc>
        <w:tc>
          <w:tcPr>
            <w:tcW w:w="4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本年支出合计</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4,563.79</w:t>
            </w:r>
          </w:p>
        </w:tc>
      </w:tr>
      <w:tr w:rsidR="0049349C" w:rsidTr="004C114E">
        <w:trPr>
          <w:trHeight w:val="300"/>
          <w:jc w:val="center"/>
        </w:trPr>
        <w:tc>
          <w:tcPr>
            <w:tcW w:w="4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使用非财政拨款结余</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28</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4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结余分配</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59</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0.35</w:t>
            </w:r>
          </w:p>
        </w:tc>
      </w:tr>
      <w:tr w:rsidR="0049349C" w:rsidTr="004C114E">
        <w:trPr>
          <w:trHeight w:val="300"/>
          <w:jc w:val="center"/>
        </w:trPr>
        <w:tc>
          <w:tcPr>
            <w:tcW w:w="4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年初结转和结余</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29</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84.14</w:t>
            </w:r>
          </w:p>
        </w:tc>
        <w:tc>
          <w:tcPr>
            <w:tcW w:w="4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年末结转和结余</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60</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472.30</w:t>
            </w:r>
          </w:p>
        </w:tc>
      </w:tr>
      <w:tr w:rsidR="0049349C" w:rsidTr="004C114E">
        <w:trPr>
          <w:trHeight w:val="300"/>
          <w:jc w:val="center"/>
        </w:trPr>
        <w:tc>
          <w:tcPr>
            <w:tcW w:w="4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30</w:t>
            </w:r>
          </w:p>
        </w:tc>
        <w:tc>
          <w:tcPr>
            <w:tcW w:w="15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4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r>
      <w:tr w:rsidR="0049349C" w:rsidTr="004C114E">
        <w:trPr>
          <w:trHeight w:val="300"/>
          <w:jc w:val="center"/>
        </w:trPr>
        <w:tc>
          <w:tcPr>
            <w:tcW w:w="4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总计</w:t>
            </w:r>
          </w:p>
        </w:tc>
        <w:tc>
          <w:tcPr>
            <w:tcW w:w="58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31</w:t>
            </w:r>
          </w:p>
        </w:tc>
        <w:tc>
          <w:tcPr>
            <w:tcW w:w="1549"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5,036.44</w:t>
            </w:r>
          </w:p>
        </w:tc>
        <w:tc>
          <w:tcPr>
            <w:tcW w:w="4911"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总计</w:t>
            </w:r>
          </w:p>
        </w:tc>
        <w:tc>
          <w:tcPr>
            <w:tcW w:w="58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62</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5,036.44</w:t>
            </w:r>
          </w:p>
        </w:tc>
      </w:tr>
      <w:tr w:rsidR="0049349C">
        <w:trPr>
          <w:trHeight w:val="300"/>
          <w:jc w:val="center"/>
        </w:trPr>
        <w:tc>
          <w:tcPr>
            <w:tcW w:w="14080" w:type="dxa"/>
            <w:gridSpan w:val="6"/>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注：1.本表反映部门本年度的总收支和年末结转结余情况。</w:t>
            </w:r>
          </w:p>
        </w:tc>
      </w:tr>
      <w:tr w:rsidR="0049349C">
        <w:trPr>
          <w:trHeight w:val="300"/>
          <w:jc w:val="center"/>
        </w:trPr>
        <w:tc>
          <w:tcPr>
            <w:tcW w:w="14080" w:type="dxa"/>
            <w:gridSpan w:val="6"/>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2.本套报表金额单位转换时可能存在尾数误差。</w:t>
            </w:r>
          </w:p>
        </w:tc>
      </w:tr>
    </w:tbl>
    <w:p w:rsidR="0049349C" w:rsidRDefault="00D57BB8">
      <w:pPr>
        <w:widowControl/>
        <w:jc w:val="left"/>
      </w:pPr>
      <w:r>
        <w:br w:type="page"/>
      </w:r>
    </w:p>
    <w:tbl>
      <w:tblPr>
        <w:tblW w:w="15428" w:type="dxa"/>
        <w:jc w:val="center"/>
        <w:tblLook w:val="04A0" w:firstRow="1" w:lastRow="0" w:firstColumn="1" w:lastColumn="0" w:noHBand="0" w:noVBand="1"/>
      </w:tblPr>
      <w:tblGrid>
        <w:gridCol w:w="401"/>
        <w:gridCol w:w="313"/>
        <w:gridCol w:w="272"/>
        <w:gridCol w:w="4330"/>
        <w:gridCol w:w="1560"/>
        <w:gridCol w:w="1560"/>
        <w:gridCol w:w="1290"/>
        <w:gridCol w:w="1425"/>
        <w:gridCol w:w="1425"/>
        <w:gridCol w:w="1290"/>
        <w:gridCol w:w="1623"/>
      </w:tblGrid>
      <w:tr w:rsidR="0049349C">
        <w:trPr>
          <w:trHeight w:val="378"/>
          <w:jc w:val="center"/>
        </w:trPr>
        <w:tc>
          <w:tcPr>
            <w:tcW w:w="15426" w:type="dxa"/>
            <w:gridSpan w:val="11"/>
            <w:tcBorders>
              <w:top w:val="nil"/>
              <w:left w:val="nil"/>
              <w:bottom w:val="nil"/>
              <w:right w:val="nil"/>
            </w:tcBorders>
            <w:shd w:val="clear" w:color="auto" w:fill="auto"/>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lastRenderedPageBreak/>
              <w:t>收入决算表</w:t>
            </w:r>
            <w:r>
              <w:rPr>
                <w:rFonts w:ascii="宋体" w:eastAsia="宋体" w:hAnsi="宋体" w:cs="Arial" w:hint="eastAsia"/>
                <w:kern w:val="0"/>
                <w:sz w:val="18"/>
                <w:szCs w:val="18"/>
              </w:rPr>
              <w:t xml:space="preserve">　</w:t>
            </w:r>
          </w:p>
        </w:tc>
      </w:tr>
      <w:tr w:rsidR="0049349C">
        <w:trPr>
          <w:trHeight w:val="303"/>
          <w:jc w:val="center"/>
        </w:trPr>
        <w:tc>
          <w:tcPr>
            <w:tcW w:w="376"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294"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25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4330"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560"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560"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90"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42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42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90"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623" w:type="dxa"/>
            <w:tcBorders>
              <w:top w:val="nil"/>
              <w:left w:val="nil"/>
              <w:bottom w:val="nil"/>
              <w:right w:val="nil"/>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公开02表</w:t>
            </w:r>
          </w:p>
        </w:tc>
      </w:tr>
      <w:tr w:rsidR="0049349C">
        <w:trPr>
          <w:trHeight w:val="303"/>
          <w:jc w:val="center"/>
        </w:trPr>
        <w:tc>
          <w:tcPr>
            <w:tcW w:w="5255" w:type="dxa"/>
            <w:gridSpan w:val="4"/>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部门：湖南省经济贸易高级技工学校</w:t>
            </w:r>
          </w:p>
        </w:tc>
        <w:tc>
          <w:tcPr>
            <w:tcW w:w="1560"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2849" w:type="dxa"/>
            <w:gridSpan w:val="2"/>
            <w:tcBorders>
              <w:top w:val="nil"/>
              <w:left w:val="nil"/>
              <w:bottom w:val="nil"/>
              <w:right w:val="nil"/>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2022年度</w:t>
            </w:r>
          </w:p>
        </w:tc>
        <w:tc>
          <w:tcPr>
            <w:tcW w:w="142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42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2912" w:type="dxa"/>
            <w:gridSpan w:val="2"/>
            <w:tcBorders>
              <w:top w:val="nil"/>
              <w:left w:val="nil"/>
              <w:bottom w:val="nil"/>
              <w:right w:val="nil"/>
            </w:tcBorders>
            <w:shd w:val="clear" w:color="auto" w:fill="auto"/>
            <w:noWrap/>
            <w:vAlign w:val="center"/>
          </w:tcPr>
          <w:p w:rsidR="0049349C" w:rsidRDefault="00D57BB8">
            <w:pPr>
              <w:widowControl/>
              <w:jc w:val="right"/>
              <w:rPr>
                <w:rFonts w:ascii="宋体" w:eastAsia="宋体" w:hAnsi="宋体" w:cs="Arial"/>
                <w:kern w:val="0"/>
                <w:sz w:val="18"/>
                <w:szCs w:val="18"/>
              </w:rPr>
            </w:pPr>
            <w:r>
              <w:rPr>
                <w:rFonts w:ascii="宋体" w:eastAsia="宋体" w:hAnsi="宋体" w:cs="Arial" w:hint="eastAsia"/>
                <w:kern w:val="0"/>
                <w:sz w:val="18"/>
                <w:szCs w:val="18"/>
              </w:rPr>
              <w:t xml:space="preserve">　</w:t>
            </w:r>
            <w:r>
              <w:rPr>
                <w:rFonts w:ascii="宋体" w:eastAsia="宋体" w:hAnsi="宋体" w:cs="Arial" w:hint="eastAsia"/>
                <w:color w:val="000000"/>
                <w:kern w:val="0"/>
                <w:sz w:val="22"/>
              </w:rPr>
              <w:t>单位：万元</w:t>
            </w:r>
          </w:p>
        </w:tc>
      </w:tr>
      <w:tr w:rsidR="0049349C">
        <w:trPr>
          <w:trHeight w:val="303"/>
          <w:jc w:val="center"/>
        </w:trPr>
        <w:tc>
          <w:tcPr>
            <w:tcW w:w="52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本年收入合计</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财政拨款收入</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上级补助收入</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事业收入</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经营收入</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附属单位上缴收入</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其他收入</w:t>
            </w:r>
          </w:p>
        </w:tc>
      </w:tr>
      <w:tr w:rsidR="0049349C">
        <w:trPr>
          <w:trHeight w:val="315"/>
          <w:jc w:val="center"/>
        </w:trPr>
        <w:tc>
          <w:tcPr>
            <w:tcW w:w="9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科目代码</w:t>
            </w:r>
          </w:p>
        </w:tc>
        <w:tc>
          <w:tcPr>
            <w:tcW w:w="4330" w:type="dxa"/>
            <w:vMerge w:val="restart"/>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科目名称</w:t>
            </w:r>
          </w:p>
        </w:tc>
        <w:tc>
          <w:tcPr>
            <w:tcW w:w="156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2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2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15"/>
          <w:jc w:val="center"/>
        </w:trPr>
        <w:tc>
          <w:tcPr>
            <w:tcW w:w="925"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433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2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2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15"/>
          <w:jc w:val="center"/>
        </w:trPr>
        <w:tc>
          <w:tcPr>
            <w:tcW w:w="925"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433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2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2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90"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03"/>
          <w:jc w:val="center"/>
        </w:trPr>
        <w:tc>
          <w:tcPr>
            <w:tcW w:w="52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栏次</w:t>
            </w:r>
          </w:p>
        </w:tc>
        <w:tc>
          <w:tcPr>
            <w:tcW w:w="1560"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1560"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c>
          <w:tcPr>
            <w:tcW w:w="1290"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w:t>
            </w:r>
          </w:p>
        </w:tc>
        <w:tc>
          <w:tcPr>
            <w:tcW w:w="1425"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w:t>
            </w:r>
          </w:p>
        </w:tc>
        <w:tc>
          <w:tcPr>
            <w:tcW w:w="1425"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w:t>
            </w:r>
          </w:p>
        </w:tc>
        <w:tc>
          <w:tcPr>
            <w:tcW w:w="1290"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w:t>
            </w:r>
          </w:p>
        </w:tc>
        <w:tc>
          <w:tcPr>
            <w:tcW w:w="1623"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7</w:t>
            </w:r>
          </w:p>
        </w:tc>
      </w:tr>
      <w:tr w:rsidR="0049349C">
        <w:trPr>
          <w:trHeight w:val="303"/>
          <w:jc w:val="center"/>
        </w:trPr>
        <w:tc>
          <w:tcPr>
            <w:tcW w:w="525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合计</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4,952.30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4,186.65</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163.19</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165.86</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436.60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教育支出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3,934.00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3,168.35</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163.19</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165.86</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436.60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职业教育</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3,934.00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3,168.35</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163.19</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165.86</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436.60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2050302</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中等职业教育</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1,210.71</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1,210.71</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2050303</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技校教育</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2,723.29</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1,957.64</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163.19</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165.86</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436.60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社会保障和就业支出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309.00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309.00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20805</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行政事业单位养老支出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2080505</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机关事业单位基本养老保险缴费支出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20807</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就业补助</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157.00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157.00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2080799</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其他就业补助支出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157.00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157.00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住房保障支出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22102</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住房改革支出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2210201</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住房公积金</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粮油物资储备支出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563.50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563.50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粮油物资事务</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563.50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563.50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2220150</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事业运行</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168.30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168.30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92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2220199</w:t>
            </w:r>
          </w:p>
        </w:tc>
        <w:tc>
          <w:tcPr>
            <w:tcW w:w="433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其他粮油物资事务支出</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395.20</w:t>
            </w:r>
          </w:p>
        </w:tc>
        <w:tc>
          <w:tcPr>
            <w:tcW w:w="15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395.20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2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62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3"/>
          <w:jc w:val="center"/>
        </w:trPr>
        <w:tc>
          <w:tcPr>
            <w:tcW w:w="15426" w:type="dxa"/>
            <w:gridSpan w:val="11"/>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注：本表反映部门本年度取得的各项收入情况。</w:t>
            </w:r>
          </w:p>
        </w:tc>
      </w:tr>
    </w:tbl>
    <w:p w:rsidR="0049349C" w:rsidRDefault="00D57BB8">
      <w:pPr>
        <w:widowControl/>
        <w:jc w:val="left"/>
      </w:pPr>
      <w:r>
        <w:br w:type="page"/>
      </w:r>
    </w:p>
    <w:tbl>
      <w:tblPr>
        <w:tblW w:w="15694" w:type="dxa"/>
        <w:jc w:val="center"/>
        <w:tblLook w:val="04A0" w:firstRow="1" w:lastRow="0" w:firstColumn="1" w:lastColumn="0" w:noHBand="0" w:noVBand="1"/>
      </w:tblPr>
      <w:tblGrid>
        <w:gridCol w:w="401"/>
        <w:gridCol w:w="313"/>
        <w:gridCol w:w="272"/>
        <w:gridCol w:w="4796"/>
        <w:gridCol w:w="1835"/>
        <w:gridCol w:w="1835"/>
        <w:gridCol w:w="1835"/>
        <w:gridCol w:w="1536"/>
        <w:gridCol w:w="1564"/>
        <w:gridCol w:w="1493"/>
      </w:tblGrid>
      <w:tr w:rsidR="0049349C">
        <w:trPr>
          <w:trHeight w:val="375"/>
          <w:jc w:val="center"/>
        </w:trPr>
        <w:tc>
          <w:tcPr>
            <w:tcW w:w="15694" w:type="dxa"/>
            <w:gridSpan w:val="10"/>
            <w:tcBorders>
              <w:top w:val="nil"/>
              <w:left w:val="nil"/>
              <w:bottom w:val="nil"/>
              <w:right w:val="nil"/>
            </w:tcBorders>
            <w:shd w:val="clear" w:color="auto" w:fill="auto"/>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lastRenderedPageBreak/>
              <w:t>支出决算表</w:t>
            </w:r>
          </w:p>
        </w:tc>
      </w:tr>
      <w:tr w:rsidR="0049349C">
        <w:trPr>
          <w:trHeight w:val="300"/>
          <w:jc w:val="center"/>
        </w:trPr>
        <w:tc>
          <w:tcPr>
            <w:tcW w:w="328"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256"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216"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4796"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83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83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835"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536"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564"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493" w:type="dxa"/>
            <w:tcBorders>
              <w:top w:val="nil"/>
              <w:left w:val="nil"/>
              <w:bottom w:val="nil"/>
              <w:right w:val="nil"/>
            </w:tcBorders>
            <w:shd w:val="clear" w:color="auto" w:fill="auto"/>
            <w:noWrap/>
            <w:vAlign w:val="center"/>
          </w:tcPr>
          <w:p w:rsidR="0049349C" w:rsidRDefault="00D57BB8">
            <w:pPr>
              <w:widowControl/>
              <w:jc w:val="right"/>
              <w:rPr>
                <w:rFonts w:ascii="宋体" w:eastAsia="宋体" w:hAnsi="宋体" w:cs="Arial"/>
                <w:color w:val="000000"/>
                <w:kern w:val="0"/>
                <w:sz w:val="20"/>
                <w:szCs w:val="20"/>
              </w:rPr>
            </w:pPr>
            <w:r>
              <w:rPr>
                <w:rFonts w:ascii="宋体" w:eastAsia="宋体" w:hAnsi="宋体" w:cs="Arial" w:hint="eastAsia"/>
                <w:color w:val="000000"/>
                <w:kern w:val="0"/>
                <w:sz w:val="20"/>
                <w:szCs w:val="20"/>
              </w:rPr>
              <w:t>公开03表</w:t>
            </w:r>
          </w:p>
        </w:tc>
      </w:tr>
      <w:tr w:rsidR="0049349C">
        <w:trPr>
          <w:trHeight w:val="300"/>
          <w:jc w:val="center"/>
        </w:trPr>
        <w:tc>
          <w:tcPr>
            <w:tcW w:w="5596" w:type="dxa"/>
            <w:gridSpan w:val="4"/>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部门：湖南省经济贸易高级技工学校</w:t>
            </w:r>
          </w:p>
        </w:tc>
        <w:tc>
          <w:tcPr>
            <w:tcW w:w="5505" w:type="dxa"/>
            <w:gridSpan w:val="3"/>
            <w:tcBorders>
              <w:top w:val="nil"/>
              <w:left w:val="nil"/>
              <w:bottom w:val="nil"/>
              <w:right w:val="nil"/>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2022年度</w:t>
            </w:r>
          </w:p>
        </w:tc>
        <w:tc>
          <w:tcPr>
            <w:tcW w:w="1536"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3057" w:type="dxa"/>
            <w:gridSpan w:val="2"/>
            <w:tcBorders>
              <w:top w:val="nil"/>
              <w:left w:val="nil"/>
              <w:bottom w:val="nil"/>
              <w:right w:val="nil"/>
            </w:tcBorders>
            <w:shd w:val="clear" w:color="auto" w:fill="auto"/>
            <w:noWrap/>
            <w:vAlign w:val="center"/>
          </w:tcPr>
          <w:p w:rsidR="0049349C" w:rsidRDefault="00D57BB8">
            <w:pPr>
              <w:widowControl/>
              <w:jc w:val="right"/>
              <w:rPr>
                <w:rFonts w:ascii="宋体" w:eastAsia="宋体" w:hAnsi="宋体" w:cs="Arial"/>
                <w:kern w:val="0"/>
                <w:sz w:val="18"/>
                <w:szCs w:val="18"/>
              </w:rPr>
            </w:pPr>
            <w:r>
              <w:rPr>
                <w:rFonts w:ascii="宋体" w:eastAsia="宋体" w:hAnsi="宋体" w:cs="Arial" w:hint="eastAsia"/>
                <w:kern w:val="0"/>
                <w:sz w:val="18"/>
                <w:szCs w:val="18"/>
              </w:rPr>
              <w:t xml:space="preserve">　               </w:t>
            </w:r>
            <w:r>
              <w:rPr>
                <w:rFonts w:ascii="宋体" w:eastAsia="宋体" w:hAnsi="宋体" w:cs="Arial" w:hint="eastAsia"/>
                <w:color w:val="000000"/>
                <w:kern w:val="0"/>
                <w:sz w:val="22"/>
              </w:rPr>
              <w:t>单位：万元</w:t>
            </w:r>
          </w:p>
        </w:tc>
      </w:tr>
      <w:tr w:rsidR="0049349C">
        <w:trPr>
          <w:trHeight w:val="300"/>
          <w:jc w:val="center"/>
        </w:trPr>
        <w:tc>
          <w:tcPr>
            <w:tcW w:w="559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w:t>
            </w:r>
          </w:p>
        </w:tc>
        <w:tc>
          <w:tcPr>
            <w:tcW w:w="1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本年支出合计</w:t>
            </w:r>
          </w:p>
        </w:tc>
        <w:tc>
          <w:tcPr>
            <w:tcW w:w="1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基本支出</w:t>
            </w:r>
          </w:p>
        </w:tc>
        <w:tc>
          <w:tcPr>
            <w:tcW w:w="1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项目支出</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上缴上级支出</w:t>
            </w:r>
          </w:p>
        </w:tc>
        <w:tc>
          <w:tcPr>
            <w:tcW w:w="15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经营支出</w:t>
            </w:r>
          </w:p>
        </w:tc>
        <w:tc>
          <w:tcPr>
            <w:tcW w:w="14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对附属单位补助支出</w:t>
            </w:r>
          </w:p>
        </w:tc>
      </w:tr>
      <w:tr w:rsidR="0049349C">
        <w:trPr>
          <w:trHeight w:val="312"/>
          <w:jc w:val="center"/>
        </w:trPr>
        <w:tc>
          <w:tcPr>
            <w:tcW w:w="8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科目代码</w:t>
            </w:r>
          </w:p>
        </w:tc>
        <w:tc>
          <w:tcPr>
            <w:tcW w:w="4796" w:type="dxa"/>
            <w:vMerge w:val="restart"/>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科目名称</w:t>
            </w: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36"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93"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12"/>
          <w:jc w:val="center"/>
        </w:trPr>
        <w:tc>
          <w:tcPr>
            <w:tcW w:w="800"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4796"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36"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93"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12"/>
          <w:jc w:val="center"/>
        </w:trPr>
        <w:tc>
          <w:tcPr>
            <w:tcW w:w="800"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4796"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835"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36"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64"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493"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00"/>
          <w:jc w:val="center"/>
        </w:trPr>
        <w:tc>
          <w:tcPr>
            <w:tcW w:w="559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栏次</w:t>
            </w:r>
          </w:p>
        </w:tc>
        <w:tc>
          <w:tcPr>
            <w:tcW w:w="1835"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1835"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c>
          <w:tcPr>
            <w:tcW w:w="1835"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w:t>
            </w:r>
          </w:p>
        </w:tc>
        <w:tc>
          <w:tcPr>
            <w:tcW w:w="1536"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w:t>
            </w:r>
          </w:p>
        </w:tc>
        <w:tc>
          <w:tcPr>
            <w:tcW w:w="1564"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w:t>
            </w:r>
          </w:p>
        </w:tc>
        <w:tc>
          <w:tcPr>
            <w:tcW w:w="1493"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w:t>
            </w:r>
          </w:p>
        </w:tc>
      </w:tr>
      <w:tr w:rsidR="0049349C">
        <w:trPr>
          <w:trHeight w:val="300"/>
          <w:jc w:val="center"/>
        </w:trPr>
        <w:tc>
          <w:tcPr>
            <w:tcW w:w="559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合计</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4,563.79</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2,194.70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2,179.56</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189.54</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教育支出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3,731.34</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1,843.60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1,698.21</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189.54</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职业教育</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3,731.34</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1,843.60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1,698.21</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189.54</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2050302</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中等职业教育</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1,196.01</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481.71</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714.30</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2050303</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技校教育</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2,535.33</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1,361.89</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983.91</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189.54</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社会保障和就业支出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208.74</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20805</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行政事业单位养老支出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2080505</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机关事业单位基本养老保险缴费支出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20807</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就业补助</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2080799</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其他就业补助支出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住房保障支出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22102</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住房改革支出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2210201</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住房公积金</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粮油物资储备支出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477.91</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53.30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424.61</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粮油物资事务</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477.91</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53.30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424.61</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2220150</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事业运行</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130.81</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53.30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77.51</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8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2220199</w:t>
            </w:r>
          </w:p>
        </w:tc>
        <w:tc>
          <w:tcPr>
            <w:tcW w:w="479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其他粮油物资事务支出</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347.10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83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347.10</w:t>
            </w:r>
          </w:p>
        </w:tc>
        <w:tc>
          <w:tcPr>
            <w:tcW w:w="153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6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4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15694" w:type="dxa"/>
            <w:gridSpan w:val="10"/>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注：本表反映部门本年度各项支出情况。</w:t>
            </w:r>
          </w:p>
        </w:tc>
      </w:tr>
    </w:tbl>
    <w:p w:rsidR="0049349C" w:rsidRDefault="0049349C">
      <w:pPr>
        <w:widowControl/>
        <w:jc w:val="left"/>
      </w:pPr>
    </w:p>
    <w:p w:rsidR="0049349C" w:rsidRDefault="00D57BB8">
      <w:pPr>
        <w:widowControl/>
        <w:jc w:val="left"/>
      </w:pPr>
      <w:r>
        <w:br w:type="page"/>
      </w:r>
    </w:p>
    <w:tbl>
      <w:tblPr>
        <w:tblW w:w="15620" w:type="dxa"/>
        <w:jc w:val="center"/>
        <w:tblLook w:val="04A0" w:firstRow="1" w:lastRow="0" w:firstColumn="1" w:lastColumn="0" w:noHBand="0" w:noVBand="1"/>
      </w:tblPr>
      <w:tblGrid>
        <w:gridCol w:w="3280"/>
        <w:gridCol w:w="580"/>
        <w:gridCol w:w="1360"/>
        <w:gridCol w:w="3660"/>
        <w:gridCol w:w="580"/>
        <w:gridCol w:w="1540"/>
        <w:gridCol w:w="1540"/>
        <w:gridCol w:w="1540"/>
        <w:gridCol w:w="1540"/>
      </w:tblGrid>
      <w:tr w:rsidR="0049349C">
        <w:trPr>
          <w:trHeight w:val="375"/>
          <w:jc w:val="center"/>
        </w:trPr>
        <w:tc>
          <w:tcPr>
            <w:tcW w:w="32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22"/>
              </w:rPr>
            </w:pPr>
            <w:r>
              <w:rPr>
                <w:rFonts w:ascii="宋体" w:eastAsia="宋体" w:hAnsi="宋体" w:cs="Arial" w:hint="eastAsia"/>
                <w:kern w:val="0"/>
                <w:sz w:val="22"/>
              </w:rPr>
              <w:lastRenderedPageBreak/>
              <w:t xml:space="preserve">　</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36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780" w:type="dxa"/>
            <w:gridSpan w:val="3"/>
            <w:tcBorders>
              <w:top w:val="nil"/>
              <w:left w:val="nil"/>
              <w:bottom w:val="nil"/>
              <w:right w:val="nil"/>
            </w:tcBorders>
            <w:shd w:val="clear" w:color="000000" w:fill="FFFFFF"/>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财政拨款收入支出决算总表</w:t>
            </w:r>
          </w:p>
        </w:tc>
        <w:tc>
          <w:tcPr>
            <w:tcW w:w="154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49349C">
        <w:trPr>
          <w:trHeight w:val="300"/>
          <w:jc w:val="center"/>
        </w:trPr>
        <w:tc>
          <w:tcPr>
            <w:tcW w:w="32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36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66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540"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公开04表</w:t>
            </w:r>
          </w:p>
        </w:tc>
      </w:tr>
      <w:tr w:rsidR="0049349C">
        <w:trPr>
          <w:trHeight w:val="300"/>
          <w:jc w:val="center"/>
        </w:trPr>
        <w:tc>
          <w:tcPr>
            <w:tcW w:w="5220" w:type="dxa"/>
            <w:gridSpan w:val="3"/>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部门：湖南省经济贸易高级技工学校</w:t>
            </w:r>
          </w:p>
        </w:tc>
        <w:tc>
          <w:tcPr>
            <w:tcW w:w="5780" w:type="dxa"/>
            <w:gridSpan w:val="3"/>
            <w:tcBorders>
              <w:top w:val="nil"/>
              <w:left w:val="nil"/>
              <w:bottom w:val="single" w:sz="4" w:space="0" w:color="auto"/>
              <w:right w:val="nil"/>
            </w:tcBorders>
            <w:shd w:val="clear" w:color="000000" w:fill="FFFFFF"/>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2022年度</w:t>
            </w:r>
          </w:p>
        </w:tc>
        <w:tc>
          <w:tcPr>
            <w:tcW w:w="154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080" w:type="dxa"/>
            <w:gridSpan w:val="2"/>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单位：万元</w:t>
            </w:r>
          </w:p>
        </w:tc>
      </w:tr>
      <w:tr w:rsidR="0049349C">
        <w:trPr>
          <w:trHeight w:val="300"/>
          <w:jc w:val="center"/>
        </w:trPr>
        <w:tc>
          <w:tcPr>
            <w:tcW w:w="5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收     入</w:t>
            </w:r>
          </w:p>
        </w:tc>
        <w:tc>
          <w:tcPr>
            <w:tcW w:w="10400" w:type="dxa"/>
            <w:gridSpan w:val="6"/>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支     出</w:t>
            </w:r>
          </w:p>
        </w:tc>
      </w:tr>
      <w:tr w:rsidR="0049349C">
        <w:trPr>
          <w:trHeight w:val="312"/>
          <w:jc w:val="center"/>
        </w:trPr>
        <w:tc>
          <w:tcPr>
            <w:tcW w:w="328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行次</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金额</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行次</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合计</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一般公共预算财政拨款</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政府性基金预算财政拨款</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国有资本经营预算财政拨款</w:t>
            </w:r>
          </w:p>
        </w:tc>
      </w:tr>
      <w:tr w:rsidR="0049349C">
        <w:trPr>
          <w:trHeight w:val="600"/>
          <w:jc w:val="center"/>
        </w:trPr>
        <w:tc>
          <w:tcPr>
            <w:tcW w:w="328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58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36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366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58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4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4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4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54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栏次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栏次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一、一般公共预算财政拨款</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4,186.65</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一、一般公共服务支出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33</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二、政府性基金预算财政拨款</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二、外交支出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三、国有资本经营预算财政拨款</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三、国防支出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35</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四、公共安全支出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36</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五、教育支出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37</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2,928.94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2,928.94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六、科学技术支出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38</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7</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七、文化旅游体育与传媒支出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39</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8</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八、社会保障和就业支出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208.74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208.74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9</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九、卫生健康支出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41</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10</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十、节能环保支出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42</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11</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十一、城乡社区支出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43</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12</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十二、农林水支出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13</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十三、交通运输支出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45</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14</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十四、资源勘探工业信息等支出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46</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15</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十五、商业服务业等支出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47</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16</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十六、金融支出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48</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17</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十七、援助其他地区支出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49</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18</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十八、自然资源海洋气象等支出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19</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十九、住房保障支出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51</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二十、粮油物资储备支出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52</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477.91</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477.91</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21</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二十一、国有资本经营预算支出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53</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22</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二十二、灾害防治及应急管理支出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rsidTr="004C114E">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23</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二十三、其他支出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55</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rsidTr="004C114E">
        <w:trPr>
          <w:trHeight w:val="300"/>
          <w:jc w:val="center"/>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0"/>
                <w:szCs w:val="20"/>
              </w:rPr>
            </w:pPr>
            <w:r>
              <w:rPr>
                <w:rFonts w:ascii="宋体" w:eastAsia="宋体" w:hAnsi="宋体" w:cs="Arial" w:hint="eastAsia"/>
                <w:b/>
                <w:bCs/>
                <w:color w:val="000000"/>
                <w:kern w:val="0"/>
                <w:sz w:val="20"/>
                <w:szCs w:val="20"/>
              </w:rPr>
              <w:lastRenderedPageBreak/>
              <w:t xml:space="preserve">　</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二十四、债务还本支出</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56</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rsidTr="004C114E">
        <w:trPr>
          <w:trHeight w:val="300"/>
          <w:jc w:val="center"/>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0"/>
                <w:szCs w:val="20"/>
              </w:rPr>
            </w:pPr>
            <w:r>
              <w:rPr>
                <w:rFonts w:ascii="宋体" w:eastAsia="宋体" w:hAnsi="宋体" w:cs="Arial" w:hint="eastAsia"/>
                <w:color w:val="000000"/>
                <w:kern w:val="0"/>
                <w:sz w:val="20"/>
                <w:szCs w:val="20"/>
              </w:rPr>
              <w:t xml:space="preserve">　</w:t>
            </w:r>
          </w:p>
        </w:tc>
        <w:tc>
          <w:tcPr>
            <w:tcW w:w="58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25</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二十五、债务付息支出</w:t>
            </w:r>
          </w:p>
        </w:tc>
        <w:tc>
          <w:tcPr>
            <w:tcW w:w="58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57</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0"/>
                <w:szCs w:val="20"/>
              </w:rPr>
            </w:pPr>
            <w:r>
              <w:rPr>
                <w:rFonts w:ascii="宋体" w:eastAsia="宋体" w:hAnsi="宋体" w:cs="Arial" w:hint="eastAsia"/>
                <w:color w:val="000000"/>
                <w:kern w:val="0"/>
                <w:sz w:val="20"/>
                <w:szCs w:val="20"/>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26</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二十六、抗</w:t>
            </w:r>
            <w:proofErr w:type="gramStart"/>
            <w:r>
              <w:rPr>
                <w:rFonts w:ascii="宋体" w:eastAsia="宋体" w:hAnsi="宋体" w:cs="Arial" w:hint="eastAsia"/>
                <w:color w:val="000000"/>
                <w:kern w:val="0"/>
                <w:sz w:val="22"/>
              </w:rPr>
              <w:t>疫</w:t>
            </w:r>
            <w:proofErr w:type="gramEnd"/>
            <w:r>
              <w:rPr>
                <w:rFonts w:ascii="宋体" w:eastAsia="宋体" w:hAnsi="宋体" w:cs="Arial" w:hint="eastAsia"/>
                <w:color w:val="000000"/>
                <w:kern w:val="0"/>
                <w:sz w:val="22"/>
              </w:rPr>
              <w:t>特别国债安排的支出</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58</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本年收入合计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27</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4,186.65</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本年支出合计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59</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3,761.39</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3,761.39</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年初财政拨款结转和结余</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28</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154.96</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年末财政拨款结转和结余</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580.22</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580.22</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一般公共预算财政拨款</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29</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154.96</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61</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政府性基金预算财政拨款</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30</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62</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国有资本经营预算财政拨款</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31</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63</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r>
      <w:tr w:rsidR="0049349C">
        <w:trPr>
          <w:trHeight w:val="300"/>
          <w:jc w:val="center"/>
        </w:trPr>
        <w:tc>
          <w:tcPr>
            <w:tcW w:w="3280"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总计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32</w:t>
            </w:r>
          </w:p>
        </w:tc>
        <w:tc>
          <w:tcPr>
            <w:tcW w:w="13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4,341.61</w:t>
            </w:r>
          </w:p>
        </w:tc>
        <w:tc>
          <w:tcPr>
            <w:tcW w:w="366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b/>
                <w:bCs/>
                <w:color w:val="000000"/>
                <w:kern w:val="0"/>
                <w:sz w:val="22"/>
              </w:rPr>
            </w:pPr>
            <w:r>
              <w:rPr>
                <w:rFonts w:ascii="宋体" w:eastAsia="宋体" w:hAnsi="宋体" w:cs="Arial" w:hint="eastAsia"/>
                <w:b/>
                <w:bCs/>
                <w:color w:val="000000"/>
                <w:kern w:val="0"/>
                <w:sz w:val="22"/>
              </w:rPr>
              <w:t>总计</w:t>
            </w:r>
          </w:p>
        </w:tc>
        <w:tc>
          <w:tcPr>
            <w:tcW w:w="5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64</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4,341.61</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4,341.61</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154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0"/>
          <w:jc w:val="center"/>
        </w:trPr>
        <w:tc>
          <w:tcPr>
            <w:tcW w:w="14080" w:type="dxa"/>
            <w:gridSpan w:val="8"/>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注：本表反映部门本年度一般公共预算财政拨款、政府性基金预算财政拨款和国有资本经营预算财政拨款的总收支和年末结转结余情况。</w:t>
            </w:r>
          </w:p>
        </w:tc>
        <w:tc>
          <w:tcPr>
            <w:tcW w:w="1540"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color w:val="000000"/>
                <w:kern w:val="0"/>
                <w:sz w:val="20"/>
                <w:szCs w:val="20"/>
              </w:rPr>
            </w:pPr>
          </w:p>
        </w:tc>
      </w:tr>
    </w:tbl>
    <w:p w:rsidR="0049349C" w:rsidRDefault="0049349C">
      <w:pPr>
        <w:widowControl/>
        <w:jc w:val="left"/>
      </w:pPr>
    </w:p>
    <w:p w:rsidR="0049349C" w:rsidRDefault="00D57BB8">
      <w:pPr>
        <w:widowControl/>
        <w:jc w:val="left"/>
      </w:pPr>
      <w:r>
        <w:br w:type="page"/>
      </w:r>
    </w:p>
    <w:tbl>
      <w:tblPr>
        <w:tblW w:w="15089" w:type="dxa"/>
        <w:jc w:val="center"/>
        <w:tblLook w:val="04A0" w:firstRow="1" w:lastRow="0" w:firstColumn="1" w:lastColumn="0" w:noHBand="0" w:noVBand="1"/>
      </w:tblPr>
      <w:tblGrid>
        <w:gridCol w:w="785"/>
        <w:gridCol w:w="271"/>
        <w:gridCol w:w="271"/>
        <w:gridCol w:w="5801"/>
        <w:gridCol w:w="2595"/>
        <w:gridCol w:w="2595"/>
        <w:gridCol w:w="2771"/>
      </w:tblGrid>
      <w:tr w:rsidR="0049349C">
        <w:trPr>
          <w:trHeight w:val="378"/>
          <w:jc w:val="center"/>
        </w:trPr>
        <w:tc>
          <w:tcPr>
            <w:tcW w:w="785"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lastRenderedPageBreak/>
              <w:t xml:space="preserve">　</w:t>
            </w:r>
          </w:p>
        </w:tc>
        <w:tc>
          <w:tcPr>
            <w:tcW w:w="14303" w:type="dxa"/>
            <w:gridSpan w:val="6"/>
            <w:tcBorders>
              <w:top w:val="nil"/>
              <w:left w:val="nil"/>
              <w:bottom w:val="nil"/>
              <w:right w:val="nil"/>
            </w:tcBorders>
            <w:shd w:val="clear" w:color="000000" w:fill="FFFFFF"/>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一般公共预算财政拨款支出决算表</w:t>
            </w:r>
          </w:p>
        </w:tc>
      </w:tr>
      <w:tr w:rsidR="0049349C">
        <w:trPr>
          <w:trHeight w:val="302"/>
          <w:jc w:val="center"/>
        </w:trPr>
        <w:tc>
          <w:tcPr>
            <w:tcW w:w="785"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71"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71"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801"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595"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595"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770"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公开05表</w:t>
            </w:r>
          </w:p>
        </w:tc>
      </w:tr>
      <w:tr w:rsidR="0049349C">
        <w:trPr>
          <w:trHeight w:val="302"/>
          <w:jc w:val="center"/>
        </w:trPr>
        <w:tc>
          <w:tcPr>
            <w:tcW w:w="7128" w:type="dxa"/>
            <w:gridSpan w:val="4"/>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部门：湖南省经济贸易高级技工学校</w:t>
            </w:r>
          </w:p>
        </w:tc>
        <w:tc>
          <w:tcPr>
            <w:tcW w:w="2595"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595"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770"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单位：万元</w:t>
            </w:r>
          </w:p>
        </w:tc>
      </w:tr>
      <w:tr w:rsidR="0049349C">
        <w:trPr>
          <w:trHeight w:val="302"/>
          <w:jc w:val="center"/>
        </w:trPr>
        <w:tc>
          <w:tcPr>
            <w:tcW w:w="712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w:t>
            </w:r>
          </w:p>
        </w:tc>
        <w:tc>
          <w:tcPr>
            <w:tcW w:w="7961" w:type="dxa"/>
            <w:gridSpan w:val="3"/>
            <w:tcBorders>
              <w:top w:val="single" w:sz="4" w:space="0" w:color="auto"/>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本年支出</w:t>
            </w:r>
          </w:p>
        </w:tc>
      </w:tr>
      <w:tr w:rsidR="0049349C">
        <w:trPr>
          <w:trHeight w:val="314"/>
          <w:jc w:val="center"/>
        </w:trPr>
        <w:tc>
          <w:tcPr>
            <w:tcW w:w="132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科目代码</w:t>
            </w:r>
          </w:p>
        </w:tc>
        <w:tc>
          <w:tcPr>
            <w:tcW w:w="5801" w:type="dxa"/>
            <w:vMerge w:val="restart"/>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科目名称</w:t>
            </w:r>
          </w:p>
        </w:tc>
        <w:tc>
          <w:tcPr>
            <w:tcW w:w="2595"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小计</w:t>
            </w:r>
          </w:p>
        </w:tc>
        <w:tc>
          <w:tcPr>
            <w:tcW w:w="2595"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基本支出</w:t>
            </w:r>
          </w:p>
        </w:tc>
        <w:tc>
          <w:tcPr>
            <w:tcW w:w="277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项目支出</w:t>
            </w:r>
          </w:p>
        </w:tc>
      </w:tr>
      <w:tr w:rsidR="0049349C">
        <w:trPr>
          <w:trHeight w:val="314"/>
          <w:jc w:val="center"/>
        </w:trPr>
        <w:tc>
          <w:tcPr>
            <w:tcW w:w="1327"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580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2595"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2595"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277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14"/>
          <w:jc w:val="center"/>
        </w:trPr>
        <w:tc>
          <w:tcPr>
            <w:tcW w:w="1327"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580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2595"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2595"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277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302"/>
          <w:jc w:val="center"/>
        </w:trPr>
        <w:tc>
          <w:tcPr>
            <w:tcW w:w="712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栏次</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w:t>
            </w:r>
          </w:p>
        </w:tc>
      </w:tr>
      <w:tr w:rsidR="0049349C">
        <w:trPr>
          <w:trHeight w:val="302"/>
          <w:jc w:val="center"/>
        </w:trPr>
        <w:tc>
          <w:tcPr>
            <w:tcW w:w="712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合计</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3,761.39</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2,031.45</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color w:val="000000"/>
                <w:kern w:val="0"/>
                <w:sz w:val="22"/>
              </w:rPr>
            </w:pPr>
            <w:r>
              <w:rPr>
                <w:rFonts w:ascii="宋体" w:eastAsia="宋体" w:hAnsi="宋体" w:cs="Arial" w:hint="eastAsia"/>
                <w:b/>
                <w:bCs/>
                <w:color w:val="000000"/>
                <w:kern w:val="0"/>
                <w:sz w:val="22"/>
              </w:rPr>
              <w:t>1,729.94</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教育支出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2,928.94</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1,680.35</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1,248.59</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职业教育</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2,928.94</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1,680.35</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1,248.59</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2050302</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中等职业教育</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1,196.01</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481.71</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714.30</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2050303</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技校教育</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1,732.93</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1,198.64</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534.29</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社会保障和就业支出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208.74</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20805</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行政事业单位养老支出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2080505</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机关事业单位基本养老保险缴费支出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20807</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就业补助</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2080799</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其他就业补助支出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56.74</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住房保障支出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22102</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住房改革支出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2210201</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住房公积金</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粮油物资储备支出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477.91</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53.30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424.61</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粮油物资事务</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477.91</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53.30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424.61</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2220150</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事业运行</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130.81</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53.30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77.51</w:t>
            </w:r>
          </w:p>
        </w:tc>
      </w:tr>
      <w:tr w:rsidR="0049349C">
        <w:trPr>
          <w:trHeight w:val="302"/>
          <w:jc w:val="center"/>
        </w:trPr>
        <w:tc>
          <w:tcPr>
            <w:tcW w:w="13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2220199</w:t>
            </w:r>
          </w:p>
        </w:tc>
        <w:tc>
          <w:tcPr>
            <w:tcW w:w="58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其他粮油物资事务支出</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347.10</w:t>
            </w:r>
          </w:p>
        </w:tc>
        <w:tc>
          <w:tcPr>
            <w:tcW w:w="2595"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277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347.10</w:t>
            </w:r>
          </w:p>
        </w:tc>
      </w:tr>
      <w:tr w:rsidR="0049349C">
        <w:trPr>
          <w:trHeight w:val="302"/>
          <w:jc w:val="center"/>
        </w:trPr>
        <w:tc>
          <w:tcPr>
            <w:tcW w:w="15088" w:type="dxa"/>
            <w:gridSpan w:val="7"/>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注：本表反映部门本年度一般公共预算财政拨款支出情况。</w:t>
            </w:r>
          </w:p>
        </w:tc>
      </w:tr>
    </w:tbl>
    <w:p w:rsidR="0049349C" w:rsidRDefault="00D57BB8">
      <w:pPr>
        <w:widowControl/>
        <w:jc w:val="left"/>
      </w:pPr>
      <w:r>
        <w:br w:type="page"/>
      </w:r>
    </w:p>
    <w:tbl>
      <w:tblPr>
        <w:tblpPr w:leftFromText="180" w:rightFromText="180" w:horzAnchor="margin" w:tblpXSpec="center" w:tblpY="-255"/>
        <w:tblW w:w="15422" w:type="dxa"/>
        <w:tblLook w:val="04A0" w:firstRow="1" w:lastRow="0" w:firstColumn="1" w:lastColumn="0" w:noHBand="0" w:noVBand="1"/>
      </w:tblPr>
      <w:tblGrid>
        <w:gridCol w:w="766"/>
        <w:gridCol w:w="3083"/>
        <w:gridCol w:w="1368"/>
        <w:gridCol w:w="766"/>
        <w:gridCol w:w="2574"/>
        <w:gridCol w:w="1007"/>
        <w:gridCol w:w="766"/>
        <w:gridCol w:w="3899"/>
        <w:gridCol w:w="1293"/>
      </w:tblGrid>
      <w:tr w:rsidR="0049349C">
        <w:trPr>
          <w:trHeight w:val="300"/>
        </w:trPr>
        <w:tc>
          <w:tcPr>
            <w:tcW w:w="15421" w:type="dxa"/>
            <w:gridSpan w:val="9"/>
            <w:tcBorders>
              <w:top w:val="nil"/>
              <w:left w:val="nil"/>
              <w:bottom w:val="nil"/>
              <w:right w:val="nil"/>
            </w:tcBorders>
            <w:shd w:val="clear" w:color="000000" w:fill="FFFFFF"/>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lastRenderedPageBreak/>
              <w:t>一般公共预算财政拨款基本支出决算明细表</w:t>
            </w:r>
          </w:p>
        </w:tc>
      </w:tr>
      <w:tr w:rsidR="0049349C">
        <w:trPr>
          <w:trHeight w:val="240"/>
        </w:trPr>
        <w:tc>
          <w:tcPr>
            <w:tcW w:w="73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083"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368"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3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574"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0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3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99"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293"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公开06表</w:t>
            </w:r>
          </w:p>
        </w:tc>
      </w:tr>
      <w:tr w:rsidR="0049349C">
        <w:trPr>
          <w:trHeight w:val="240"/>
        </w:trPr>
        <w:tc>
          <w:tcPr>
            <w:tcW w:w="3815" w:type="dxa"/>
            <w:gridSpan w:val="2"/>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color w:val="000000"/>
                <w:kern w:val="0"/>
                <w:sz w:val="20"/>
                <w:szCs w:val="20"/>
              </w:rPr>
            </w:pPr>
            <w:r>
              <w:rPr>
                <w:rFonts w:ascii="宋体" w:eastAsia="宋体" w:hAnsi="宋体" w:cs="Arial" w:hint="eastAsia"/>
                <w:color w:val="000000"/>
                <w:kern w:val="0"/>
                <w:sz w:val="20"/>
                <w:szCs w:val="20"/>
              </w:rPr>
              <w:t>部门：湖南省经济贸易高级技工学校</w:t>
            </w:r>
          </w:p>
        </w:tc>
        <w:tc>
          <w:tcPr>
            <w:tcW w:w="1368"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3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574" w:type="dxa"/>
            <w:tcBorders>
              <w:top w:val="nil"/>
              <w:left w:val="nil"/>
              <w:bottom w:val="nil"/>
              <w:right w:val="nil"/>
            </w:tcBorders>
            <w:shd w:val="clear" w:color="000000" w:fill="FFFFFF"/>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00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73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5191" w:type="dxa"/>
            <w:gridSpan w:val="2"/>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单位：万元</w:t>
            </w:r>
          </w:p>
        </w:tc>
      </w:tr>
      <w:tr w:rsidR="0049349C">
        <w:trPr>
          <w:trHeight w:val="240"/>
        </w:trPr>
        <w:tc>
          <w:tcPr>
            <w:tcW w:w="51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人员经费</w:t>
            </w:r>
          </w:p>
        </w:tc>
        <w:tc>
          <w:tcPr>
            <w:tcW w:w="10238" w:type="dxa"/>
            <w:gridSpan w:val="6"/>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公用经费</w:t>
            </w:r>
          </w:p>
        </w:tc>
      </w:tr>
      <w:tr w:rsidR="0049349C">
        <w:trPr>
          <w:trHeight w:val="312"/>
        </w:trPr>
        <w:tc>
          <w:tcPr>
            <w:tcW w:w="732"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科目代码</w:t>
            </w:r>
          </w:p>
        </w:tc>
        <w:tc>
          <w:tcPr>
            <w:tcW w:w="3083"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科目名称</w:t>
            </w:r>
          </w:p>
        </w:tc>
        <w:tc>
          <w:tcPr>
            <w:tcW w:w="1368"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决算数</w:t>
            </w:r>
          </w:p>
        </w:tc>
        <w:tc>
          <w:tcPr>
            <w:tcW w:w="732"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科目代码</w:t>
            </w:r>
          </w:p>
        </w:tc>
        <w:tc>
          <w:tcPr>
            <w:tcW w:w="2574"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科目名称</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决算数</w:t>
            </w:r>
          </w:p>
        </w:tc>
        <w:tc>
          <w:tcPr>
            <w:tcW w:w="732"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科目代码</w:t>
            </w:r>
          </w:p>
        </w:tc>
        <w:tc>
          <w:tcPr>
            <w:tcW w:w="3899"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科目名称</w:t>
            </w:r>
          </w:p>
        </w:tc>
        <w:tc>
          <w:tcPr>
            <w:tcW w:w="1293"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决算数</w:t>
            </w:r>
          </w:p>
        </w:tc>
      </w:tr>
      <w:tr w:rsidR="0049349C">
        <w:trPr>
          <w:trHeight w:val="312"/>
        </w:trPr>
        <w:tc>
          <w:tcPr>
            <w:tcW w:w="73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3083"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368"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73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2574"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007"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73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3899"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93"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工资福利支出</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1,748.63</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商品和服务支出</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221.75</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307</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债务利息及费用支出</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30101</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基本工资</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468.78</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30201</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办公费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30701</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国内债务付息</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30102</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津贴补贴</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18.03</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30202</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印刷费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30702</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国外债务付息</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30103</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奖金</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124.37</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30203</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咨询费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资本性支出</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12.65</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30106</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伙食补助费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64.43</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30204</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手续费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31001</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房屋建筑物购建</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30107</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绩效工资</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622.76</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30205</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水费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31002</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办公设备购置</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0.48</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30108</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机关事业单位基本养老保险缴费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152.00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30206</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电费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31003</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专用设备购置</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12.17</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30109</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职业年金缴费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30207</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邮电费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31005</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基础设施建设</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30110</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职工基本医疗保险缴费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89.60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30208</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取暖费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31006</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大型修缮</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30111</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公务员医疗补助缴费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29.83</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30209</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物业管理费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31007</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信息网络及软件购置更新</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30112</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其他社会保障缴费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14.33</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30211</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差旅费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20.76</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31008</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物资储备</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30113</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住房公积金</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145.80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30212</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因公出国（境）费用</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31009</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土地补偿</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30114</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医疗费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30213</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维修（护）费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11.50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31010</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安置补助</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30199</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其他工资福利支出</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18.69</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30214</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租赁费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7.20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31011</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地上附着物和青苗补偿</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对个人和家庭的补助</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48.42</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30215</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会议费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31012</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拆迁补偿</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30301</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离休费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8.55</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30216</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培训费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0.27</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31013</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公务用车购置</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30302</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退休费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30217</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公务接待费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31019</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其他交通工具购置</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30303</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退职（役）费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30218</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专用材料费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31021</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文物和陈列品购置</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30304</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抚恤金</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30224</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被装购置费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31022</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无形资产购置</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30305</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生活补助</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1.95</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30225</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专用燃料费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31099</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其他资本性支出</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30306</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救济费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30226</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劳务费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58.04</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399</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其他支出</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30307</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医疗费补助</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0.25</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30227</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委托业务费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39907</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国家赔偿费用支出</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30308</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助学金</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30228</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工会经费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61.00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39908</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对民间非营利组织和群众性自治组织补贴</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lastRenderedPageBreak/>
              <w:t>30309</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奖励金</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37.67</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30229</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福利费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8.67</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39909</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经常性赠与</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30310</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个人农业生产补贴</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30231</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公务用车运行维护费</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2.05</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39910</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资本性赠与</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30311</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代缴社会保险费</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30239</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其他交通费用</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39999</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其他支出</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30399</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其他对个人和家庭的补助</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30240</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税金及附加费用</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0.00</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r>
      <w:tr w:rsidR="0049349C">
        <w:trPr>
          <w:trHeight w:val="240"/>
        </w:trPr>
        <w:tc>
          <w:tcPr>
            <w:tcW w:w="732"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08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30299</w:t>
            </w:r>
          </w:p>
        </w:tc>
        <w:tc>
          <w:tcPr>
            <w:tcW w:w="2574"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其他商品和服务支出</w:t>
            </w:r>
          </w:p>
        </w:tc>
        <w:tc>
          <w:tcPr>
            <w:tcW w:w="100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17.26</w:t>
            </w:r>
          </w:p>
        </w:tc>
        <w:tc>
          <w:tcPr>
            <w:tcW w:w="73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389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 xml:space="preserve">　</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 xml:space="preserve">　</w:t>
            </w:r>
          </w:p>
        </w:tc>
      </w:tr>
      <w:tr w:rsidR="0049349C">
        <w:trPr>
          <w:trHeight w:val="240"/>
        </w:trPr>
        <w:tc>
          <w:tcPr>
            <w:tcW w:w="3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人员经费合计</w:t>
            </w:r>
          </w:p>
        </w:tc>
        <w:tc>
          <w:tcPr>
            <w:tcW w:w="1368"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1,797.05</w:t>
            </w:r>
          </w:p>
        </w:tc>
        <w:tc>
          <w:tcPr>
            <w:tcW w:w="8945" w:type="dxa"/>
            <w:gridSpan w:val="5"/>
            <w:tcBorders>
              <w:top w:val="single" w:sz="4" w:space="0" w:color="auto"/>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公用经费合计</w:t>
            </w:r>
          </w:p>
        </w:tc>
        <w:tc>
          <w:tcPr>
            <w:tcW w:w="1293"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234.40</w:t>
            </w:r>
          </w:p>
        </w:tc>
      </w:tr>
      <w:tr w:rsidR="0049349C">
        <w:trPr>
          <w:trHeight w:val="240"/>
        </w:trPr>
        <w:tc>
          <w:tcPr>
            <w:tcW w:w="15421" w:type="dxa"/>
            <w:gridSpan w:val="9"/>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注：本表反映部门本年度一般公共预算财政拨款基本支出明细情况。</w:t>
            </w:r>
          </w:p>
        </w:tc>
      </w:tr>
    </w:tbl>
    <w:p w:rsidR="0049349C" w:rsidRDefault="0049349C">
      <w:pPr>
        <w:widowControl/>
        <w:jc w:val="left"/>
        <w:rPr>
          <w:rFonts w:ascii="Times New Roman" w:eastAsia="方正小标宋_GBK" w:hAnsi="Times New Roman" w:cs="Times New Roman"/>
          <w:color w:val="000000"/>
          <w:kern w:val="0"/>
          <w:szCs w:val="21"/>
        </w:rPr>
      </w:pPr>
    </w:p>
    <w:p w:rsidR="0049349C" w:rsidRDefault="00D57BB8">
      <w:pPr>
        <w:widowControl/>
        <w:jc w:val="left"/>
        <w:rPr>
          <w:rFonts w:ascii="Times New Roman" w:eastAsia="方正小标宋_GBK" w:hAnsi="Times New Roman" w:cs="Times New Roman"/>
          <w:color w:val="000000"/>
          <w:kern w:val="0"/>
          <w:sz w:val="36"/>
          <w:szCs w:val="36"/>
        </w:rPr>
      </w:pPr>
      <w:r>
        <w:rPr>
          <w:rFonts w:ascii="Times New Roman" w:eastAsia="方正小标宋_GBK" w:hAnsi="Times New Roman" w:cs="Times New Roman"/>
          <w:color w:val="000000"/>
          <w:kern w:val="0"/>
          <w:sz w:val="36"/>
          <w:szCs w:val="36"/>
        </w:rPr>
        <w:br w:type="page"/>
      </w:r>
    </w:p>
    <w:tbl>
      <w:tblPr>
        <w:tblW w:w="15442" w:type="dxa"/>
        <w:jc w:val="center"/>
        <w:tblLook w:val="04A0" w:firstRow="1" w:lastRow="0" w:firstColumn="1" w:lastColumn="0" w:noHBand="0" w:noVBand="1"/>
      </w:tblPr>
      <w:tblGrid>
        <w:gridCol w:w="509"/>
        <w:gridCol w:w="222"/>
        <w:gridCol w:w="222"/>
        <w:gridCol w:w="2897"/>
        <w:gridCol w:w="1701"/>
        <w:gridCol w:w="1656"/>
        <w:gridCol w:w="1842"/>
        <w:gridCol w:w="1842"/>
        <w:gridCol w:w="1842"/>
        <w:gridCol w:w="2709"/>
      </w:tblGrid>
      <w:tr w:rsidR="0049349C">
        <w:trPr>
          <w:trHeight w:val="382"/>
          <w:jc w:val="center"/>
        </w:trPr>
        <w:tc>
          <w:tcPr>
            <w:tcW w:w="509"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lastRenderedPageBreak/>
              <w:t xml:space="preserve">　</w:t>
            </w:r>
          </w:p>
        </w:tc>
        <w:tc>
          <w:tcPr>
            <w:tcW w:w="14933" w:type="dxa"/>
            <w:gridSpan w:val="9"/>
            <w:tcBorders>
              <w:top w:val="nil"/>
              <w:left w:val="nil"/>
              <w:bottom w:val="nil"/>
              <w:right w:val="nil"/>
            </w:tcBorders>
            <w:shd w:val="clear" w:color="000000" w:fill="FFFFFF"/>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t>政府性基金预算财政拨款收入支出决算表</w:t>
            </w:r>
          </w:p>
        </w:tc>
      </w:tr>
      <w:tr w:rsidR="0049349C">
        <w:trPr>
          <w:trHeight w:val="305"/>
          <w:jc w:val="center"/>
        </w:trPr>
        <w:tc>
          <w:tcPr>
            <w:tcW w:w="509"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2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89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701"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56"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4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4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4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709"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公开07表</w:t>
            </w:r>
          </w:p>
        </w:tc>
      </w:tr>
      <w:tr w:rsidR="0049349C">
        <w:trPr>
          <w:trHeight w:val="305"/>
          <w:jc w:val="center"/>
        </w:trPr>
        <w:tc>
          <w:tcPr>
            <w:tcW w:w="3850" w:type="dxa"/>
            <w:gridSpan w:val="4"/>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部门：湖南省经济贸易高级技工学校</w:t>
            </w:r>
          </w:p>
        </w:tc>
        <w:tc>
          <w:tcPr>
            <w:tcW w:w="5199" w:type="dxa"/>
            <w:gridSpan w:val="3"/>
            <w:tcBorders>
              <w:top w:val="nil"/>
              <w:left w:val="nil"/>
              <w:bottom w:val="single" w:sz="4" w:space="0" w:color="auto"/>
              <w:right w:val="nil"/>
            </w:tcBorders>
            <w:shd w:val="clear" w:color="000000" w:fill="FFFFFF"/>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2022年度</w:t>
            </w:r>
          </w:p>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4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842"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709"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单位：万元</w:t>
            </w:r>
          </w:p>
        </w:tc>
      </w:tr>
      <w:tr w:rsidR="0049349C">
        <w:trPr>
          <w:trHeight w:val="534"/>
          <w:jc w:val="center"/>
        </w:trPr>
        <w:tc>
          <w:tcPr>
            <w:tcW w:w="385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项目</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年初结转和结余</w:t>
            </w:r>
          </w:p>
        </w:tc>
        <w:tc>
          <w:tcPr>
            <w:tcW w:w="1656"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本年收入</w:t>
            </w:r>
          </w:p>
        </w:tc>
        <w:tc>
          <w:tcPr>
            <w:tcW w:w="5526" w:type="dxa"/>
            <w:gridSpan w:val="3"/>
            <w:tcBorders>
              <w:top w:val="single" w:sz="4" w:space="0" w:color="auto"/>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本年支出</w:t>
            </w:r>
          </w:p>
        </w:tc>
        <w:tc>
          <w:tcPr>
            <w:tcW w:w="2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年末结转和结余</w:t>
            </w:r>
          </w:p>
        </w:tc>
      </w:tr>
      <w:tr w:rsidR="0049349C">
        <w:trPr>
          <w:trHeight w:val="318"/>
          <w:jc w:val="center"/>
        </w:trPr>
        <w:tc>
          <w:tcPr>
            <w:tcW w:w="9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功能分类科目编码</w:t>
            </w:r>
          </w:p>
        </w:tc>
        <w:tc>
          <w:tcPr>
            <w:tcW w:w="2897" w:type="dxa"/>
            <w:vMerge w:val="restart"/>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170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656"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842"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小计</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基本支出</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项目支出</w:t>
            </w:r>
          </w:p>
        </w:tc>
        <w:tc>
          <w:tcPr>
            <w:tcW w:w="2709"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r>
      <w:tr w:rsidR="0049349C">
        <w:trPr>
          <w:trHeight w:val="318"/>
          <w:jc w:val="center"/>
        </w:trPr>
        <w:tc>
          <w:tcPr>
            <w:tcW w:w="953"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2897"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70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656"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84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84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84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2709"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r>
      <w:tr w:rsidR="0049349C">
        <w:trPr>
          <w:trHeight w:val="318"/>
          <w:jc w:val="center"/>
        </w:trPr>
        <w:tc>
          <w:tcPr>
            <w:tcW w:w="953"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2897"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70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656"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84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84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842"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2709" w:type="dxa"/>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r>
      <w:tr w:rsidR="0049349C">
        <w:trPr>
          <w:trHeight w:val="488"/>
          <w:jc w:val="center"/>
        </w:trPr>
        <w:tc>
          <w:tcPr>
            <w:tcW w:w="385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栏次</w:t>
            </w:r>
          </w:p>
        </w:tc>
        <w:tc>
          <w:tcPr>
            <w:tcW w:w="17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165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4</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5</w:t>
            </w:r>
          </w:p>
        </w:tc>
        <w:tc>
          <w:tcPr>
            <w:tcW w:w="270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6</w:t>
            </w:r>
          </w:p>
        </w:tc>
      </w:tr>
      <w:tr w:rsidR="0049349C">
        <w:trPr>
          <w:trHeight w:val="488"/>
          <w:jc w:val="center"/>
        </w:trPr>
        <w:tc>
          <w:tcPr>
            <w:tcW w:w="385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合计</w:t>
            </w:r>
          </w:p>
        </w:tc>
        <w:tc>
          <w:tcPr>
            <w:tcW w:w="17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c>
          <w:tcPr>
            <w:tcW w:w="165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c>
          <w:tcPr>
            <w:tcW w:w="270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r>
      <w:tr w:rsidR="0049349C">
        <w:trPr>
          <w:trHeight w:val="488"/>
          <w:jc w:val="center"/>
        </w:trPr>
        <w:tc>
          <w:tcPr>
            <w:tcW w:w="9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89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65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842"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709"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49349C">
        <w:trPr>
          <w:trHeight w:val="305"/>
          <w:jc w:val="center"/>
        </w:trPr>
        <w:tc>
          <w:tcPr>
            <w:tcW w:w="15442" w:type="dxa"/>
            <w:gridSpan w:val="10"/>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注：本表反映部门本年度政府性基金预算财政拨款收入、支出及结转和结余情况。</w:t>
            </w:r>
          </w:p>
        </w:tc>
      </w:tr>
      <w:tr w:rsidR="0049349C">
        <w:trPr>
          <w:trHeight w:val="259"/>
          <w:jc w:val="center"/>
        </w:trPr>
        <w:tc>
          <w:tcPr>
            <w:tcW w:w="509"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222"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222"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2897"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701"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656"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842"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842"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842"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2709"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r>
      <w:tr w:rsidR="0049349C">
        <w:trPr>
          <w:trHeight w:val="305"/>
          <w:jc w:val="center"/>
        </w:trPr>
        <w:tc>
          <w:tcPr>
            <w:tcW w:w="10891" w:type="dxa"/>
            <w:gridSpan w:val="8"/>
            <w:tcBorders>
              <w:top w:val="nil"/>
              <w:left w:val="nil"/>
              <w:bottom w:val="nil"/>
              <w:right w:val="nil"/>
            </w:tcBorders>
            <w:shd w:val="clear" w:color="auto" w:fill="auto"/>
            <w:noWrap/>
            <w:vAlign w:val="bottom"/>
          </w:tcPr>
          <w:p w:rsidR="0049349C" w:rsidRDefault="00D57BB8">
            <w:pPr>
              <w:widowControl/>
              <w:jc w:val="left"/>
              <w:rPr>
                <w:rFonts w:ascii="楷体" w:eastAsia="楷体" w:hAnsi="楷体" w:cs="Arial"/>
                <w:b/>
                <w:bCs/>
                <w:kern w:val="0"/>
                <w:sz w:val="24"/>
                <w:szCs w:val="24"/>
              </w:rPr>
            </w:pPr>
            <w:r>
              <w:rPr>
                <w:rFonts w:ascii="楷体" w:eastAsia="楷体" w:hAnsi="楷体" w:cs="Arial" w:hint="eastAsia"/>
                <w:b/>
                <w:bCs/>
                <w:kern w:val="0"/>
                <w:sz w:val="24"/>
                <w:szCs w:val="24"/>
              </w:rPr>
              <w:t>说明：我单位没有政府性基金收入，也没有使用政府性基金安排的支出，故本表无数据。</w:t>
            </w:r>
          </w:p>
        </w:tc>
        <w:tc>
          <w:tcPr>
            <w:tcW w:w="1842"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2709"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r>
    </w:tbl>
    <w:p w:rsidR="0049349C" w:rsidRDefault="00D57BB8">
      <w:pPr>
        <w:widowControl/>
        <w:jc w:val="left"/>
        <w:rPr>
          <w:rFonts w:ascii="黑体" w:eastAsia="黑体" w:hAnsi="黑体"/>
          <w:szCs w:val="21"/>
        </w:rPr>
      </w:pPr>
      <w:r>
        <w:rPr>
          <w:rFonts w:ascii="黑体" w:eastAsia="黑体" w:hAnsi="黑体"/>
          <w:szCs w:val="21"/>
        </w:rPr>
        <w:br w:type="page"/>
      </w:r>
    </w:p>
    <w:tbl>
      <w:tblPr>
        <w:tblW w:w="15224" w:type="dxa"/>
        <w:jc w:val="center"/>
        <w:tblLook w:val="04A0" w:firstRow="1" w:lastRow="0" w:firstColumn="1" w:lastColumn="0" w:noHBand="0" w:noVBand="1"/>
      </w:tblPr>
      <w:tblGrid>
        <w:gridCol w:w="1017"/>
        <w:gridCol w:w="1017"/>
        <w:gridCol w:w="1017"/>
        <w:gridCol w:w="1680"/>
        <w:gridCol w:w="3690"/>
        <w:gridCol w:w="2946"/>
        <w:gridCol w:w="3857"/>
      </w:tblGrid>
      <w:tr w:rsidR="0049349C">
        <w:trPr>
          <w:trHeight w:val="509"/>
          <w:jc w:val="center"/>
        </w:trPr>
        <w:tc>
          <w:tcPr>
            <w:tcW w:w="15224" w:type="dxa"/>
            <w:gridSpan w:val="7"/>
            <w:tcBorders>
              <w:top w:val="nil"/>
              <w:left w:val="nil"/>
              <w:bottom w:val="nil"/>
              <w:right w:val="nil"/>
            </w:tcBorders>
            <w:shd w:val="clear" w:color="000000" w:fill="FFFFFF"/>
            <w:noWrap/>
            <w:vAlign w:val="center"/>
          </w:tcPr>
          <w:p w:rsidR="0049349C" w:rsidRDefault="00D57BB8">
            <w:pPr>
              <w:widowControl/>
              <w:jc w:val="center"/>
              <w:rPr>
                <w:rFonts w:ascii="黑体" w:eastAsia="黑体" w:hAnsi="黑体" w:cs="Arial"/>
                <w:color w:val="000000"/>
                <w:kern w:val="0"/>
                <w:sz w:val="30"/>
                <w:szCs w:val="30"/>
              </w:rPr>
            </w:pPr>
            <w:r>
              <w:rPr>
                <w:rFonts w:ascii="黑体" w:eastAsia="黑体" w:hAnsi="黑体" w:cs="Arial" w:hint="eastAsia"/>
                <w:color w:val="000000"/>
                <w:kern w:val="0"/>
                <w:sz w:val="30"/>
                <w:szCs w:val="30"/>
              </w:rPr>
              <w:lastRenderedPageBreak/>
              <w:t>国有资本经营预算财政拨款支出决算表</w:t>
            </w:r>
          </w:p>
        </w:tc>
      </w:tr>
      <w:tr w:rsidR="0049349C">
        <w:trPr>
          <w:trHeight w:val="291"/>
          <w:jc w:val="center"/>
        </w:trPr>
        <w:tc>
          <w:tcPr>
            <w:tcW w:w="101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22"/>
              </w:rPr>
            </w:pPr>
            <w:r>
              <w:rPr>
                <w:rFonts w:ascii="宋体" w:eastAsia="宋体" w:hAnsi="宋体" w:cs="Arial" w:hint="eastAsia"/>
                <w:kern w:val="0"/>
                <w:sz w:val="22"/>
              </w:rPr>
              <w:t xml:space="preserve">　</w:t>
            </w:r>
          </w:p>
        </w:tc>
        <w:tc>
          <w:tcPr>
            <w:tcW w:w="101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1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69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946"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5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r>
      <w:tr w:rsidR="0049349C">
        <w:trPr>
          <w:trHeight w:val="291"/>
          <w:jc w:val="center"/>
        </w:trPr>
        <w:tc>
          <w:tcPr>
            <w:tcW w:w="101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1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017"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168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690"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2946"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57"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公开08表</w:t>
            </w:r>
          </w:p>
        </w:tc>
      </w:tr>
      <w:tr w:rsidR="0049349C">
        <w:trPr>
          <w:trHeight w:val="291"/>
          <w:jc w:val="center"/>
        </w:trPr>
        <w:tc>
          <w:tcPr>
            <w:tcW w:w="4731" w:type="dxa"/>
            <w:gridSpan w:val="4"/>
            <w:tcBorders>
              <w:top w:val="nil"/>
              <w:left w:val="nil"/>
              <w:bottom w:val="nil"/>
              <w:right w:val="nil"/>
            </w:tcBorders>
            <w:shd w:val="clear" w:color="000000" w:fill="FFFFFF"/>
            <w:noWrap/>
            <w:vAlign w:val="center"/>
          </w:tcPr>
          <w:p w:rsidR="0049349C" w:rsidRDefault="00D57BB8">
            <w:pPr>
              <w:widowControl/>
              <w:jc w:val="left"/>
              <w:rPr>
                <w:rFonts w:ascii="Arial" w:eastAsia="宋体" w:hAnsi="Arial" w:cs="Arial"/>
                <w:kern w:val="0"/>
                <w:sz w:val="20"/>
                <w:szCs w:val="20"/>
              </w:rPr>
            </w:pPr>
            <w:r>
              <w:rPr>
                <w:rFonts w:ascii="宋体" w:eastAsia="宋体" w:hAnsi="宋体" w:cs="Arial" w:hint="eastAsia"/>
                <w:color w:val="000000"/>
                <w:kern w:val="0"/>
                <w:sz w:val="22"/>
              </w:rPr>
              <w:t>部门：湖南省经济贸易高级技工学校</w:t>
            </w:r>
          </w:p>
        </w:tc>
        <w:tc>
          <w:tcPr>
            <w:tcW w:w="3690" w:type="dxa"/>
            <w:tcBorders>
              <w:top w:val="nil"/>
              <w:left w:val="nil"/>
              <w:bottom w:val="nil"/>
              <w:right w:val="nil"/>
            </w:tcBorders>
            <w:shd w:val="clear" w:color="000000" w:fill="FFFFFF"/>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2022年度</w:t>
            </w:r>
          </w:p>
        </w:tc>
        <w:tc>
          <w:tcPr>
            <w:tcW w:w="2946" w:type="dxa"/>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18"/>
                <w:szCs w:val="18"/>
              </w:rPr>
            </w:pPr>
            <w:r>
              <w:rPr>
                <w:rFonts w:ascii="宋体" w:eastAsia="宋体" w:hAnsi="宋体" w:cs="Arial" w:hint="eastAsia"/>
                <w:kern w:val="0"/>
                <w:sz w:val="18"/>
                <w:szCs w:val="18"/>
              </w:rPr>
              <w:t xml:space="preserve">　</w:t>
            </w:r>
          </w:p>
        </w:tc>
        <w:tc>
          <w:tcPr>
            <w:tcW w:w="3857" w:type="dxa"/>
            <w:tcBorders>
              <w:top w:val="nil"/>
              <w:left w:val="nil"/>
              <w:bottom w:val="nil"/>
              <w:right w:val="nil"/>
            </w:tcBorders>
            <w:shd w:val="clear" w:color="000000" w:fill="FFFFFF"/>
            <w:noWrap/>
            <w:vAlign w:val="center"/>
          </w:tcPr>
          <w:p w:rsidR="0049349C" w:rsidRDefault="00D57BB8">
            <w:pPr>
              <w:widowControl/>
              <w:jc w:val="right"/>
              <w:rPr>
                <w:rFonts w:ascii="宋体" w:eastAsia="宋体" w:hAnsi="宋体" w:cs="Arial"/>
                <w:color w:val="000000"/>
                <w:kern w:val="0"/>
                <w:sz w:val="22"/>
              </w:rPr>
            </w:pPr>
            <w:r>
              <w:rPr>
                <w:rFonts w:ascii="宋体" w:eastAsia="宋体" w:hAnsi="宋体" w:cs="Arial" w:hint="eastAsia"/>
                <w:color w:val="000000"/>
                <w:kern w:val="0"/>
                <w:sz w:val="22"/>
              </w:rPr>
              <w:t>单位：万元</w:t>
            </w:r>
          </w:p>
        </w:tc>
      </w:tr>
      <w:tr w:rsidR="0049349C">
        <w:trPr>
          <w:trHeight w:val="495"/>
          <w:jc w:val="center"/>
        </w:trPr>
        <w:tc>
          <w:tcPr>
            <w:tcW w:w="47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项目</w:t>
            </w:r>
          </w:p>
        </w:tc>
        <w:tc>
          <w:tcPr>
            <w:tcW w:w="10493" w:type="dxa"/>
            <w:gridSpan w:val="3"/>
            <w:tcBorders>
              <w:top w:val="single" w:sz="4" w:space="0" w:color="auto"/>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本年支出</w:t>
            </w:r>
          </w:p>
        </w:tc>
      </w:tr>
      <w:tr w:rsidR="0049349C">
        <w:trPr>
          <w:trHeight w:val="312"/>
          <w:jc w:val="center"/>
        </w:trPr>
        <w:tc>
          <w:tcPr>
            <w:tcW w:w="30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功能分类科目编码</w:t>
            </w:r>
          </w:p>
        </w:tc>
        <w:tc>
          <w:tcPr>
            <w:tcW w:w="1680" w:type="dxa"/>
            <w:vMerge w:val="restart"/>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科目名称</w:t>
            </w:r>
          </w:p>
        </w:tc>
        <w:tc>
          <w:tcPr>
            <w:tcW w:w="3690"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合计</w:t>
            </w:r>
          </w:p>
        </w:tc>
        <w:tc>
          <w:tcPr>
            <w:tcW w:w="2946"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基本支出</w:t>
            </w:r>
          </w:p>
        </w:tc>
        <w:tc>
          <w:tcPr>
            <w:tcW w:w="3857"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项目支出</w:t>
            </w:r>
          </w:p>
        </w:tc>
      </w:tr>
      <w:tr w:rsidR="0049349C">
        <w:trPr>
          <w:trHeight w:val="312"/>
          <w:jc w:val="center"/>
        </w:trPr>
        <w:tc>
          <w:tcPr>
            <w:tcW w:w="3051"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68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369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2946"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3857"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r>
      <w:tr w:rsidR="0049349C">
        <w:trPr>
          <w:trHeight w:val="312"/>
          <w:jc w:val="center"/>
        </w:trPr>
        <w:tc>
          <w:tcPr>
            <w:tcW w:w="3051" w:type="dxa"/>
            <w:gridSpan w:val="3"/>
            <w:vMerge/>
            <w:tcBorders>
              <w:top w:val="single" w:sz="4" w:space="0" w:color="auto"/>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168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3690"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2946"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c>
          <w:tcPr>
            <w:tcW w:w="3857"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kern w:val="0"/>
                <w:sz w:val="20"/>
                <w:szCs w:val="20"/>
              </w:rPr>
            </w:pPr>
          </w:p>
        </w:tc>
      </w:tr>
      <w:tr w:rsidR="0049349C">
        <w:trPr>
          <w:trHeight w:val="582"/>
          <w:jc w:val="center"/>
        </w:trPr>
        <w:tc>
          <w:tcPr>
            <w:tcW w:w="47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栏次</w:t>
            </w:r>
          </w:p>
        </w:tc>
        <w:tc>
          <w:tcPr>
            <w:tcW w:w="36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1</w:t>
            </w:r>
          </w:p>
        </w:tc>
        <w:tc>
          <w:tcPr>
            <w:tcW w:w="294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2</w:t>
            </w:r>
          </w:p>
        </w:tc>
        <w:tc>
          <w:tcPr>
            <w:tcW w:w="385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kern w:val="0"/>
                <w:sz w:val="20"/>
                <w:szCs w:val="20"/>
              </w:rPr>
            </w:pPr>
            <w:r>
              <w:rPr>
                <w:rFonts w:ascii="宋体" w:eastAsia="宋体" w:hAnsi="宋体" w:cs="Arial" w:hint="eastAsia"/>
                <w:kern w:val="0"/>
                <w:sz w:val="20"/>
                <w:szCs w:val="20"/>
              </w:rPr>
              <w:t>3</w:t>
            </w:r>
          </w:p>
        </w:tc>
      </w:tr>
      <w:tr w:rsidR="0049349C">
        <w:trPr>
          <w:trHeight w:val="582"/>
          <w:jc w:val="center"/>
        </w:trPr>
        <w:tc>
          <w:tcPr>
            <w:tcW w:w="47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合计</w:t>
            </w:r>
          </w:p>
        </w:tc>
        <w:tc>
          <w:tcPr>
            <w:tcW w:w="36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c>
          <w:tcPr>
            <w:tcW w:w="294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c>
          <w:tcPr>
            <w:tcW w:w="385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b/>
                <w:bCs/>
                <w:kern w:val="0"/>
                <w:sz w:val="20"/>
                <w:szCs w:val="20"/>
              </w:rPr>
            </w:pPr>
            <w:r>
              <w:rPr>
                <w:rFonts w:ascii="宋体" w:eastAsia="宋体" w:hAnsi="宋体" w:cs="Arial" w:hint="eastAsia"/>
                <w:b/>
                <w:bCs/>
                <w:kern w:val="0"/>
                <w:sz w:val="20"/>
                <w:szCs w:val="20"/>
              </w:rPr>
              <w:t xml:space="preserve">　</w:t>
            </w:r>
          </w:p>
        </w:tc>
      </w:tr>
      <w:tr w:rsidR="0049349C">
        <w:trPr>
          <w:trHeight w:val="582"/>
          <w:jc w:val="center"/>
        </w:trPr>
        <w:tc>
          <w:tcPr>
            <w:tcW w:w="30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168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3690"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2946"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c>
          <w:tcPr>
            <w:tcW w:w="3857"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right"/>
              <w:rPr>
                <w:rFonts w:ascii="宋体" w:eastAsia="宋体" w:hAnsi="宋体" w:cs="Arial"/>
                <w:kern w:val="0"/>
                <w:sz w:val="20"/>
                <w:szCs w:val="20"/>
              </w:rPr>
            </w:pPr>
            <w:r>
              <w:rPr>
                <w:rFonts w:ascii="宋体" w:eastAsia="宋体" w:hAnsi="宋体" w:cs="Arial" w:hint="eastAsia"/>
                <w:kern w:val="0"/>
                <w:sz w:val="20"/>
                <w:szCs w:val="20"/>
              </w:rPr>
              <w:t xml:space="preserve">　</w:t>
            </w:r>
          </w:p>
        </w:tc>
      </w:tr>
      <w:tr w:rsidR="0049349C">
        <w:trPr>
          <w:trHeight w:val="291"/>
          <w:jc w:val="center"/>
        </w:trPr>
        <w:tc>
          <w:tcPr>
            <w:tcW w:w="15224" w:type="dxa"/>
            <w:gridSpan w:val="7"/>
            <w:tcBorders>
              <w:top w:val="nil"/>
              <w:left w:val="nil"/>
              <w:bottom w:val="nil"/>
              <w:right w:val="nil"/>
            </w:tcBorders>
            <w:shd w:val="clear" w:color="000000" w:fill="FFFFFF"/>
            <w:noWrap/>
            <w:vAlign w:val="center"/>
          </w:tcPr>
          <w:p w:rsidR="0049349C" w:rsidRDefault="00D57BB8">
            <w:pPr>
              <w:widowControl/>
              <w:jc w:val="left"/>
              <w:rPr>
                <w:rFonts w:ascii="宋体" w:eastAsia="宋体" w:hAnsi="宋体" w:cs="Arial"/>
                <w:kern w:val="0"/>
                <w:sz w:val="20"/>
                <w:szCs w:val="20"/>
              </w:rPr>
            </w:pPr>
            <w:r>
              <w:rPr>
                <w:rFonts w:ascii="宋体" w:eastAsia="宋体" w:hAnsi="宋体" w:cs="Arial" w:hint="eastAsia"/>
                <w:kern w:val="0"/>
                <w:sz w:val="20"/>
                <w:szCs w:val="20"/>
              </w:rPr>
              <w:t>注：本表反映部门本年度国有资本经营预算财政拨款支出情况。</w:t>
            </w:r>
          </w:p>
        </w:tc>
      </w:tr>
      <w:tr w:rsidR="0049349C">
        <w:trPr>
          <w:trHeight w:val="247"/>
          <w:jc w:val="center"/>
        </w:trPr>
        <w:tc>
          <w:tcPr>
            <w:tcW w:w="1017"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017"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017"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1680"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3690"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2946"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3857"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r>
      <w:tr w:rsidR="0049349C">
        <w:trPr>
          <w:trHeight w:val="291"/>
          <w:jc w:val="center"/>
        </w:trPr>
        <w:tc>
          <w:tcPr>
            <w:tcW w:w="8421" w:type="dxa"/>
            <w:gridSpan w:val="5"/>
            <w:tcBorders>
              <w:top w:val="nil"/>
              <w:left w:val="nil"/>
              <w:bottom w:val="nil"/>
              <w:right w:val="nil"/>
            </w:tcBorders>
            <w:shd w:val="clear" w:color="auto" w:fill="auto"/>
            <w:noWrap/>
            <w:vAlign w:val="bottom"/>
          </w:tcPr>
          <w:p w:rsidR="0049349C" w:rsidRDefault="00D57BB8">
            <w:pPr>
              <w:widowControl/>
              <w:jc w:val="left"/>
              <w:rPr>
                <w:rFonts w:ascii="楷体" w:eastAsia="楷体" w:hAnsi="楷体" w:cs="Arial"/>
                <w:b/>
                <w:bCs/>
                <w:kern w:val="0"/>
                <w:sz w:val="24"/>
                <w:szCs w:val="24"/>
              </w:rPr>
            </w:pPr>
            <w:r>
              <w:rPr>
                <w:rFonts w:ascii="楷体" w:eastAsia="楷体" w:hAnsi="楷体" w:cs="Arial" w:hint="eastAsia"/>
                <w:b/>
                <w:bCs/>
                <w:kern w:val="0"/>
                <w:sz w:val="24"/>
                <w:szCs w:val="24"/>
              </w:rPr>
              <w:t>说明：我单位没有使用国有资本经营预算安排的支出，故本表无数据。</w:t>
            </w:r>
          </w:p>
        </w:tc>
        <w:tc>
          <w:tcPr>
            <w:tcW w:w="2946"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c>
          <w:tcPr>
            <w:tcW w:w="3857" w:type="dxa"/>
            <w:tcBorders>
              <w:top w:val="nil"/>
              <w:left w:val="nil"/>
              <w:bottom w:val="nil"/>
              <w:right w:val="nil"/>
            </w:tcBorders>
            <w:shd w:val="clear" w:color="auto" w:fill="auto"/>
            <w:noWrap/>
            <w:vAlign w:val="bottom"/>
          </w:tcPr>
          <w:p w:rsidR="0049349C" w:rsidRDefault="0049349C">
            <w:pPr>
              <w:widowControl/>
              <w:jc w:val="left"/>
              <w:rPr>
                <w:rFonts w:ascii="Arial" w:eastAsia="宋体" w:hAnsi="Arial" w:cs="Arial"/>
                <w:kern w:val="0"/>
                <w:sz w:val="20"/>
                <w:szCs w:val="20"/>
              </w:rPr>
            </w:pPr>
          </w:p>
        </w:tc>
      </w:tr>
    </w:tbl>
    <w:p w:rsidR="0049349C" w:rsidRDefault="0049349C">
      <w:pPr>
        <w:widowControl/>
        <w:jc w:val="left"/>
      </w:pPr>
    </w:p>
    <w:p w:rsidR="0049349C" w:rsidRDefault="00D57BB8">
      <w:pPr>
        <w:widowControl/>
        <w:jc w:val="left"/>
      </w:pPr>
      <w:r>
        <w:br w:type="page"/>
      </w:r>
    </w:p>
    <w:tbl>
      <w:tblPr>
        <w:tblW w:w="15254" w:type="dxa"/>
        <w:jc w:val="center"/>
        <w:tblLook w:val="04A0" w:firstRow="1" w:lastRow="0" w:firstColumn="1" w:lastColumn="0" w:noHBand="0" w:noVBand="1"/>
      </w:tblPr>
      <w:tblGrid>
        <w:gridCol w:w="1271"/>
        <w:gridCol w:w="1271"/>
        <w:gridCol w:w="1271"/>
        <w:gridCol w:w="1271"/>
        <w:gridCol w:w="1271"/>
        <w:gridCol w:w="1272"/>
        <w:gridCol w:w="1271"/>
        <w:gridCol w:w="1271"/>
        <w:gridCol w:w="1271"/>
        <w:gridCol w:w="1271"/>
        <w:gridCol w:w="1271"/>
        <w:gridCol w:w="1272"/>
      </w:tblGrid>
      <w:tr w:rsidR="0049349C">
        <w:trPr>
          <w:trHeight w:val="378"/>
          <w:jc w:val="center"/>
        </w:trPr>
        <w:tc>
          <w:tcPr>
            <w:tcW w:w="15254" w:type="dxa"/>
            <w:gridSpan w:val="12"/>
            <w:tcBorders>
              <w:top w:val="nil"/>
              <w:left w:val="nil"/>
              <w:bottom w:val="nil"/>
              <w:right w:val="nil"/>
            </w:tcBorders>
            <w:shd w:val="clear" w:color="auto" w:fill="auto"/>
            <w:noWrap/>
            <w:vAlign w:val="center"/>
          </w:tcPr>
          <w:p w:rsidR="0049349C" w:rsidRDefault="00D57BB8">
            <w:pPr>
              <w:widowControl/>
              <w:jc w:val="center"/>
              <w:rPr>
                <w:rFonts w:ascii="宋体" w:eastAsia="宋体" w:hAnsi="宋体" w:cs="Arial"/>
                <w:kern w:val="0"/>
                <w:sz w:val="18"/>
                <w:szCs w:val="18"/>
              </w:rPr>
            </w:pPr>
            <w:r>
              <w:rPr>
                <w:rFonts w:ascii="黑体" w:eastAsia="黑体" w:hAnsi="黑体" w:cs="Arial" w:hint="eastAsia"/>
                <w:kern w:val="0"/>
                <w:sz w:val="30"/>
                <w:szCs w:val="30"/>
              </w:rPr>
              <w:lastRenderedPageBreak/>
              <w:t>一般公共预算财政拨款“三公”经费支出决算表</w:t>
            </w:r>
          </w:p>
        </w:tc>
      </w:tr>
      <w:tr w:rsidR="0049349C">
        <w:trPr>
          <w:trHeight w:val="303"/>
          <w:jc w:val="center"/>
        </w:trPr>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22"/>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D57BB8">
            <w:pPr>
              <w:widowControl/>
              <w:jc w:val="right"/>
              <w:rPr>
                <w:rFonts w:ascii="宋体" w:eastAsia="宋体" w:hAnsi="宋体" w:cs="Arial"/>
                <w:kern w:val="0"/>
                <w:sz w:val="22"/>
              </w:rPr>
            </w:pPr>
            <w:r>
              <w:rPr>
                <w:rFonts w:ascii="宋体" w:eastAsia="宋体" w:hAnsi="宋体" w:cs="Arial" w:hint="eastAsia"/>
                <w:kern w:val="0"/>
                <w:sz w:val="22"/>
              </w:rPr>
              <w:t>公开09表</w:t>
            </w:r>
          </w:p>
        </w:tc>
      </w:tr>
      <w:tr w:rsidR="0049349C">
        <w:trPr>
          <w:trHeight w:val="439"/>
          <w:jc w:val="center"/>
        </w:trPr>
        <w:tc>
          <w:tcPr>
            <w:tcW w:w="3813" w:type="dxa"/>
            <w:gridSpan w:val="3"/>
            <w:tcBorders>
              <w:top w:val="nil"/>
              <w:left w:val="nil"/>
              <w:bottom w:val="nil"/>
              <w:right w:val="nil"/>
            </w:tcBorders>
            <w:shd w:val="clear" w:color="auto" w:fill="auto"/>
            <w:noWrap/>
            <w:vAlign w:val="center"/>
          </w:tcPr>
          <w:p w:rsidR="0049349C" w:rsidRDefault="00D57BB8">
            <w:pPr>
              <w:widowControl/>
              <w:jc w:val="left"/>
              <w:rPr>
                <w:rFonts w:ascii="宋体" w:eastAsia="宋体" w:hAnsi="宋体" w:cs="Arial"/>
                <w:kern w:val="0"/>
                <w:sz w:val="22"/>
              </w:rPr>
            </w:pPr>
            <w:r>
              <w:rPr>
                <w:rFonts w:ascii="宋体" w:eastAsia="宋体" w:hAnsi="宋体" w:cs="Arial" w:hint="eastAsia"/>
                <w:kern w:val="0"/>
                <w:sz w:val="22"/>
              </w:rPr>
              <w:t>部门：湖南省经济贸易高级技工学校</w:t>
            </w: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center"/>
              <w:rPr>
                <w:rFonts w:ascii="宋体" w:eastAsia="宋体" w:hAnsi="宋体" w:cs="Arial"/>
                <w:kern w:val="0"/>
                <w:sz w:val="22"/>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49349C">
            <w:pPr>
              <w:widowControl/>
              <w:jc w:val="left"/>
              <w:rPr>
                <w:rFonts w:ascii="宋体" w:eastAsia="宋体" w:hAnsi="宋体" w:cs="Arial"/>
                <w:kern w:val="0"/>
                <w:sz w:val="18"/>
                <w:szCs w:val="18"/>
              </w:rPr>
            </w:pPr>
          </w:p>
        </w:tc>
        <w:tc>
          <w:tcPr>
            <w:tcW w:w="1271" w:type="dxa"/>
            <w:tcBorders>
              <w:top w:val="nil"/>
              <w:left w:val="nil"/>
              <w:bottom w:val="nil"/>
              <w:right w:val="nil"/>
            </w:tcBorders>
            <w:shd w:val="clear" w:color="auto" w:fill="auto"/>
            <w:noWrap/>
            <w:vAlign w:val="center"/>
          </w:tcPr>
          <w:p w:rsidR="0049349C" w:rsidRDefault="00D57BB8">
            <w:pPr>
              <w:widowControl/>
              <w:jc w:val="right"/>
              <w:rPr>
                <w:rFonts w:ascii="宋体" w:eastAsia="宋体" w:hAnsi="宋体" w:cs="Arial"/>
                <w:kern w:val="0"/>
                <w:sz w:val="22"/>
              </w:rPr>
            </w:pPr>
            <w:r>
              <w:rPr>
                <w:rFonts w:ascii="宋体" w:eastAsia="宋体" w:hAnsi="宋体" w:cs="Arial" w:hint="eastAsia"/>
                <w:kern w:val="0"/>
                <w:sz w:val="22"/>
              </w:rPr>
              <w:t>单位：万元</w:t>
            </w:r>
          </w:p>
        </w:tc>
      </w:tr>
      <w:tr w:rsidR="0049349C">
        <w:trPr>
          <w:trHeight w:val="439"/>
          <w:jc w:val="center"/>
        </w:trPr>
        <w:tc>
          <w:tcPr>
            <w:tcW w:w="76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预算数</w:t>
            </w:r>
          </w:p>
        </w:tc>
        <w:tc>
          <w:tcPr>
            <w:tcW w:w="7627" w:type="dxa"/>
            <w:gridSpan w:val="6"/>
            <w:tcBorders>
              <w:top w:val="single" w:sz="4" w:space="0" w:color="auto"/>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决算数</w:t>
            </w:r>
          </w:p>
        </w:tc>
      </w:tr>
      <w:tr w:rsidR="0049349C">
        <w:trPr>
          <w:trHeight w:val="303"/>
          <w:jc w:val="center"/>
        </w:trPr>
        <w:tc>
          <w:tcPr>
            <w:tcW w:w="1271"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合计</w:t>
            </w:r>
          </w:p>
        </w:tc>
        <w:tc>
          <w:tcPr>
            <w:tcW w:w="1271"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因公出国（境）费</w:t>
            </w:r>
          </w:p>
        </w:tc>
        <w:tc>
          <w:tcPr>
            <w:tcW w:w="3813" w:type="dxa"/>
            <w:gridSpan w:val="3"/>
            <w:tcBorders>
              <w:top w:val="single" w:sz="4" w:space="0" w:color="auto"/>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公务用车购置及运行维护费</w:t>
            </w:r>
          </w:p>
        </w:tc>
        <w:tc>
          <w:tcPr>
            <w:tcW w:w="1271"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公务接待费</w:t>
            </w:r>
          </w:p>
        </w:tc>
        <w:tc>
          <w:tcPr>
            <w:tcW w:w="1271"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合计</w:t>
            </w:r>
          </w:p>
        </w:tc>
        <w:tc>
          <w:tcPr>
            <w:tcW w:w="1271"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因公出国（境）费</w:t>
            </w:r>
          </w:p>
        </w:tc>
        <w:tc>
          <w:tcPr>
            <w:tcW w:w="3813" w:type="dxa"/>
            <w:gridSpan w:val="3"/>
            <w:tcBorders>
              <w:top w:val="single" w:sz="4" w:space="0" w:color="auto"/>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公务用车购置及运行维护费</w:t>
            </w:r>
          </w:p>
        </w:tc>
        <w:tc>
          <w:tcPr>
            <w:tcW w:w="1271" w:type="dxa"/>
            <w:vMerge w:val="restart"/>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公务接待费</w:t>
            </w:r>
          </w:p>
        </w:tc>
      </w:tr>
      <w:tr w:rsidR="0049349C">
        <w:trPr>
          <w:trHeight w:val="606"/>
          <w:jc w:val="center"/>
        </w:trPr>
        <w:tc>
          <w:tcPr>
            <w:tcW w:w="127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7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小计</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公务用车购置费</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公务用车运行维护费</w:t>
            </w:r>
          </w:p>
        </w:tc>
        <w:tc>
          <w:tcPr>
            <w:tcW w:w="127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7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7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小计</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公务用车购置费</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公务用车运行维护费</w:t>
            </w:r>
          </w:p>
        </w:tc>
        <w:tc>
          <w:tcPr>
            <w:tcW w:w="1271" w:type="dxa"/>
            <w:vMerge/>
            <w:tcBorders>
              <w:top w:val="nil"/>
              <w:left w:val="single" w:sz="4" w:space="0" w:color="auto"/>
              <w:bottom w:val="single" w:sz="4" w:space="0" w:color="auto"/>
              <w:right w:val="single" w:sz="4" w:space="0" w:color="auto"/>
            </w:tcBorders>
            <w:vAlign w:val="center"/>
          </w:tcPr>
          <w:p w:rsidR="0049349C" w:rsidRDefault="0049349C">
            <w:pPr>
              <w:widowControl/>
              <w:jc w:val="left"/>
              <w:rPr>
                <w:rFonts w:ascii="宋体" w:eastAsia="宋体" w:hAnsi="宋体" w:cs="Arial"/>
                <w:color w:val="000000"/>
                <w:kern w:val="0"/>
                <w:sz w:val="22"/>
              </w:rPr>
            </w:pPr>
          </w:p>
        </w:tc>
      </w:tr>
      <w:tr w:rsidR="0049349C">
        <w:trPr>
          <w:trHeight w:val="696"/>
          <w:jc w:val="center"/>
        </w:trPr>
        <w:tc>
          <w:tcPr>
            <w:tcW w:w="1271" w:type="dxa"/>
            <w:tcBorders>
              <w:top w:val="nil"/>
              <w:left w:val="single" w:sz="4" w:space="0" w:color="auto"/>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3</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5</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6</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7</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8</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9</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10</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11</w:t>
            </w:r>
          </w:p>
        </w:tc>
        <w:tc>
          <w:tcPr>
            <w:tcW w:w="1271" w:type="dxa"/>
            <w:tcBorders>
              <w:top w:val="nil"/>
              <w:left w:val="nil"/>
              <w:bottom w:val="single" w:sz="4" w:space="0" w:color="auto"/>
              <w:right w:val="single" w:sz="4" w:space="0" w:color="auto"/>
            </w:tcBorders>
            <w:shd w:val="clear" w:color="auto" w:fill="auto"/>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12</w:t>
            </w:r>
          </w:p>
        </w:tc>
      </w:tr>
      <w:tr w:rsidR="0049349C">
        <w:trPr>
          <w:trHeight w:val="696"/>
          <w:jc w:val="center"/>
        </w:trPr>
        <w:tc>
          <w:tcPr>
            <w:tcW w:w="1271" w:type="dxa"/>
            <w:tcBorders>
              <w:top w:val="nil"/>
              <w:left w:val="single" w:sz="4" w:space="0" w:color="auto"/>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4.05</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2.05</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2.05</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2.00</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4.05</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2.05</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0.00</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2.05</w:t>
            </w:r>
          </w:p>
        </w:tc>
        <w:tc>
          <w:tcPr>
            <w:tcW w:w="1271" w:type="dxa"/>
            <w:tcBorders>
              <w:top w:val="nil"/>
              <w:left w:val="nil"/>
              <w:bottom w:val="single" w:sz="4" w:space="0" w:color="auto"/>
              <w:right w:val="single" w:sz="4" w:space="0" w:color="auto"/>
            </w:tcBorders>
            <w:shd w:val="clear" w:color="auto" w:fill="auto"/>
            <w:noWrap/>
            <w:vAlign w:val="center"/>
          </w:tcPr>
          <w:p w:rsidR="0049349C" w:rsidRDefault="00D57BB8">
            <w:pPr>
              <w:widowControl/>
              <w:jc w:val="center"/>
              <w:rPr>
                <w:rFonts w:ascii="宋体" w:eastAsia="宋体" w:hAnsi="宋体" w:cs="Arial"/>
                <w:color w:val="000000"/>
                <w:kern w:val="0"/>
                <w:sz w:val="22"/>
              </w:rPr>
            </w:pPr>
            <w:r>
              <w:rPr>
                <w:rFonts w:ascii="宋体" w:eastAsia="宋体" w:hAnsi="宋体" w:cs="Arial" w:hint="eastAsia"/>
                <w:color w:val="000000"/>
                <w:kern w:val="0"/>
                <w:sz w:val="22"/>
              </w:rPr>
              <w:t>2.00</w:t>
            </w:r>
          </w:p>
        </w:tc>
      </w:tr>
      <w:tr w:rsidR="0049349C">
        <w:trPr>
          <w:trHeight w:val="727"/>
          <w:jc w:val="center"/>
        </w:trPr>
        <w:tc>
          <w:tcPr>
            <w:tcW w:w="15254" w:type="dxa"/>
            <w:gridSpan w:val="12"/>
            <w:tcBorders>
              <w:top w:val="single" w:sz="4" w:space="0" w:color="auto"/>
              <w:left w:val="nil"/>
              <w:bottom w:val="nil"/>
              <w:right w:val="nil"/>
            </w:tcBorders>
            <w:shd w:val="clear" w:color="auto" w:fill="auto"/>
            <w:vAlign w:val="center"/>
          </w:tcPr>
          <w:p w:rsidR="0049349C" w:rsidRDefault="00D57BB8">
            <w:pPr>
              <w:widowControl/>
              <w:jc w:val="left"/>
              <w:rPr>
                <w:rFonts w:ascii="宋体" w:eastAsia="宋体" w:hAnsi="宋体" w:cs="Arial"/>
                <w:color w:val="000000"/>
                <w:kern w:val="0"/>
                <w:sz w:val="22"/>
              </w:rPr>
            </w:pPr>
            <w:r>
              <w:rPr>
                <w:rFonts w:ascii="宋体" w:eastAsia="宋体" w:hAnsi="宋体" w:cs="Arial" w:hint="eastAsia"/>
                <w:color w:val="000000"/>
                <w:kern w:val="0"/>
                <w:sz w:val="22"/>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rsidR="0049349C" w:rsidRDefault="00D57BB8">
      <w:pPr>
        <w:widowControl/>
        <w:jc w:val="left"/>
        <w:sectPr w:rsidR="0049349C">
          <w:pgSz w:w="16838" w:h="11906" w:orient="landscape"/>
          <w:pgMar w:top="720" w:right="720" w:bottom="720" w:left="720" w:header="851" w:footer="992" w:gutter="0"/>
          <w:cols w:space="425"/>
          <w:docGrid w:type="lines" w:linePitch="312"/>
        </w:sectPr>
      </w:pPr>
      <w:r>
        <w:br w:type="page"/>
      </w:r>
    </w:p>
    <w:p w:rsidR="0049349C" w:rsidRDefault="0049349C">
      <w:pPr>
        <w:pStyle w:val="Default"/>
        <w:rPr>
          <w:sz w:val="72"/>
          <w:szCs w:val="72"/>
        </w:rPr>
      </w:pPr>
    </w:p>
    <w:p w:rsidR="0049349C" w:rsidRDefault="0049349C">
      <w:pPr>
        <w:pStyle w:val="Default"/>
        <w:rPr>
          <w:sz w:val="72"/>
          <w:szCs w:val="72"/>
        </w:rPr>
      </w:pPr>
    </w:p>
    <w:p w:rsidR="0049349C" w:rsidRDefault="0049349C">
      <w:pPr>
        <w:pStyle w:val="Default"/>
        <w:rPr>
          <w:sz w:val="72"/>
          <w:szCs w:val="72"/>
        </w:rPr>
      </w:pPr>
    </w:p>
    <w:p w:rsidR="0049349C" w:rsidRDefault="0049349C">
      <w:pPr>
        <w:pStyle w:val="Default"/>
        <w:rPr>
          <w:sz w:val="72"/>
          <w:szCs w:val="72"/>
        </w:rPr>
      </w:pPr>
    </w:p>
    <w:p w:rsidR="0049349C" w:rsidRDefault="0049349C">
      <w:pPr>
        <w:pStyle w:val="Default"/>
        <w:jc w:val="center"/>
        <w:rPr>
          <w:sz w:val="72"/>
          <w:szCs w:val="72"/>
        </w:rPr>
      </w:pPr>
    </w:p>
    <w:p w:rsidR="0049349C" w:rsidRDefault="0049349C">
      <w:pPr>
        <w:pStyle w:val="Default"/>
        <w:jc w:val="center"/>
        <w:rPr>
          <w:sz w:val="72"/>
          <w:szCs w:val="72"/>
        </w:rPr>
      </w:pPr>
    </w:p>
    <w:p w:rsidR="0049349C" w:rsidRDefault="00D57BB8">
      <w:pPr>
        <w:pStyle w:val="Default"/>
        <w:jc w:val="center"/>
        <w:rPr>
          <w:sz w:val="72"/>
          <w:szCs w:val="72"/>
        </w:rPr>
      </w:pPr>
      <w:r>
        <w:rPr>
          <w:rFonts w:hint="eastAsia"/>
          <w:sz w:val="72"/>
          <w:szCs w:val="72"/>
        </w:rPr>
        <w:t>第三部分</w:t>
      </w:r>
    </w:p>
    <w:p w:rsidR="0049349C" w:rsidRDefault="0049349C">
      <w:pPr>
        <w:pStyle w:val="Default"/>
        <w:jc w:val="center"/>
        <w:rPr>
          <w:sz w:val="70"/>
          <w:szCs w:val="70"/>
        </w:rPr>
      </w:pPr>
    </w:p>
    <w:p w:rsidR="0049349C" w:rsidRDefault="00D57BB8">
      <w:pPr>
        <w:pStyle w:val="Default"/>
        <w:jc w:val="center"/>
        <w:rPr>
          <w:sz w:val="70"/>
          <w:szCs w:val="70"/>
        </w:rPr>
      </w:pPr>
      <w:r>
        <w:rPr>
          <w:sz w:val="70"/>
          <w:szCs w:val="70"/>
        </w:rPr>
        <w:t>2022</w:t>
      </w:r>
      <w:r>
        <w:rPr>
          <w:rFonts w:hint="eastAsia"/>
          <w:sz w:val="70"/>
          <w:szCs w:val="70"/>
        </w:rPr>
        <w:t>年度部门决算情况说明</w:t>
      </w:r>
    </w:p>
    <w:p w:rsidR="0049349C" w:rsidRDefault="00D57BB8">
      <w:pPr>
        <w:widowControl/>
        <w:jc w:val="left"/>
        <w:rPr>
          <w:rFonts w:ascii="黑体" w:eastAsia="黑体" w:cs="黑体"/>
          <w:color w:val="000000"/>
          <w:kern w:val="0"/>
          <w:sz w:val="70"/>
          <w:szCs w:val="70"/>
        </w:rPr>
      </w:pPr>
      <w:r>
        <w:rPr>
          <w:sz w:val="70"/>
          <w:szCs w:val="70"/>
        </w:rPr>
        <w:br w:type="page"/>
      </w:r>
    </w:p>
    <w:p w:rsidR="0049349C" w:rsidRDefault="0049349C">
      <w:pPr>
        <w:pStyle w:val="Default"/>
        <w:rPr>
          <w:rFonts w:asciiTheme="minorEastAsia" w:eastAsiaTheme="minorEastAsia" w:hAnsiTheme="minorEastAsia"/>
          <w:sz w:val="32"/>
          <w:szCs w:val="32"/>
        </w:rPr>
      </w:pPr>
    </w:p>
    <w:p w:rsidR="0049349C" w:rsidRDefault="00D57BB8">
      <w:pPr>
        <w:pStyle w:val="Default"/>
        <w:rPr>
          <w:rFonts w:hAnsi="黑体"/>
          <w:b/>
          <w:sz w:val="32"/>
          <w:szCs w:val="32"/>
        </w:rPr>
      </w:pPr>
      <w:r>
        <w:rPr>
          <w:rFonts w:hAnsi="黑体" w:hint="eastAsia"/>
          <w:b/>
          <w:sz w:val="32"/>
          <w:szCs w:val="32"/>
        </w:rPr>
        <w:t>一、收入支出决算总体情况说明</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2022年度收、支总计5036.44万元，与上年相比，增加711.86万元，增加16.46%，主要是粮油千亿项目增加300万元；其他收入粮食行业产学研一体化科教中心建设资金增收了400万元。</w:t>
      </w:r>
    </w:p>
    <w:p w:rsidR="0049349C" w:rsidRDefault="00D57BB8">
      <w:pPr>
        <w:pStyle w:val="Default"/>
        <w:rPr>
          <w:rFonts w:hAnsi="黑体"/>
          <w:b/>
          <w:sz w:val="32"/>
          <w:szCs w:val="32"/>
        </w:rPr>
      </w:pPr>
      <w:r>
        <w:rPr>
          <w:rFonts w:hAnsi="黑体" w:hint="eastAsia"/>
          <w:b/>
          <w:sz w:val="32"/>
          <w:szCs w:val="32"/>
        </w:rPr>
        <w:t>二、收入决算情况说明</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2022年度收入合计4952.30万元，其中：财政拨款4186.65万元，占84.54%；事业收入163.19万元，占3.29%；经营收入165.86万元，占3.35%；其他收入436.60万元，占8.82%。</w:t>
      </w:r>
    </w:p>
    <w:p w:rsidR="0049349C" w:rsidRDefault="00D57BB8">
      <w:pPr>
        <w:pStyle w:val="Default"/>
        <w:rPr>
          <w:rFonts w:hAnsi="黑体"/>
          <w:b/>
          <w:sz w:val="32"/>
          <w:szCs w:val="32"/>
        </w:rPr>
      </w:pPr>
      <w:r>
        <w:rPr>
          <w:rFonts w:hAnsi="黑体" w:hint="eastAsia"/>
          <w:b/>
          <w:sz w:val="32"/>
          <w:szCs w:val="32"/>
        </w:rPr>
        <w:t>三、支出决算情况说明</w:t>
      </w:r>
    </w:p>
    <w:p w:rsidR="0049349C" w:rsidRDefault="00D57BB8">
      <w:pPr>
        <w:snapToGrid w:val="0"/>
        <w:spacing w:line="560" w:lineRule="exact"/>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2022年度支出合计4563.79万元，其中：基本支出2194.70万元，占48.09%；项目支出2179.56万元，占47.76%；经营支出189.54万元，占4.15%。</w:t>
      </w:r>
    </w:p>
    <w:p w:rsidR="0049349C" w:rsidRDefault="00D57BB8">
      <w:pPr>
        <w:pStyle w:val="Default"/>
        <w:rPr>
          <w:rFonts w:hAnsi="黑体"/>
          <w:b/>
          <w:sz w:val="32"/>
          <w:szCs w:val="32"/>
        </w:rPr>
      </w:pPr>
      <w:r>
        <w:rPr>
          <w:rFonts w:hAnsi="黑体" w:hint="eastAsia"/>
          <w:b/>
          <w:sz w:val="32"/>
          <w:szCs w:val="32"/>
        </w:rPr>
        <w:t>四、财政拨款收入支出决算总体情况说明</w:t>
      </w:r>
    </w:p>
    <w:p w:rsidR="0049349C" w:rsidRDefault="00D57BB8">
      <w:pPr>
        <w:snapToGrid w:val="0"/>
        <w:spacing w:line="560" w:lineRule="exact"/>
        <w:ind w:firstLineChars="200" w:firstLine="640"/>
        <w:rPr>
          <w:rFonts w:asciiTheme="minorEastAsia" w:hAnsiTheme="minorEastAsia"/>
          <w:sz w:val="32"/>
          <w:szCs w:val="32"/>
        </w:rPr>
      </w:pPr>
      <w:r>
        <w:rPr>
          <w:rFonts w:asciiTheme="minorEastAsia" w:hAnsiTheme="minorEastAsia" w:hint="eastAsia"/>
          <w:sz w:val="32"/>
          <w:szCs w:val="32"/>
        </w:rPr>
        <w:t>2022年度财政拨款收、支总计4341.61万元，与上年相比，增加433.46万元，增加11.09%，主要是因为年</w:t>
      </w:r>
      <w:proofErr w:type="gramStart"/>
      <w:r>
        <w:rPr>
          <w:rFonts w:asciiTheme="minorEastAsia" w:hAnsiTheme="minorEastAsia" w:hint="eastAsia"/>
          <w:sz w:val="32"/>
          <w:szCs w:val="32"/>
        </w:rPr>
        <w:t>初生均</w:t>
      </w:r>
      <w:proofErr w:type="gramEnd"/>
      <w:r>
        <w:rPr>
          <w:rFonts w:asciiTheme="minorEastAsia" w:hAnsiTheme="minorEastAsia" w:hint="eastAsia"/>
          <w:sz w:val="32"/>
          <w:szCs w:val="32"/>
        </w:rPr>
        <w:t>拨款资金增加120万元，粮油千亿项目增加300万元。</w:t>
      </w:r>
    </w:p>
    <w:p w:rsidR="0049349C" w:rsidRDefault="00D57BB8">
      <w:pPr>
        <w:pStyle w:val="Default"/>
        <w:rPr>
          <w:rFonts w:hAnsi="黑体"/>
          <w:b/>
          <w:sz w:val="32"/>
          <w:szCs w:val="32"/>
        </w:rPr>
      </w:pPr>
      <w:r>
        <w:rPr>
          <w:rFonts w:hAnsi="黑体" w:hint="eastAsia"/>
          <w:b/>
          <w:sz w:val="32"/>
          <w:szCs w:val="32"/>
        </w:rPr>
        <w:t>五、一般公共预算财政拨款支出决算情况说明</w:t>
      </w:r>
    </w:p>
    <w:p w:rsidR="0049349C" w:rsidRDefault="00D57BB8" w:rsidP="00713F77">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2022年度财政拨款支出3761.39万元，占本年支出合计的82.42%，与上年相比，财政拨款支出增加8.20万元，增加0.22%，基本持平。</w:t>
      </w:r>
    </w:p>
    <w:p w:rsidR="0049349C" w:rsidRDefault="00D57BB8" w:rsidP="00713F77">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2022年度财政拨款支出3761.39万元，主要用于以下方面：教育（类）支出2928.94万元，占77.87%；社会保障和就业（类）支出208.74万元，占5.55%；住房保障（类）支出145.80万元，占3.88%；粮油物资储备（类）支</w:t>
      </w:r>
      <w:r>
        <w:rPr>
          <w:rFonts w:asciiTheme="minorEastAsia" w:eastAsiaTheme="minorEastAsia" w:hAnsiTheme="minorEastAsia" w:hint="eastAsia"/>
          <w:sz w:val="32"/>
          <w:szCs w:val="32"/>
        </w:rPr>
        <w:lastRenderedPageBreak/>
        <w:t>出477.91万元，占12.70%。</w:t>
      </w:r>
      <w:r>
        <w:rPr>
          <w:rFonts w:asciiTheme="minorEastAsia" w:eastAsiaTheme="minorEastAsia" w:hAnsiTheme="minorEastAsia" w:hint="eastAsia"/>
          <w:color w:val="00B0F0"/>
          <w:sz w:val="32"/>
          <w:szCs w:val="32"/>
        </w:rPr>
        <w:t xml:space="preserve">  </w:t>
      </w:r>
    </w:p>
    <w:p w:rsidR="0049349C" w:rsidRDefault="00D57BB8" w:rsidP="00713F77">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2022年度财政拨款支出年初预算数为1796.44万元，支出决算数为3761.39万元，完成年初预算的209.38%，其中：</w:t>
      </w:r>
    </w:p>
    <w:p w:rsidR="0049349C" w:rsidRDefault="00D57BB8">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1、教育支出（类）职业教育（款）中等职业教育（项）。</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年初预算为0万元，支出决算为1196.01万元，</w:t>
      </w:r>
      <w:r w:rsidR="00310527" w:rsidRPr="00E72E3B">
        <w:rPr>
          <w:rFonts w:asciiTheme="minorEastAsia" w:eastAsiaTheme="minorEastAsia" w:hAnsiTheme="minorEastAsia" w:hint="eastAsia"/>
          <w:color w:val="auto"/>
          <w:sz w:val="32"/>
          <w:szCs w:val="32"/>
        </w:rPr>
        <w:t>由于预算数为0万元，无法计算百分比</w:t>
      </w:r>
      <w:r w:rsidR="00310527">
        <w:rPr>
          <w:rFonts w:asciiTheme="minorEastAsia" w:eastAsiaTheme="minorEastAsia" w:hAnsiTheme="minorEastAsia" w:hint="eastAsia"/>
          <w:color w:val="auto"/>
          <w:sz w:val="32"/>
          <w:szCs w:val="32"/>
        </w:rPr>
        <w:t>，</w:t>
      </w:r>
      <w:r>
        <w:rPr>
          <w:rFonts w:asciiTheme="minorEastAsia" w:eastAsiaTheme="minorEastAsia" w:hAnsiTheme="minorEastAsia" w:hint="eastAsia"/>
          <w:sz w:val="32"/>
          <w:szCs w:val="32"/>
        </w:rPr>
        <w:t>决算数大于年初预算数的主要原因是：财政年中追加了</w:t>
      </w:r>
      <w:proofErr w:type="gramStart"/>
      <w:r>
        <w:rPr>
          <w:rFonts w:asciiTheme="minorEastAsia" w:eastAsiaTheme="minorEastAsia" w:hAnsiTheme="minorEastAsia" w:hint="eastAsia"/>
          <w:sz w:val="32"/>
          <w:szCs w:val="32"/>
        </w:rPr>
        <w:t>中职免学费</w:t>
      </w:r>
      <w:proofErr w:type="gramEnd"/>
      <w:r>
        <w:rPr>
          <w:rFonts w:asciiTheme="minorEastAsia" w:eastAsiaTheme="minorEastAsia" w:hAnsiTheme="minorEastAsia" w:hint="eastAsia"/>
          <w:sz w:val="32"/>
          <w:szCs w:val="32"/>
        </w:rPr>
        <w:t>资金、学生资助补助经费及新冠肺炎疫情防控补助经费。</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2、教育支出（类）职业教育（款）技校教育（项）。</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年初预算为1198.64万元，支出决算为1732.93万元，完成年初预算的144.57%，决算数大于年初预算数的主要原因是：财政年中追加了改善中职办学条件及中职学生</w:t>
      </w:r>
      <w:proofErr w:type="gramStart"/>
      <w:r>
        <w:rPr>
          <w:rFonts w:asciiTheme="minorEastAsia" w:eastAsiaTheme="minorEastAsia" w:hAnsiTheme="minorEastAsia" w:hint="eastAsia"/>
          <w:sz w:val="32"/>
          <w:szCs w:val="32"/>
        </w:rPr>
        <w:t>生</w:t>
      </w:r>
      <w:proofErr w:type="gramEnd"/>
      <w:r>
        <w:rPr>
          <w:rFonts w:asciiTheme="minorEastAsia" w:eastAsiaTheme="minorEastAsia" w:hAnsiTheme="minorEastAsia" w:hint="eastAsia"/>
          <w:sz w:val="32"/>
          <w:szCs w:val="32"/>
        </w:rPr>
        <w:t>均拨款资金。</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3、社会保障和就业支出（类）行政事业单位养老支出（款）机关事业单位基本养老保险缴费支出（项）。</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年初预算为152万元，支出决算为152万元，完成年初预算的100%。</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4、社会保障和就业支出（类）就业补助（款）其他就业补助支出（项）。</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年初预算为0万元，支出决算为56.74万元，</w:t>
      </w:r>
      <w:r w:rsidR="00310527" w:rsidRPr="00E72E3B">
        <w:rPr>
          <w:rFonts w:asciiTheme="minorEastAsia" w:eastAsiaTheme="minorEastAsia" w:hAnsiTheme="minorEastAsia" w:hint="eastAsia"/>
          <w:color w:val="auto"/>
          <w:sz w:val="32"/>
          <w:szCs w:val="32"/>
        </w:rPr>
        <w:t>由于</w:t>
      </w:r>
      <w:r w:rsidR="008B516A">
        <w:rPr>
          <w:rFonts w:asciiTheme="minorEastAsia" w:eastAsiaTheme="minorEastAsia" w:hAnsiTheme="minorEastAsia" w:hint="eastAsia"/>
          <w:sz w:val="32"/>
          <w:szCs w:val="32"/>
        </w:rPr>
        <w:t>年初</w:t>
      </w:r>
      <w:r w:rsidR="00310527" w:rsidRPr="00E72E3B">
        <w:rPr>
          <w:rFonts w:asciiTheme="minorEastAsia" w:eastAsiaTheme="minorEastAsia" w:hAnsiTheme="minorEastAsia" w:hint="eastAsia"/>
          <w:color w:val="auto"/>
          <w:sz w:val="32"/>
          <w:szCs w:val="32"/>
        </w:rPr>
        <w:t>预算数为0万元，无法计算百分比</w:t>
      </w:r>
      <w:r w:rsidR="00310527">
        <w:rPr>
          <w:rFonts w:asciiTheme="minorEastAsia" w:eastAsiaTheme="minorEastAsia" w:hAnsiTheme="minorEastAsia" w:hint="eastAsia"/>
          <w:color w:val="auto"/>
          <w:sz w:val="32"/>
          <w:szCs w:val="32"/>
        </w:rPr>
        <w:t>，</w:t>
      </w:r>
      <w:r>
        <w:rPr>
          <w:rFonts w:asciiTheme="minorEastAsia" w:eastAsiaTheme="minorEastAsia" w:hAnsiTheme="minorEastAsia" w:hint="eastAsia"/>
          <w:sz w:val="32"/>
          <w:szCs w:val="32"/>
        </w:rPr>
        <w:t>决算数大于年初预算数的主要原因是：该项支出资金为财政年中追加安排的技工院校实训补贴资金。</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5、住房保障支出（类）住房改革支出（款）住房公积金（项）。</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年初预算为145.8万元，支出决算为145.8万元，完成年初预算的100%。</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6、粮油物资储备支出（类）粮油物资事务（款）事业运行（项）。</w:t>
      </w:r>
    </w:p>
    <w:p w:rsidR="0049349C" w:rsidRDefault="00D57BB8">
      <w:pPr>
        <w:pStyle w:val="Default"/>
        <w:ind w:firstLineChars="250" w:firstLine="800"/>
        <w:rPr>
          <w:rFonts w:asciiTheme="minorEastAsia" w:eastAsiaTheme="minorEastAsia" w:hAnsiTheme="minorEastAsia"/>
          <w:color w:val="0000FF"/>
          <w:sz w:val="32"/>
          <w:szCs w:val="32"/>
        </w:rPr>
      </w:pPr>
      <w:r>
        <w:rPr>
          <w:rFonts w:asciiTheme="minorEastAsia" w:eastAsiaTheme="minorEastAsia" w:hAnsiTheme="minorEastAsia" w:hint="eastAsia"/>
          <w:sz w:val="32"/>
          <w:szCs w:val="32"/>
        </w:rPr>
        <w:t>年初预算为0万元，支出决算为130.81万元，</w:t>
      </w:r>
      <w:r w:rsidR="00310527" w:rsidRPr="00E72E3B">
        <w:rPr>
          <w:rFonts w:asciiTheme="minorEastAsia" w:eastAsiaTheme="minorEastAsia" w:hAnsiTheme="minorEastAsia" w:hint="eastAsia"/>
          <w:color w:val="auto"/>
          <w:sz w:val="32"/>
          <w:szCs w:val="32"/>
        </w:rPr>
        <w:t>由于</w:t>
      </w:r>
      <w:r w:rsidR="008B516A">
        <w:rPr>
          <w:rFonts w:asciiTheme="minorEastAsia" w:eastAsiaTheme="minorEastAsia" w:hAnsiTheme="minorEastAsia" w:hint="eastAsia"/>
          <w:sz w:val="32"/>
          <w:szCs w:val="32"/>
        </w:rPr>
        <w:t>年初</w:t>
      </w:r>
      <w:bookmarkStart w:id="0" w:name="_GoBack"/>
      <w:bookmarkEnd w:id="0"/>
      <w:r w:rsidR="00310527" w:rsidRPr="00E72E3B">
        <w:rPr>
          <w:rFonts w:asciiTheme="minorEastAsia" w:eastAsiaTheme="minorEastAsia" w:hAnsiTheme="minorEastAsia" w:hint="eastAsia"/>
          <w:color w:val="auto"/>
          <w:sz w:val="32"/>
          <w:szCs w:val="32"/>
        </w:rPr>
        <w:t>预算数为0万元，无法计算百分比</w:t>
      </w:r>
      <w:r w:rsidR="00310527">
        <w:rPr>
          <w:rFonts w:asciiTheme="minorEastAsia" w:eastAsiaTheme="minorEastAsia" w:hAnsiTheme="minorEastAsia" w:hint="eastAsia"/>
          <w:color w:val="auto"/>
          <w:sz w:val="32"/>
          <w:szCs w:val="32"/>
        </w:rPr>
        <w:t>，</w:t>
      </w:r>
      <w:r>
        <w:rPr>
          <w:rFonts w:asciiTheme="minorEastAsia" w:eastAsiaTheme="minorEastAsia" w:hAnsiTheme="minorEastAsia" w:hint="eastAsia"/>
          <w:sz w:val="32"/>
          <w:szCs w:val="32"/>
        </w:rPr>
        <w:t>决算数大于年初预算数的主要原因是：该项支出资金为财</w:t>
      </w:r>
      <w:r>
        <w:rPr>
          <w:rFonts w:asciiTheme="minorEastAsia" w:eastAsiaTheme="minorEastAsia" w:hAnsiTheme="minorEastAsia" w:hint="eastAsia"/>
          <w:sz w:val="32"/>
          <w:szCs w:val="32"/>
        </w:rPr>
        <w:lastRenderedPageBreak/>
        <w:t>政年中追加安排的改善中职办学条件、电路水管改造和数控设备升级改造补助、省级机关事业单位基本工资等资金。</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7、粮油物资储备支出（类）粮油事务（款）其他粮油物资事务支出（项）。</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年初预算为300万元，支出决算为347.10万元，完成年初预算的115.70%，决算数大于年初预算数的主要原因是：该项支出资金为财政年中追加了省直事业单位经费补助。</w:t>
      </w:r>
    </w:p>
    <w:p w:rsidR="0049349C" w:rsidRDefault="00D57BB8">
      <w:pPr>
        <w:pStyle w:val="Default"/>
        <w:rPr>
          <w:rFonts w:hAnsi="黑体"/>
          <w:b/>
          <w:sz w:val="32"/>
          <w:szCs w:val="32"/>
        </w:rPr>
      </w:pPr>
      <w:r>
        <w:rPr>
          <w:rFonts w:hAnsi="黑体" w:hint="eastAsia"/>
          <w:b/>
          <w:sz w:val="32"/>
          <w:szCs w:val="32"/>
        </w:rPr>
        <w:t>六、一般公共预算财政拨款基本支出决算情况说明</w:t>
      </w:r>
    </w:p>
    <w:p w:rsidR="0049349C" w:rsidRDefault="00D57BB8">
      <w:pPr>
        <w:widowControl/>
        <w:ind w:firstLineChars="200" w:firstLine="640"/>
        <w:rPr>
          <w:rFonts w:asciiTheme="minorEastAsia" w:hAnsiTheme="minorEastAsia"/>
          <w:sz w:val="32"/>
          <w:szCs w:val="32"/>
        </w:rPr>
      </w:pPr>
      <w:r>
        <w:rPr>
          <w:rFonts w:asciiTheme="minorEastAsia" w:hAnsiTheme="minorEastAsia" w:hint="eastAsia"/>
          <w:sz w:val="32"/>
          <w:szCs w:val="32"/>
        </w:rPr>
        <w:t>2022年度财政拨款基本支出2031.45万元，其中：</w:t>
      </w:r>
    </w:p>
    <w:p w:rsidR="0049349C" w:rsidRDefault="00D57BB8">
      <w:pPr>
        <w:widowControl/>
        <w:ind w:firstLineChars="200" w:firstLine="640"/>
        <w:rPr>
          <w:rFonts w:asciiTheme="minorEastAsia" w:hAnsiTheme="minorEastAsia"/>
          <w:sz w:val="32"/>
          <w:szCs w:val="32"/>
        </w:rPr>
      </w:pPr>
      <w:r>
        <w:rPr>
          <w:rFonts w:asciiTheme="minorEastAsia" w:hAnsiTheme="minorEastAsia" w:hint="eastAsia"/>
          <w:sz w:val="32"/>
          <w:szCs w:val="32"/>
        </w:rPr>
        <w:t>人员经费1797.05万元，</w:t>
      </w:r>
      <w:proofErr w:type="gramStart"/>
      <w:r>
        <w:rPr>
          <w:rFonts w:asciiTheme="minorEastAsia" w:hAnsiTheme="minorEastAsia" w:hint="eastAsia"/>
          <w:sz w:val="32"/>
          <w:szCs w:val="32"/>
        </w:rPr>
        <w:t>占基本</w:t>
      </w:r>
      <w:proofErr w:type="gramEnd"/>
      <w:r>
        <w:rPr>
          <w:rFonts w:asciiTheme="minorEastAsia" w:hAnsiTheme="minorEastAsia" w:hint="eastAsia"/>
          <w:sz w:val="32"/>
          <w:szCs w:val="32"/>
        </w:rPr>
        <w:t>支出的88.46%,主要包括基本工资、津贴补贴、奖金、</w:t>
      </w:r>
      <w:r>
        <w:rPr>
          <w:rFonts w:ascii="宋体" w:eastAsia="宋体" w:hAnsi="宋体" w:hint="eastAsia"/>
          <w:sz w:val="32"/>
          <w:szCs w:val="32"/>
          <w:lang w:val="zh-CN"/>
        </w:rPr>
        <w:t>绩效工资、住房公积金、伙食补助费、机关事业单位基本养老保险等各项社保缴费、</w:t>
      </w:r>
      <w:r>
        <w:rPr>
          <w:rFonts w:asciiTheme="minorEastAsia" w:hAnsiTheme="minorEastAsia" w:hint="eastAsia"/>
          <w:sz w:val="32"/>
          <w:szCs w:val="32"/>
        </w:rPr>
        <w:t>离休费、医疗费补助、奖励金等。</w:t>
      </w:r>
    </w:p>
    <w:p w:rsidR="0049349C" w:rsidRDefault="00D57BB8">
      <w:pPr>
        <w:widowControl/>
        <w:ind w:firstLineChars="200" w:firstLine="640"/>
        <w:rPr>
          <w:rFonts w:asciiTheme="minorEastAsia" w:hAnsiTheme="minorEastAsia"/>
          <w:sz w:val="32"/>
          <w:szCs w:val="32"/>
        </w:rPr>
      </w:pPr>
      <w:r>
        <w:rPr>
          <w:rFonts w:asciiTheme="minorEastAsia" w:hAnsiTheme="minorEastAsia" w:hint="eastAsia"/>
          <w:sz w:val="32"/>
          <w:szCs w:val="32"/>
        </w:rPr>
        <w:t>公用经费234.40万元，</w:t>
      </w:r>
      <w:proofErr w:type="gramStart"/>
      <w:r>
        <w:rPr>
          <w:rFonts w:asciiTheme="minorEastAsia" w:hAnsiTheme="minorEastAsia" w:hint="eastAsia"/>
          <w:sz w:val="32"/>
          <w:szCs w:val="32"/>
        </w:rPr>
        <w:t>占基本</w:t>
      </w:r>
      <w:proofErr w:type="gramEnd"/>
      <w:r>
        <w:rPr>
          <w:rFonts w:asciiTheme="minorEastAsia" w:hAnsiTheme="minorEastAsia" w:hint="eastAsia"/>
          <w:sz w:val="32"/>
          <w:szCs w:val="32"/>
        </w:rPr>
        <w:t>支出的11.54%，主要包括办公费、印刷费、水费、物业管理费、维修（护）费、差旅费、培训费、劳务费、其他交通费、公务用车运行维护费、工会经费、福利费、</w:t>
      </w:r>
      <w:r>
        <w:rPr>
          <w:rFonts w:ascii="宋体" w:eastAsia="宋体" w:hAnsi="宋体" w:hint="eastAsia"/>
          <w:sz w:val="32"/>
          <w:szCs w:val="32"/>
          <w:lang w:val="zh-CN"/>
        </w:rPr>
        <w:t>公务接待费、其他商品和服务支出、办公设备购置、专用设备购置等。</w:t>
      </w:r>
    </w:p>
    <w:p w:rsidR="0049349C" w:rsidRDefault="00D57BB8">
      <w:pPr>
        <w:pStyle w:val="Default"/>
        <w:rPr>
          <w:rFonts w:hAnsi="黑体"/>
          <w:b/>
          <w:sz w:val="32"/>
          <w:szCs w:val="32"/>
        </w:rPr>
      </w:pPr>
      <w:r>
        <w:rPr>
          <w:rFonts w:hAnsi="黑体" w:hint="eastAsia"/>
          <w:b/>
          <w:sz w:val="32"/>
          <w:szCs w:val="32"/>
        </w:rPr>
        <w:t>七、财政拨款“三公”经费支出决算情况说明</w:t>
      </w:r>
    </w:p>
    <w:p w:rsidR="0049349C" w:rsidRDefault="00D57BB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49349C" w:rsidRDefault="00D57BB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2022年度“三公”经费财政拨款支出预算为4.05万元，支出决算为4.05万元，完成预算的100%，其中：</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w:t>
      </w:r>
      <w:r w:rsidR="00713F77" w:rsidRPr="00E72E3B">
        <w:rPr>
          <w:rFonts w:asciiTheme="minorEastAsia" w:eastAsiaTheme="minorEastAsia" w:hAnsiTheme="minorEastAsia" w:hint="eastAsia"/>
          <w:color w:val="auto"/>
          <w:sz w:val="32"/>
          <w:szCs w:val="32"/>
        </w:rPr>
        <w:t>由于预算数为0万元，无法计算百分比。与上年相比持平</w:t>
      </w:r>
      <w:r w:rsidR="00713F77">
        <w:rPr>
          <w:rFonts w:asciiTheme="minorEastAsia" w:eastAsiaTheme="minorEastAsia" w:hAnsiTheme="minorEastAsia" w:hint="eastAsia"/>
          <w:color w:val="auto"/>
          <w:sz w:val="32"/>
          <w:szCs w:val="32"/>
        </w:rPr>
        <w:t>，主要原因是本年度</w:t>
      </w:r>
      <w:r w:rsidR="00713F77" w:rsidRPr="00E72E3B">
        <w:rPr>
          <w:rFonts w:asciiTheme="minorEastAsia" w:eastAsiaTheme="minorEastAsia" w:hAnsiTheme="minorEastAsia" w:hint="eastAsia"/>
          <w:color w:val="auto"/>
          <w:sz w:val="32"/>
          <w:szCs w:val="32"/>
        </w:rPr>
        <w:t>没有安排因公出国（境）。</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公务接待费支出预算为2万元，支出决算为2万元，完成预算的100%，决算数与上年相同。</w:t>
      </w:r>
    </w:p>
    <w:p w:rsidR="0049349C" w:rsidRPr="00713F77" w:rsidRDefault="00D57BB8" w:rsidP="00713F77">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lastRenderedPageBreak/>
        <w:t>公务用车购置费支出预算为0万元，支出决算为0万元，</w:t>
      </w:r>
      <w:r w:rsidR="00713F77" w:rsidRPr="00E72E3B">
        <w:rPr>
          <w:rFonts w:asciiTheme="minorEastAsia" w:eastAsiaTheme="minorEastAsia" w:hAnsiTheme="minorEastAsia" w:hint="eastAsia"/>
          <w:color w:val="auto"/>
          <w:sz w:val="32"/>
          <w:szCs w:val="32"/>
        </w:rPr>
        <w:t>由于预算数为0万元，无法计算百分比。与上年相比持平，主要原因是本年度没有公务用车购置的预算</w:t>
      </w:r>
      <w:r>
        <w:rPr>
          <w:rFonts w:asciiTheme="minorEastAsia" w:eastAsiaTheme="minorEastAsia" w:hAnsiTheme="minorEastAsia" w:hint="eastAsia"/>
          <w:sz w:val="32"/>
          <w:szCs w:val="32"/>
        </w:rPr>
        <w:t>。</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公务用车运行维护费支出预算为2.05万元，支出决算为2.05万元，完成预算的100%</w:t>
      </w:r>
      <w:r w:rsidR="004C114E">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与上年相比减少0.45万元，减少18%，减少的主要原因是厉行节约，减少支出。</w:t>
      </w:r>
    </w:p>
    <w:p w:rsidR="0049349C" w:rsidRDefault="00D57BB8">
      <w:pPr>
        <w:snapToGrid w:val="0"/>
        <w:spacing w:line="560" w:lineRule="exact"/>
        <w:jc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2021年与2022年“三公”经费预决算对比情况</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3012"/>
        <w:gridCol w:w="1361"/>
        <w:gridCol w:w="1357"/>
        <w:gridCol w:w="1143"/>
        <w:gridCol w:w="1144"/>
      </w:tblGrid>
      <w:tr w:rsidR="0049349C">
        <w:trPr>
          <w:trHeight w:val="570"/>
          <w:jc w:val="center"/>
        </w:trPr>
        <w:tc>
          <w:tcPr>
            <w:tcW w:w="3012" w:type="dxa"/>
            <w:vMerge w:val="restart"/>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项目</w:t>
            </w:r>
          </w:p>
        </w:tc>
        <w:tc>
          <w:tcPr>
            <w:tcW w:w="2718" w:type="dxa"/>
            <w:gridSpan w:val="2"/>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预算（万元）</w:t>
            </w:r>
          </w:p>
        </w:tc>
        <w:tc>
          <w:tcPr>
            <w:tcW w:w="2287" w:type="dxa"/>
            <w:gridSpan w:val="2"/>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决算（万元）</w:t>
            </w:r>
          </w:p>
        </w:tc>
      </w:tr>
      <w:tr w:rsidR="0049349C">
        <w:trPr>
          <w:trHeight w:val="570"/>
          <w:jc w:val="center"/>
        </w:trPr>
        <w:tc>
          <w:tcPr>
            <w:tcW w:w="3012" w:type="dxa"/>
            <w:vMerge/>
            <w:tcBorders>
              <w:top w:val="single" w:sz="4" w:space="0" w:color="000000"/>
              <w:left w:val="single" w:sz="4" w:space="0" w:color="000000"/>
              <w:bottom w:val="single" w:sz="4" w:space="0" w:color="000000"/>
              <w:right w:val="single" w:sz="4" w:space="0" w:color="000000"/>
            </w:tcBorders>
            <w:vAlign w:val="center"/>
          </w:tcPr>
          <w:p w:rsidR="0049349C" w:rsidRDefault="0049349C">
            <w:pPr>
              <w:jc w:val="center"/>
              <w:rPr>
                <w:rFonts w:asciiTheme="minorEastAsia" w:hAnsiTheme="minorEastAsia" w:cs="黑体"/>
                <w:color w:val="000000"/>
                <w:kern w:val="0"/>
                <w:sz w:val="32"/>
                <w:szCs w:val="32"/>
              </w:rPr>
            </w:pPr>
          </w:p>
        </w:tc>
        <w:tc>
          <w:tcPr>
            <w:tcW w:w="1361"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2021年</w:t>
            </w:r>
          </w:p>
        </w:tc>
        <w:tc>
          <w:tcPr>
            <w:tcW w:w="1357"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2022年</w:t>
            </w:r>
          </w:p>
        </w:tc>
        <w:tc>
          <w:tcPr>
            <w:tcW w:w="1143"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2021年</w:t>
            </w:r>
          </w:p>
        </w:tc>
        <w:tc>
          <w:tcPr>
            <w:tcW w:w="1144"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2022年</w:t>
            </w:r>
          </w:p>
        </w:tc>
      </w:tr>
      <w:tr w:rsidR="0049349C">
        <w:trPr>
          <w:trHeight w:val="570"/>
          <w:jc w:val="center"/>
        </w:trPr>
        <w:tc>
          <w:tcPr>
            <w:tcW w:w="3012"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公务接待费</w:t>
            </w:r>
          </w:p>
        </w:tc>
        <w:tc>
          <w:tcPr>
            <w:tcW w:w="1361"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w:t>
            </w:r>
          </w:p>
        </w:tc>
        <w:tc>
          <w:tcPr>
            <w:tcW w:w="1357"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w:t>
            </w:r>
          </w:p>
        </w:tc>
        <w:tc>
          <w:tcPr>
            <w:tcW w:w="1143"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w:t>
            </w:r>
          </w:p>
        </w:tc>
        <w:tc>
          <w:tcPr>
            <w:tcW w:w="1144"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w:t>
            </w:r>
          </w:p>
        </w:tc>
      </w:tr>
      <w:tr w:rsidR="0049349C">
        <w:trPr>
          <w:trHeight w:val="570"/>
          <w:jc w:val="center"/>
        </w:trPr>
        <w:tc>
          <w:tcPr>
            <w:tcW w:w="3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因公出国（境）费用</w:t>
            </w:r>
          </w:p>
        </w:tc>
        <w:tc>
          <w:tcPr>
            <w:tcW w:w="1361"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0</w:t>
            </w:r>
          </w:p>
        </w:tc>
        <w:tc>
          <w:tcPr>
            <w:tcW w:w="1357"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0</w:t>
            </w:r>
          </w:p>
        </w:tc>
        <w:tc>
          <w:tcPr>
            <w:tcW w:w="1143"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0</w:t>
            </w:r>
          </w:p>
        </w:tc>
        <w:tc>
          <w:tcPr>
            <w:tcW w:w="1144"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0</w:t>
            </w:r>
          </w:p>
        </w:tc>
      </w:tr>
      <w:tr w:rsidR="0049349C">
        <w:trPr>
          <w:trHeight w:val="570"/>
          <w:jc w:val="center"/>
        </w:trPr>
        <w:tc>
          <w:tcPr>
            <w:tcW w:w="3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公务用车运行维护费</w:t>
            </w:r>
          </w:p>
        </w:tc>
        <w:tc>
          <w:tcPr>
            <w:tcW w:w="1361"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2.5</w:t>
            </w:r>
          </w:p>
        </w:tc>
        <w:tc>
          <w:tcPr>
            <w:tcW w:w="1357"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2.05</w:t>
            </w:r>
          </w:p>
        </w:tc>
        <w:tc>
          <w:tcPr>
            <w:tcW w:w="1143"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2.5</w:t>
            </w:r>
          </w:p>
        </w:tc>
        <w:tc>
          <w:tcPr>
            <w:tcW w:w="1144"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2.05</w:t>
            </w:r>
          </w:p>
        </w:tc>
      </w:tr>
      <w:tr w:rsidR="0049349C">
        <w:trPr>
          <w:trHeight w:val="570"/>
          <w:jc w:val="center"/>
        </w:trPr>
        <w:tc>
          <w:tcPr>
            <w:tcW w:w="3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合计</w:t>
            </w:r>
          </w:p>
        </w:tc>
        <w:tc>
          <w:tcPr>
            <w:tcW w:w="1361"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4.5</w:t>
            </w:r>
          </w:p>
        </w:tc>
        <w:tc>
          <w:tcPr>
            <w:tcW w:w="1357"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4.05</w:t>
            </w:r>
          </w:p>
        </w:tc>
        <w:tc>
          <w:tcPr>
            <w:tcW w:w="1143"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4.5</w:t>
            </w:r>
          </w:p>
        </w:tc>
        <w:tc>
          <w:tcPr>
            <w:tcW w:w="1144" w:type="dxa"/>
            <w:tcBorders>
              <w:top w:val="single" w:sz="4" w:space="0" w:color="000000"/>
              <w:left w:val="single" w:sz="4" w:space="0" w:color="000000"/>
              <w:bottom w:val="single" w:sz="4" w:space="0" w:color="000000"/>
              <w:right w:val="single" w:sz="4" w:space="0" w:color="000000"/>
            </w:tcBorders>
            <w:vAlign w:val="center"/>
          </w:tcPr>
          <w:p w:rsidR="0049349C" w:rsidRDefault="00D57BB8">
            <w:pPr>
              <w:widowControl/>
              <w:jc w:val="center"/>
              <w:textAlignment w:val="center"/>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4.05</w:t>
            </w:r>
          </w:p>
        </w:tc>
      </w:tr>
    </w:tbl>
    <w:p w:rsidR="0049349C" w:rsidRDefault="00D57BB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2022年度“三公”经费财政拨款支出决算中，公务接待费支出决算2万元，占49.38%,因公出国（境）费支出决算0万元，占0%,公务用车购置费及运行维护费支出决算2.05万元，占50.62%。其中：</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w:t>
      </w:r>
      <w:r w:rsidR="00713F77" w:rsidRPr="00E72E3B">
        <w:rPr>
          <w:rFonts w:asciiTheme="minorEastAsia" w:eastAsiaTheme="minorEastAsia" w:hAnsiTheme="minorEastAsia" w:hint="eastAsia"/>
          <w:color w:val="auto"/>
          <w:sz w:val="32"/>
          <w:szCs w:val="32"/>
        </w:rPr>
        <w:t>全年安排因公出国（境）团组0个，累计0人次，开支内容包括：无。</w:t>
      </w:r>
    </w:p>
    <w:p w:rsidR="0049349C" w:rsidRDefault="00D57BB8">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2、公务接待费支出决算为2万元，</w:t>
      </w:r>
      <w:r>
        <w:rPr>
          <w:rFonts w:asciiTheme="minorEastAsia" w:eastAsiaTheme="minorEastAsia" w:hAnsiTheme="minorEastAsia" w:hint="eastAsia"/>
          <w:color w:val="auto"/>
          <w:sz w:val="32"/>
          <w:szCs w:val="32"/>
        </w:rPr>
        <w:t>全年共接待来访团组23批次、来宾242人次，主要是相关部门检查指导工作、校企合作以</w:t>
      </w:r>
      <w:r>
        <w:rPr>
          <w:rFonts w:asciiTheme="minorEastAsia" w:eastAsiaTheme="minorEastAsia" w:hAnsiTheme="minorEastAsia" w:hint="eastAsia"/>
          <w:sz w:val="32"/>
          <w:szCs w:val="32"/>
        </w:rPr>
        <w:t>及接待学生家长等发生的接待支出。</w:t>
      </w:r>
    </w:p>
    <w:p w:rsidR="0049349C" w:rsidRDefault="00D57BB8">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3、公务用车购置费及运行维护费支出决算为2.05万元，其中：公务用车购置费0万元</w:t>
      </w:r>
      <w:r w:rsidR="00713F77">
        <w:rPr>
          <w:rFonts w:asciiTheme="minorEastAsia" w:hAnsiTheme="minorEastAsia" w:hint="eastAsia"/>
          <w:sz w:val="32"/>
          <w:szCs w:val="32"/>
        </w:rPr>
        <w:t>，</w:t>
      </w:r>
      <w:r w:rsidR="00713F77" w:rsidRPr="00E72E3B">
        <w:rPr>
          <w:rFonts w:asciiTheme="minorEastAsia" w:hAnsiTheme="minorEastAsia" w:hint="eastAsia"/>
          <w:sz w:val="32"/>
          <w:szCs w:val="32"/>
        </w:rPr>
        <w:t>湖南省经济贸易高级技工学校更新公务用车0辆</w:t>
      </w:r>
      <w:r>
        <w:rPr>
          <w:rFonts w:asciiTheme="minorEastAsia" w:hAnsiTheme="minorEastAsia" w:hint="eastAsia"/>
          <w:sz w:val="32"/>
          <w:szCs w:val="32"/>
        </w:rPr>
        <w:t>。公</w:t>
      </w:r>
      <w:r>
        <w:rPr>
          <w:rFonts w:asciiTheme="minorEastAsia" w:hAnsiTheme="minorEastAsia" w:hint="eastAsia"/>
          <w:sz w:val="32"/>
          <w:szCs w:val="32"/>
        </w:rPr>
        <w:lastRenderedPageBreak/>
        <w:t>务用车运行维护费2.05万元，主要是公务用车的燃料费、维修费、过桥过路费、保险费、ETC费、停车费等支出，截止2022年12月31日，我单位开支财政拨款的公务用车保有量为2辆。</w:t>
      </w:r>
    </w:p>
    <w:p w:rsidR="0049349C" w:rsidRDefault="00D57BB8">
      <w:pPr>
        <w:pStyle w:val="Default"/>
        <w:rPr>
          <w:rFonts w:hAnsi="黑体"/>
          <w:b/>
          <w:sz w:val="32"/>
          <w:szCs w:val="32"/>
        </w:rPr>
      </w:pPr>
      <w:r>
        <w:rPr>
          <w:rFonts w:hAnsi="黑体" w:hint="eastAsia"/>
          <w:b/>
          <w:sz w:val="32"/>
          <w:szCs w:val="32"/>
        </w:rPr>
        <w:t>八、政府性基金预算收入支出决算情况</w:t>
      </w:r>
    </w:p>
    <w:p w:rsidR="0049349C" w:rsidRDefault="00D57BB8">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本单位无政府性基金收支。</w:t>
      </w:r>
    </w:p>
    <w:p w:rsidR="0049349C" w:rsidRDefault="00D57BB8">
      <w:pPr>
        <w:pStyle w:val="Default"/>
        <w:rPr>
          <w:rFonts w:hAnsi="黑体"/>
          <w:b/>
          <w:sz w:val="32"/>
          <w:szCs w:val="32"/>
        </w:rPr>
      </w:pPr>
      <w:r>
        <w:rPr>
          <w:rFonts w:hAnsi="黑体" w:hint="eastAsia"/>
          <w:b/>
          <w:sz w:val="32"/>
          <w:szCs w:val="32"/>
        </w:rPr>
        <w:t>九、机关运行经费支出说明</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我单位为非参照公务员管理的事业单位，</w:t>
      </w:r>
      <w:proofErr w:type="gramStart"/>
      <w:r>
        <w:rPr>
          <w:rFonts w:asciiTheme="minorEastAsia" w:eastAsiaTheme="minorEastAsia" w:hAnsiTheme="minorEastAsia" w:hint="eastAsia"/>
          <w:sz w:val="32"/>
          <w:szCs w:val="32"/>
        </w:rPr>
        <w:t>无机关</w:t>
      </w:r>
      <w:proofErr w:type="gramEnd"/>
      <w:r>
        <w:rPr>
          <w:rFonts w:asciiTheme="minorEastAsia" w:eastAsiaTheme="minorEastAsia" w:hAnsiTheme="minorEastAsia" w:hint="eastAsia"/>
          <w:sz w:val="32"/>
          <w:szCs w:val="32"/>
        </w:rPr>
        <w:t>运行经费支出。</w:t>
      </w:r>
    </w:p>
    <w:p w:rsidR="0049349C" w:rsidRDefault="00D57BB8">
      <w:pPr>
        <w:pStyle w:val="Default"/>
        <w:rPr>
          <w:rFonts w:hAnsi="黑体"/>
          <w:b/>
          <w:sz w:val="32"/>
          <w:szCs w:val="32"/>
        </w:rPr>
      </w:pPr>
      <w:r>
        <w:rPr>
          <w:rFonts w:hAnsi="黑体" w:hint="eastAsia"/>
          <w:b/>
          <w:sz w:val="32"/>
          <w:szCs w:val="32"/>
        </w:rPr>
        <w:t>十、一般性支出情况</w:t>
      </w:r>
    </w:p>
    <w:p w:rsidR="0049349C" w:rsidRDefault="00D57BB8">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2022年本单位开支会议费0万元。</w:t>
      </w:r>
    </w:p>
    <w:p w:rsidR="0049349C" w:rsidRDefault="00D57BB8">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2022年本单位开支培训费2.24万元。用于开展教师业务能力学习提升培训，共计人数22人，内容为：就业(SYB)讲师培训，人数2人，培训预算0.80万元，实际开支0.80万元；职业技能等级认定考评员培训，人数9人，培训预算0.40万元，实际开支0.40万元；会计教师继续教育培训，人数4人，培训预算0.02万元，实际开支0.02万元；粮储系统干部管理能力提升培训，人数1人，培训预算1.60万元，实际开支0.60万元；课题项目人员提升培训，人数5人，培训预算0.16万元，实际开支0.16万元；消防员培训，人数1人，培训预算0.40万元，实际开支0.26万元。</w:t>
      </w:r>
    </w:p>
    <w:p w:rsidR="0049349C" w:rsidRDefault="00D57BB8">
      <w:pPr>
        <w:ind w:firstLineChars="200" w:firstLine="640"/>
        <w:rPr>
          <w:rFonts w:asciiTheme="minorEastAsia" w:hAnsiTheme="minorEastAsia"/>
          <w:sz w:val="32"/>
          <w:szCs w:val="32"/>
        </w:rPr>
      </w:pPr>
      <w:r>
        <w:rPr>
          <w:rFonts w:asciiTheme="minorEastAsia" w:hAnsiTheme="minorEastAsia" w:cs="黑体" w:hint="eastAsia"/>
          <w:kern w:val="0"/>
          <w:sz w:val="32"/>
          <w:szCs w:val="32"/>
        </w:rPr>
        <w:t>2022年本单位举办五四表彰大会、校园文化艺术节等活动开支0.81万元，主要是“喜迎二十大、永远跟党走、奋进新征程”五四表彰大会活动预算0.52万元，实际开支0.52万元；第十九届校园文化艺术节活动预算0.64万元，实际开支0.29万元。</w:t>
      </w:r>
    </w:p>
    <w:p w:rsidR="0049349C" w:rsidRDefault="00D57BB8">
      <w:pPr>
        <w:pStyle w:val="Default"/>
        <w:rPr>
          <w:rFonts w:hAnsi="黑体"/>
          <w:b/>
          <w:sz w:val="32"/>
          <w:szCs w:val="32"/>
        </w:rPr>
      </w:pPr>
      <w:r>
        <w:rPr>
          <w:rFonts w:hAnsi="黑体" w:hint="eastAsia"/>
          <w:b/>
          <w:sz w:val="32"/>
          <w:szCs w:val="32"/>
        </w:rPr>
        <w:t>十一、关于政府采购支出说明</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本部门2022年度政府采购支出总额1066.77万元，其中：政府采购货物支出480.91万元、政府采购工程支出170.28万元、政府采购服务支出415.57</w:t>
      </w:r>
      <w:r>
        <w:rPr>
          <w:rFonts w:asciiTheme="minorEastAsia" w:eastAsiaTheme="minorEastAsia" w:hAnsiTheme="minorEastAsia" w:hint="eastAsia"/>
          <w:sz w:val="32"/>
          <w:szCs w:val="32"/>
        </w:rPr>
        <w:lastRenderedPageBreak/>
        <w:t>万元。授予中小企业合同金额1066.77万元，占政府采购支出总额的100%，其中：授予小</w:t>
      </w:r>
      <w:proofErr w:type="gramStart"/>
      <w:r>
        <w:rPr>
          <w:rFonts w:asciiTheme="minorEastAsia" w:eastAsiaTheme="minorEastAsia" w:hAnsiTheme="minorEastAsia" w:hint="eastAsia"/>
          <w:sz w:val="32"/>
          <w:szCs w:val="32"/>
        </w:rPr>
        <w:t>微企业</w:t>
      </w:r>
      <w:proofErr w:type="gramEnd"/>
      <w:r>
        <w:rPr>
          <w:rFonts w:asciiTheme="minorEastAsia" w:eastAsiaTheme="minorEastAsia" w:hAnsiTheme="minorEastAsia" w:hint="eastAsia"/>
          <w:sz w:val="32"/>
          <w:szCs w:val="32"/>
        </w:rPr>
        <w:t>合同金额1066.77万元，占授予中小企业合同金额的100%；货物采购授予中小企业合同金额占货物支出金额的45.08%，工程采购授予中小企业合同金额占工程支出金额的15.96%，服务采购授予中小企业合同金额占服务支出金额的38.96%。</w:t>
      </w:r>
    </w:p>
    <w:p w:rsidR="0049349C" w:rsidRDefault="00D57BB8">
      <w:pPr>
        <w:pStyle w:val="Default"/>
        <w:rPr>
          <w:rFonts w:hAnsi="黑体"/>
          <w:b/>
          <w:sz w:val="32"/>
          <w:szCs w:val="32"/>
        </w:rPr>
      </w:pPr>
      <w:r>
        <w:rPr>
          <w:rFonts w:hAnsi="黑体" w:hint="eastAsia"/>
          <w:b/>
          <w:sz w:val="32"/>
          <w:szCs w:val="32"/>
        </w:rPr>
        <w:t>十二、关于国有资产占用情况说明</w:t>
      </w:r>
    </w:p>
    <w:p w:rsidR="0049349C" w:rsidRDefault="00D57BB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截至2022年12月31日，本单位共有车辆2辆，其中，主要领导干部用车1辆，离退休干部用车1辆；单位价值50万元以上通用设备5台；单位价值100万元以上专用设备0台。</w:t>
      </w:r>
    </w:p>
    <w:p w:rsidR="0049349C" w:rsidRDefault="00D57BB8">
      <w:pPr>
        <w:pStyle w:val="Default"/>
        <w:rPr>
          <w:rFonts w:hAnsi="黑体"/>
          <w:b/>
          <w:sz w:val="32"/>
          <w:szCs w:val="32"/>
        </w:rPr>
      </w:pPr>
      <w:r>
        <w:rPr>
          <w:rFonts w:hAnsi="黑体" w:hint="eastAsia"/>
          <w:b/>
          <w:sz w:val="32"/>
          <w:szCs w:val="32"/>
        </w:rPr>
        <w:t>十三、关于2022年度预算绩效情况的说明</w:t>
      </w:r>
    </w:p>
    <w:p w:rsidR="0049349C" w:rsidRDefault="00D57BB8" w:rsidP="00713F77">
      <w:pPr>
        <w:pStyle w:val="Default"/>
        <w:spacing w:line="6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（一）部门整体支出绩效情况</w:t>
      </w:r>
    </w:p>
    <w:p w:rsidR="0049349C" w:rsidRDefault="00D57BB8">
      <w:pPr>
        <w:ind w:firstLine="66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根据湖南省财政厅印发《湖南省财政厅关于开展2022年度部门整体支出绩效自评和省级专项资金部门评价工作的通知》（</w:t>
      </w:r>
      <w:proofErr w:type="gramStart"/>
      <w:r>
        <w:rPr>
          <w:rFonts w:asciiTheme="minorEastAsia" w:hAnsiTheme="minorEastAsia" w:cs="黑体" w:hint="eastAsia"/>
          <w:color w:val="000000"/>
          <w:kern w:val="0"/>
          <w:sz w:val="32"/>
          <w:szCs w:val="32"/>
        </w:rPr>
        <w:t>湘财绩〔2023〕</w:t>
      </w:r>
      <w:proofErr w:type="gramEnd"/>
      <w:r>
        <w:rPr>
          <w:rFonts w:asciiTheme="minorEastAsia" w:hAnsiTheme="minorEastAsia" w:cs="黑体" w:hint="eastAsia"/>
          <w:color w:val="000000"/>
          <w:kern w:val="0"/>
          <w:sz w:val="32"/>
          <w:szCs w:val="32"/>
        </w:rPr>
        <w:t>1号）要求，强化财政支出绩效理念，切实提高财政资金使用效益，我单位组织开展了2022年度部门整体支出绩效自评工作：</w:t>
      </w:r>
    </w:p>
    <w:p w:rsidR="0049349C" w:rsidRDefault="00D57BB8">
      <w:pPr>
        <w:ind w:firstLine="643"/>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1、部门资金情况分析</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2022年湖南省经济贸易高级技工学校全年预算完成率88.70%，一般公共预算财政拨款预算完成率86.64%。</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2、资金管理情况分析</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2022年度政府采购支出合计1066.77万元，政府采购执行率为100%，为贯彻政府采购有关规定，我校在省局领导和上级业务部</w:t>
      </w:r>
      <w:proofErr w:type="gramStart"/>
      <w:r>
        <w:rPr>
          <w:rFonts w:asciiTheme="minorEastAsia" w:hAnsiTheme="minorEastAsia" w:cs="黑体" w:hint="eastAsia"/>
          <w:color w:val="000000"/>
          <w:kern w:val="0"/>
          <w:sz w:val="32"/>
          <w:szCs w:val="32"/>
        </w:rPr>
        <w:t>门正确</w:t>
      </w:r>
      <w:proofErr w:type="gramEnd"/>
      <w:r>
        <w:rPr>
          <w:rFonts w:asciiTheme="minorEastAsia" w:hAnsiTheme="minorEastAsia" w:cs="黑体" w:hint="eastAsia"/>
          <w:color w:val="000000"/>
          <w:kern w:val="0"/>
          <w:sz w:val="32"/>
          <w:szCs w:val="32"/>
        </w:rPr>
        <w:t>指导下;全面贯彻落实《政府采购法》和省、市、有关文件精神，紧紧围绕“依法采购、优质服务、规范操作、廉洁高效”的宗旨，利用电子卖场、公开招标等方式进行政府采购，圆满地完成了各项采购任务。</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2022年较好的执行了各项预算资金管理办法、内部财务管理制度和会计核算制度;预算资金使用符合国家财经法规、财务管理制度和有关专项资金管理办法;部门基础数据信息和会计信息资料实、完整，并按规定的内容、时限公开了相关预决算信息。</w:t>
      </w:r>
    </w:p>
    <w:p w:rsidR="0049349C" w:rsidRDefault="00D57BB8">
      <w:pPr>
        <w:ind w:firstLine="643"/>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3、项目绩效指标完成情况</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一年来，学校在省局党组的坚强领导下，</w:t>
      </w:r>
      <w:r>
        <w:rPr>
          <w:rFonts w:asciiTheme="minorEastAsia" w:hAnsiTheme="minorEastAsia" w:cs="黑体"/>
          <w:color w:val="000000"/>
          <w:kern w:val="0"/>
          <w:sz w:val="32"/>
          <w:szCs w:val="32"/>
        </w:rPr>
        <w:t>创新思路、开拓视野</w:t>
      </w:r>
      <w:r>
        <w:rPr>
          <w:rFonts w:asciiTheme="minorEastAsia" w:hAnsiTheme="minorEastAsia" w:cs="黑体" w:hint="eastAsia"/>
          <w:color w:val="000000"/>
          <w:kern w:val="0"/>
          <w:sz w:val="32"/>
          <w:szCs w:val="32"/>
        </w:rPr>
        <w:t>，</w:t>
      </w:r>
      <w:r>
        <w:rPr>
          <w:rFonts w:asciiTheme="minorEastAsia" w:hAnsiTheme="minorEastAsia" w:cs="黑体"/>
          <w:color w:val="000000"/>
          <w:kern w:val="0"/>
          <w:sz w:val="32"/>
          <w:szCs w:val="32"/>
        </w:rPr>
        <w:t>高站位统筹规模与内涵两个维度，</w:t>
      </w:r>
      <w:r>
        <w:rPr>
          <w:rFonts w:asciiTheme="minorEastAsia" w:hAnsiTheme="minorEastAsia" w:cs="黑体" w:hint="eastAsia"/>
          <w:color w:val="000000"/>
          <w:kern w:val="0"/>
          <w:sz w:val="32"/>
          <w:szCs w:val="32"/>
        </w:rPr>
        <w:t>在“一个工程、二个端口、三个做大、四个全面、五个经贸、六个引进”建设中，做出了一定的成绩。</w:t>
      </w:r>
    </w:p>
    <w:p w:rsidR="0049349C" w:rsidRDefault="00D57BB8">
      <w:pPr>
        <w:pStyle w:val="ab"/>
        <w:numPr>
          <w:ilvl w:val="0"/>
          <w:numId w:val="2"/>
        </w:numPr>
        <w:ind w:firstLineChars="0"/>
        <w:rPr>
          <w:rFonts w:asciiTheme="minorEastAsia" w:hAnsiTheme="minorEastAsia" w:cs="黑体"/>
          <w:color w:val="000000"/>
          <w:kern w:val="0"/>
          <w:sz w:val="32"/>
          <w:szCs w:val="32"/>
        </w:rPr>
      </w:pPr>
      <w:r>
        <w:rPr>
          <w:rFonts w:asciiTheme="minorEastAsia" w:hAnsiTheme="minorEastAsia" w:cs="黑体"/>
          <w:color w:val="000000"/>
          <w:kern w:val="0"/>
          <w:sz w:val="32"/>
          <w:szCs w:val="32"/>
        </w:rPr>
        <w:t>着力品牌、质量构建，用“经贸之为”</w:t>
      </w:r>
      <w:r>
        <w:rPr>
          <w:rFonts w:asciiTheme="minorEastAsia" w:hAnsiTheme="minorEastAsia" w:cs="黑体" w:hint="eastAsia"/>
          <w:color w:val="000000"/>
          <w:kern w:val="0"/>
          <w:sz w:val="32"/>
          <w:szCs w:val="32"/>
        </w:rPr>
        <w:t>答</w:t>
      </w:r>
      <w:r>
        <w:rPr>
          <w:rFonts w:asciiTheme="minorEastAsia" w:hAnsiTheme="minorEastAsia" w:cs="黑体"/>
          <w:color w:val="000000"/>
          <w:kern w:val="0"/>
          <w:sz w:val="32"/>
          <w:szCs w:val="32"/>
        </w:rPr>
        <w:t>“时代之卷”</w:t>
      </w:r>
      <w:r>
        <w:rPr>
          <w:rFonts w:asciiTheme="minorEastAsia" w:hAnsiTheme="minorEastAsia" w:cs="黑体" w:hint="eastAsia"/>
          <w:color w:val="000000"/>
          <w:kern w:val="0"/>
          <w:sz w:val="32"/>
          <w:szCs w:val="32"/>
        </w:rPr>
        <w:t>。</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一是以赛促教，筑品牌。代表省局参加湖南省第一届职业技能大赛，唐瑜</w:t>
      </w:r>
      <w:proofErr w:type="gramStart"/>
      <w:r>
        <w:rPr>
          <w:rFonts w:asciiTheme="minorEastAsia" w:hAnsiTheme="minorEastAsia" w:cs="黑体" w:hint="eastAsia"/>
          <w:color w:val="000000"/>
          <w:kern w:val="0"/>
          <w:sz w:val="32"/>
          <w:szCs w:val="32"/>
        </w:rPr>
        <w:t>珈</w:t>
      </w:r>
      <w:proofErr w:type="gramEnd"/>
      <w:r>
        <w:rPr>
          <w:rFonts w:asciiTheme="minorEastAsia" w:hAnsiTheme="minorEastAsia" w:cs="黑体" w:hint="eastAsia"/>
          <w:color w:val="000000"/>
          <w:kern w:val="0"/>
          <w:sz w:val="32"/>
          <w:szCs w:val="32"/>
        </w:rPr>
        <w:t>老师、谭容同学，夺得“动漫制作”二块金牌，申淼楠老师获得了“西餐服务”第六名，学校荣获“湖南省第一届职业技能大赛冠军选手单位”，全年共获得省市技能竞赛一等奖13项、二等奖24项、三等奖19项。此外，虚拟现实（VR）应用、新能源汽车检测技术等4个项目还将代表湘潭职业院校参加湖南省“楚怡杯”职业技能大赛。二是</w:t>
      </w:r>
      <w:proofErr w:type="gramStart"/>
      <w:r>
        <w:rPr>
          <w:rFonts w:asciiTheme="minorEastAsia" w:hAnsiTheme="minorEastAsia" w:cs="黑体" w:hint="eastAsia"/>
          <w:color w:val="000000"/>
          <w:kern w:val="0"/>
          <w:sz w:val="32"/>
          <w:szCs w:val="32"/>
        </w:rPr>
        <w:t>提质培优</w:t>
      </w:r>
      <w:proofErr w:type="gramEnd"/>
      <w:r>
        <w:rPr>
          <w:rFonts w:asciiTheme="minorEastAsia" w:hAnsiTheme="minorEastAsia" w:cs="黑体" w:hint="eastAsia"/>
          <w:color w:val="000000"/>
          <w:kern w:val="0"/>
          <w:sz w:val="32"/>
          <w:szCs w:val="32"/>
        </w:rPr>
        <w:t>，以质图强。粮油电子商务专业累计完成客</w:t>
      </w:r>
      <w:proofErr w:type="gramStart"/>
      <w:r>
        <w:rPr>
          <w:rFonts w:asciiTheme="minorEastAsia" w:hAnsiTheme="minorEastAsia" w:cs="黑体" w:hint="eastAsia"/>
          <w:color w:val="000000"/>
          <w:kern w:val="0"/>
          <w:sz w:val="32"/>
          <w:szCs w:val="32"/>
        </w:rPr>
        <w:t>服业务</w:t>
      </w:r>
      <w:proofErr w:type="gramEnd"/>
      <w:r>
        <w:rPr>
          <w:rFonts w:asciiTheme="minorEastAsia" w:hAnsiTheme="minorEastAsia" w:cs="黑体" w:hint="eastAsia"/>
          <w:color w:val="000000"/>
          <w:kern w:val="0"/>
          <w:sz w:val="32"/>
          <w:szCs w:val="32"/>
        </w:rPr>
        <w:t>6万余单，直播带货100余场次，观众</w:t>
      </w:r>
      <w:proofErr w:type="gramStart"/>
      <w:r>
        <w:rPr>
          <w:rFonts w:asciiTheme="minorEastAsia" w:hAnsiTheme="minorEastAsia" w:cs="黑体" w:hint="eastAsia"/>
          <w:color w:val="000000"/>
          <w:kern w:val="0"/>
          <w:sz w:val="32"/>
          <w:szCs w:val="32"/>
        </w:rPr>
        <w:t>互动点赞131万人次</w:t>
      </w:r>
      <w:proofErr w:type="gramEnd"/>
      <w:r>
        <w:rPr>
          <w:rFonts w:asciiTheme="minorEastAsia" w:hAnsiTheme="minorEastAsia" w:cs="黑体" w:hint="eastAsia"/>
          <w:color w:val="000000"/>
          <w:kern w:val="0"/>
          <w:sz w:val="32"/>
          <w:szCs w:val="32"/>
        </w:rPr>
        <w:t>，成交36万人次。参与粮食行业企业短视频制作1000余个，被企业采用450余个。三是深化“六个引进”，全面推进校企合作、产教融合、专业共建，建成了能满足现代化职业教育教学要求的京东好粮油校园孵化中心、客服中心、直播中心、运营中心、粮油储检实训中心、“粮心烘焙”实训中心、新能源汽车实训中心、智能制造实训中心、计算机5G通信实训中心等实习实训场地。进一步完善了“学校像工厂、教室像车间、教师像师傅、学生像徒弟、作业即产品”的现代职业教育教学模式。</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②着力品德、修养塑造，用“三全育人”护航“培根铸魂”。</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一是党建领航、文化浸润，构建“三全育人”新格局。将党史教育、7S管理、文明艺术教育、安全教育等融入到学生日常生活，融入到教育教学、实习实</w:t>
      </w:r>
      <w:proofErr w:type="gramStart"/>
      <w:r>
        <w:rPr>
          <w:rFonts w:asciiTheme="minorEastAsia" w:hAnsiTheme="minorEastAsia" w:cs="黑体" w:hint="eastAsia"/>
          <w:color w:val="000000"/>
          <w:kern w:val="0"/>
          <w:sz w:val="32"/>
          <w:szCs w:val="32"/>
        </w:rPr>
        <w:t>训各个</w:t>
      </w:r>
      <w:proofErr w:type="gramEnd"/>
      <w:r>
        <w:rPr>
          <w:rFonts w:asciiTheme="minorEastAsia" w:hAnsiTheme="minorEastAsia" w:cs="黑体" w:hint="eastAsia"/>
          <w:color w:val="000000"/>
          <w:kern w:val="0"/>
          <w:sz w:val="32"/>
          <w:szCs w:val="32"/>
        </w:rPr>
        <w:t>环节。二是积极打造活力校园。全年共开设音乐、绘画、演讲与口才等10个精品社团、14个专业技能兴趣班。圆满举办了校园文化艺术节、“十佳校园之星”等10余场大型校园文体活动；荣获湖南省职业院校“文明风采”活动一等奖，打造了书香校园、文明校园。三是强化“三防”，推进“四查”，确保校园安全平稳高效有序，学校又一次被评为局直系统综</w:t>
      </w:r>
      <w:proofErr w:type="gramStart"/>
      <w:r>
        <w:rPr>
          <w:rFonts w:asciiTheme="minorEastAsia" w:hAnsiTheme="minorEastAsia" w:cs="黑体" w:hint="eastAsia"/>
          <w:color w:val="000000"/>
          <w:kern w:val="0"/>
          <w:sz w:val="32"/>
          <w:szCs w:val="32"/>
        </w:rPr>
        <w:t>治维稳</w:t>
      </w:r>
      <w:proofErr w:type="gramEnd"/>
      <w:r>
        <w:rPr>
          <w:rFonts w:asciiTheme="minorEastAsia" w:hAnsiTheme="minorEastAsia" w:cs="黑体" w:hint="eastAsia"/>
          <w:color w:val="000000"/>
          <w:kern w:val="0"/>
          <w:sz w:val="32"/>
          <w:szCs w:val="32"/>
        </w:rPr>
        <w:t>（平安建设）先进单位。</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③着力“进口、出口”端口管理，让“技能报国”绘就“人生出彩”。</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是通过《2022年湖南省名优院校》平台，学校先后被湖南都市、湖南经视、湖南教育、湘潭电视台、湘潭日报等媒体跟踪报道，学校知名度得到进一步提升。2022年实现了“阳光招生平台”开放36小时即超额完成招生任务的良好局面，招收新生1452名，粮食类各专业在校学生规模近900人。二是不断深化与企业的合作，安排顶岗实习学生718人，有415名毕业生升入高一级大专院校继续深造，毕业生就业率达98%，对口就业率达85%，就业稳定率达90%。三是提升办学层次、提高办学品味、开设5个国防班、11个高技大专班。畅通了进口与出口，实现了“就业有门、升学有路、致富有望”。</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④</w:t>
      </w:r>
      <w:r>
        <w:rPr>
          <w:rFonts w:asciiTheme="minorEastAsia" w:hAnsiTheme="minorEastAsia" w:cs="黑体"/>
          <w:color w:val="000000"/>
          <w:kern w:val="0"/>
          <w:sz w:val="32"/>
          <w:szCs w:val="32"/>
        </w:rPr>
        <w:t>着力打造“</w:t>
      </w:r>
      <w:r>
        <w:rPr>
          <w:rFonts w:asciiTheme="minorEastAsia" w:hAnsiTheme="minorEastAsia" w:cs="黑体" w:hint="eastAsia"/>
          <w:color w:val="000000"/>
          <w:kern w:val="0"/>
          <w:sz w:val="32"/>
          <w:szCs w:val="32"/>
        </w:rPr>
        <w:t>粮储湘军的摇篮”</w:t>
      </w:r>
      <w:r>
        <w:rPr>
          <w:rFonts w:asciiTheme="minorEastAsia" w:hAnsiTheme="minorEastAsia" w:cs="黑体"/>
          <w:color w:val="000000"/>
          <w:kern w:val="0"/>
          <w:sz w:val="32"/>
          <w:szCs w:val="32"/>
        </w:rPr>
        <w:t>，</w:t>
      </w:r>
      <w:r>
        <w:rPr>
          <w:rFonts w:asciiTheme="minorEastAsia" w:hAnsiTheme="minorEastAsia" w:cs="黑体" w:hint="eastAsia"/>
          <w:color w:val="000000"/>
          <w:kern w:val="0"/>
          <w:sz w:val="32"/>
          <w:szCs w:val="32"/>
        </w:rPr>
        <w:t>以“国之大者”引领“大有作为”。</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是主动对接省局。承办了湖南省第五届粮食行业职业技能竞赛、各市州选手赛前集训等工作，培训选手100余人次。扩大服务行业职能，增设粮油质量检验员、西式面点师、食品检验员等15个粮食行业专业工种自主认定和第三</w:t>
      </w:r>
      <w:proofErr w:type="gramStart"/>
      <w:r>
        <w:rPr>
          <w:rFonts w:asciiTheme="minorEastAsia" w:hAnsiTheme="minorEastAsia" w:cs="黑体" w:hint="eastAsia"/>
          <w:color w:val="000000"/>
          <w:kern w:val="0"/>
          <w:sz w:val="32"/>
          <w:szCs w:val="32"/>
        </w:rPr>
        <w:t>方社会</w:t>
      </w:r>
      <w:proofErr w:type="gramEnd"/>
      <w:r>
        <w:rPr>
          <w:rFonts w:asciiTheme="minorEastAsia" w:hAnsiTheme="minorEastAsia" w:cs="黑体" w:hint="eastAsia"/>
          <w:color w:val="000000"/>
          <w:kern w:val="0"/>
          <w:sz w:val="32"/>
          <w:szCs w:val="32"/>
        </w:rPr>
        <w:t>评价资质。全年累计完成培训鉴定2400余人。二是助</w:t>
      </w:r>
      <w:r>
        <w:rPr>
          <w:rFonts w:asciiTheme="minorEastAsia" w:hAnsiTheme="minorEastAsia" w:cs="黑体" w:hint="eastAsia"/>
          <w:color w:val="000000"/>
          <w:kern w:val="0"/>
          <w:sz w:val="32"/>
          <w:szCs w:val="32"/>
        </w:rPr>
        <w:lastRenderedPageBreak/>
        <w:t>力</w:t>
      </w:r>
      <w:proofErr w:type="gramStart"/>
      <w:r>
        <w:rPr>
          <w:rFonts w:asciiTheme="minorEastAsia" w:hAnsiTheme="minorEastAsia" w:cs="黑体" w:hint="eastAsia"/>
          <w:color w:val="000000"/>
          <w:kern w:val="0"/>
          <w:sz w:val="32"/>
          <w:szCs w:val="32"/>
        </w:rPr>
        <w:t>湘粮出</w:t>
      </w:r>
      <w:proofErr w:type="gramEnd"/>
      <w:r>
        <w:rPr>
          <w:rFonts w:asciiTheme="minorEastAsia" w:hAnsiTheme="minorEastAsia" w:cs="黑体" w:hint="eastAsia"/>
          <w:color w:val="000000"/>
          <w:kern w:val="0"/>
          <w:sz w:val="32"/>
          <w:szCs w:val="32"/>
        </w:rPr>
        <w:t>湘。以“五湘模式”为引领，新建了京东好粮油VR产品包装设计中心；新建了京东好粮油实习实训中心、仓储物流中心；积极开展与浏阳河集团、成克</w:t>
      </w:r>
      <w:proofErr w:type="gramStart"/>
      <w:r>
        <w:rPr>
          <w:rFonts w:asciiTheme="minorEastAsia" w:hAnsiTheme="minorEastAsia" w:cs="黑体" w:hint="eastAsia"/>
          <w:color w:val="000000"/>
          <w:kern w:val="0"/>
          <w:sz w:val="32"/>
          <w:szCs w:val="32"/>
        </w:rPr>
        <w:t>明面业</w:t>
      </w:r>
      <w:proofErr w:type="gramEnd"/>
      <w:r>
        <w:rPr>
          <w:rFonts w:asciiTheme="minorEastAsia" w:hAnsiTheme="minorEastAsia" w:cs="黑体" w:hint="eastAsia"/>
          <w:color w:val="000000"/>
          <w:kern w:val="0"/>
          <w:sz w:val="32"/>
          <w:szCs w:val="32"/>
        </w:rPr>
        <w:t>等品牌企业合作，开展直播带货和粮油电子商务人才订单培养，为</w:t>
      </w:r>
      <w:proofErr w:type="gramStart"/>
      <w:r>
        <w:rPr>
          <w:rFonts w:asciiTheme="minorEastAsia" w:hAnsiTheme="minorEastAsia" w:cs="黑体" w:hint="eastAsia"/>
          <w:color w:val="000000"/>
          <w:kern w:val="0"/>
          <w:sz w:val="32"/>
          <w:szCs w:val="32"/>
        </w:rPr>
        <w:t>湘粮出湘提供</w:t>
      </w:r>
      <w:proofErr w:type="gramEnd"/>
      <w:r>
        <w:rPr>
          <w:rFonts w:asciiTheme="minorEastAsia" w:hAnsiTheme="minorEastAsia" w:cs="黑体" w:hint="eastAsia"/>
          <w:color w:val="000000"/>
          <w:kern w:val="0"/>
          <w:sz w:val="32"/>
          <w:szCs w:val="32"/>
        </w:rPr>
        <w:t>了“互联网+营销”的样板和方案。三是助力乡村振兴。开展职业教育“造血式”扶持：全年免费扶持招收芦溪</w:t>
      </w:r>
      <w:proofErr w:type="gramStart"/>
      <w:r>
        <w:rPr>
          <w:rFonts w:asciiTheme="minorEastAsia" w:hAnsiTheme="minorEastAsia" w:cs="黑体" w:hint="eastAsia"/>
          <w:color w:val="000000"/>
          <w:kern w:val="0"/>
          <w:sz w:val="32"/>
          <w:szCs w:val="32"/>
        </w:rPr>
        <w:t>县潭溪</w:t>
      </w:r>
      <w:proofErr w:type="gramEnd"/>
      <w:r>
        <w:rPr>
          <w:rFonts w:asciiTheme="minorEastAsia" w:hAnsiTheme="minorEastAsia" w:cs="黑体" w:hint="eastAsia"/>
          <w:color w:val="000000"/>
          <w:kern w:val="0"/>
          <w:sz w:val="32"/>
          <w:szCs w:val="32"/>
        </w:rPr>
        <w:t>镇学生25人，实现了“培养一人，致富一家，带动一片”。</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⑤着力开新局，以“内强外拓”推进“扩容升格”。</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在省局的大力支持和多次协调下，目前，技师学院建设已作为省级重点项目建设，进入立项审批程序。同时，学校加速推进后勤社会化运营，节约维修改造资金200余万元，改造后的一、二食堂面貌焕然一新，师生就餐环境、饭菜质量、就餐满意度均有较大的提升。</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⑥着力使命担当，以“党的建设”统揽“平台强校”。</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一是着眼于学，深化理论武装。以党建引领推动业务发展行稳致远。二是着眼于准，坚持问题导向。多渠道征求意见查摆问题，并逐条整改，努力把“问题清单”转化为“成效清单”。三是着眼于实，坚持党建统领带动文明创建。实现党建与创建融为一体，学校成功创建省直机关文明标兵校园。</w:t>
      </w:r>
    </w:p>
    <w:p w:rsidR="0049349C" w:rsidRDefault="00D57BB8" w:rsidP="00713F77">
      <w:pPr>
        <w:pStyle w:val="Default"/>
        <w:spacing w:line="6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（二）存在的问题及原因分析</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1.年初部门预算编制细化程度不够，导致在执行总体绩效目标时部分存在偏差。</w:t>
      </w:r>
    </w:p>
    <w:p w:rsidR="0049349C" w:rsidRDefault="00D57BB8">
      <w:pPr>
        <w:ind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2.部分预算资金执行有效性不高。2022年部门预算部分专项资金支出进度偏低，控制力度不足，没有根据实际情况对预算进行必要调整，延伸性监管不到位。</w:t>
      </w:r>
    </w:p>
    <w:p w:rsidR="0049349C" w:rsidRDefault="00D57BB8">
      <w:pPr>
        <w:widowControl/>
        <w:spacing w:line="600" w:lineRule="exact"/>
        <w:ind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3.项目设计出现有变更，项目设计与项目施工中存在局部偏差。</w:t>
      </w:r>
    </w:p>
    <w:p w:rsidR="0049349C" w:rsidRDefault="0049349C">
      <w:pPr>
        <w:pStyle w:val="Default"/>
        <w:jc w:val="center"/>
        <w:rPr>
          <w:sz w:val="72"/>
          <w:szCs w:val="72"/>
        </w:rPr>
      </w:pPr>
    </w:p>
    <w:p w:rsidR="0049349C" w:rsidRDefault="0049349C">
      <w:pPr>
        <w:pStyle w:val="Default"/>
        <w:jc w:val="center"/>
        <w:rPr>
          <w:sz w:val="72"/>
          <w:szCs w:val="72"/>
        </w:rPr>
      </w:pPr>
    </w:p>
    <w:p w:rsidR="0049349C" w:rsidRDefault="0049349C">
      <w:pPr>
        <w:pStyle w:val="Default"/>
        <w:jc w:val="center"/>
        <w:rPr>
          <w:sz w:val="72"/>
          <w:szCs w:val="72"/>
        </w:rPr>
      </w:pPr>
    </w:p>
    <w:p w:rsidR="0049349C" w:rsidRDefault="0049349C">
      <w:pPr>
        <w:pStyle w:val="Default"/>
        <w:jc w:val="center"/>
        <w:rPr>
          <w:sz w:val="72"/>
          <w:szCs w:val="72"/>
        </w:rPr>
      </w:pPr>
    </w:p>
    <w:p w:rsidR="0049349C" w:rsidRDefault="0049349C">
      <w:pPr>
        <w:pStyle w:val="Default"/>
        <w:jc w:val="center"/>
        <w:rPr>
          <w:sz w:val="72"/>
          <w:szCs w:val="72"/>
        </w:rPr>
      </w:pPr>
    </w:p>
    <w:p w:rsidR="0049349C" w:rsidRDefault="00D57BB8">
      <w:pPr>
        <w:pStyle w:val="Default"/>
        <w:jc w:val="center"/>
        <w:rPr>
          <w:sz w:val="72"/>
          <w:szCs w:val="72"/>
        </w:rPr>
      </w:pPr>
      <w:r>
        <w:rPr>
          <w:rFonts w:hint="eastAsia"/>
          <w:sz w:val="72"/>
          <w:szCs w:val="72"/>
        </w:rPr>
        <w:t>第四部分</w:t>
      </w:r>
    </w:p>
    <w:p w:rsidR="0049349C" w:rsidRDefault="0049349C">
      <w:pPr>
        <w:jc w:val="center"/>
        <w:rPr>
          <w:rFonts w:ascii="黑体" w:eastAsia="黑体" w:cs="黑体"/>
          <w:color w:val="000000"/>
          <w:kern w:val="0"/>
          <w:sz w:val="70"/>
          <w:szCs w:val="70"/>
        </w:rPr>
      </w:pPr>
    </w:p>
    <w:p w:rsidR="0049349C" w:rsidRDefault="00D57BB8">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49349C" w:rsidRDefault="00D57BB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9349C" w:rsidRDefault="0049349C">
      <w:pPr>
        <w:ind w:firstLineChars="200" w:firstLine="640"/>
        <w:jc w:val="left"/>
        <w:rPr>
          <w:rFonts w:asciiTheme="minorEastAsia" w:hAnsiTheme="minorEastAsia" w:cs="黑体"/>
          <w:color w:val="000000"/>
          <w:kern w:val="0"/>
          <w:sz w:val="32"/>
          <w:szCs w:val="32"/>
        </w:rPr>
      </w:pP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一、一般公共预算财政拨款收入：</w:t>
      </w:r>
      <w:proofErr w:type="gramStart"/>
      <w:r>
        <w:rPr>
          <w:rFonts w:ascii="宋体" w:hAnsi="宋体" w:cs="黑体" w:hint="eastAsia"/>
          <w:color w:val="000000"/>
          <w:kern w:val="0"/>
          <w:sz w:val="32"/>
          <w:szCs w:val="32"/>
          <w:lang w:val="zh-CN"/>
        </w:rPr>
        <w:t>指省财政</w:t>
      </w:r>
      <w:proofErr w:type="gramEnd"/>
      <w:r>
        <w:rPr>
          <w:rFonts w:ascii="宋体" w:hAnsi="宋体" w:cs="黑体" w:hint="eastAsia"/>
          <w:color w:val="000000"/>
          <w:kern w:val="0"/>
          <w:sz w:val="32"/>
          <w:szCs w:val="32"/>
          <w:lang w:val="zh-CN"/>
        </w:rPr>
        <w:t>当年拨付的资金。</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二、事业收入：指事业单位开展专业业务活动及辅助活动所取得的收入。</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三、经营收入：指事业单位开展专业业务活动及辅助活动所取得的收入。</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四、其他收入：指除上述“财政拨款收入”和“事业收入”以外的收入。</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五、上年结转：指以前年度尚未完成、结转到本年仍按原规定用途继续使用的资金。</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六、结余分配：指事业单位按照规定提取的职工福利基金、事业基金。</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七、年末结转和结余：指本年度或以前年度预算安排、因客观条件发生变化无法按原计划实施，需要延迟到以后年度按有关规定继续使用的资金。</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八、基本支出：指为保障机构正常运转、完成日常工作任务而发生的人员支出和公用支出。</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九、项目支出：指在基本支出之外为完成特定行政任务和事业发展目标所发生的支出。</w:t>
      </w:r>
    </w:p>
    <w:p w:rsidR="0049349C" w:rsidRDefault="00D57BB8">
      <w:pPr>
        <w:rPr>
          <w:rFonts w:ascii="宋体" w:hAnsi="宋体" w:cs="黑体"/>
          <w:color w:val="000000"/>
          <w:kern w:val="0"/>
          <w:sz w:val="32"/>
          <w:szCs w:val="32"/>
          <w:lang w:val="zh-CN"/>
        </w:rPr>
      </w:pPr>
      <w:r>
        <w:rPr>
          <w:rFonts w:ascii="宋体" w:hAnsi="宋体" w:cs="黑体" w:hint="eastAsia"/>
          <w:color w:val="000000"/>
          <w:kern w:val="0"/>
          <w:sz w:val="32"/>
          <w:szCs w:val="32"/>
          <w:lang w:val="zh-CN"/>
        </w:rPr>
        <w:t>十、“三公”经费：纳入财政预决算管理的“三公”经费，是指用财政拨款安排的因公出国（境）费、公务用车购置及运行维护费和公务接待费。</w:t>
      </w:r>
    </w:p>
    <w:p w:rsidR="0049349C" w:rsidRDefault="00D57BB8">
      <w:pPr>
        <w:widowControl/>
        <w:jc w:val="left"/>
        <w:rPr>
          <w:rFonts w:ascii="宋体" w:hAnsi="宋体" w:cs="黑体"/>
          <w:color w:val="000000"/>
          <w:kern w:val="0"/>
          <w:sz w:val="32"/>
          <w:szCs w:val="32"/>
          <w:lang w:val="zh-CN"/>
        </w:rPr>
      </w:pPr>
      <w:r>
        <w:rPr>
          <w:rFonts w:ascii="宋体" w:hAnsi="宋体" w:cs="黑体" w:hint="eastAsia"/>
          <w:color w:val="000000"/>
          <w:kern w:val="0"/>
          <w:sz w:val="32"/>
          <w:szCs w:val="32"/>
          <w:lang w:val="zh-CN"/>
        </w:rPr>
        <w:t xml:space="preserve">十一、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rsidR="0049349C" w:rsidRDefault="00D57BB8">
      <w:pPr>
        <w:widowControl/>
        <w:jc w:val="left"/>
        <w:rPr>
          <w:rFonts w:ascii="宋体" w:hAnsi="宋体" w:cs="黑体"/>
          <w:color w:val="000000"/>
          <w:kern w:val="0"/>
          <w:sz w:val="32"/>
          <w:szCs w:val="32"/>
          <w:lang w:val="zh-CN"/>
        </w:rPr>
      </w:pPr>
      <w:r>
        <w:rPr>
          <w:rFonts w:ascii="宋体" w:hAnsi="宋体" w:cs="黑体" w:hint="eastAsia"/>
          <w:color w:val="000000"/>
          <w:kern w:val="0"/>
          <w:sz w:val="32"/>
          <w:szCs w:val="32"/>
          <w:lang w:val="zh-CN"/>
        </w:rPr>
        <w:t>十二、粮油物资储备支出：是指政府用于粮油物资储备方面的支出。</w:t>
      </w:r>
    </w:p>
    <w:p w:rsidR="0049349C" w:rsidRDefault="00D57BB8">
      <w:pPr>
        <w:widowControl/>
        <w:jc w:val="left"/>
        <w:rPr>
          <w:sz w:val="72"/>
          <w:szCs w:val="72"/>
        </w:rPr>
      </w:pPr>
      <w:r>
        <w:rPr>
          <w:rFonts w:asciiTheme="minorEastAsia" w:hAnsiTheme="minorEastAsia" w:hint="eastAsia"/>
          <w:sz w:val="28"/>
          <w:szCs w:val="32"/>
        </w:rPr>
        <w:t>（名词解释应包含本部门专有名词，如省财政厅应有对“财政事务”科目的解释）</w:t>
      </w:r>
    </w:p>
    <w:p w:rsidR="0049349C" w:rsidRDefault="0049349C">
      <w:pPr>
        <w:pStyle w:val="Default"/>
        <w:rPr>
          <w:sz w:val="72"/>
          <w:szCs w:val="72"/>
        </w:rPr>
      </w:pPr>
    </w:p>
    <w:sectPr w:rsidR="0049349C">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3FA" w:rsidRDefault="00B443FA" w:rsidP="00713F77">
      <w:r>
        <w:separator/>
      </w:r>
    </w:p>
  </w:endnote>
  <w:endnote w:type="continuationSeparator" w:id="0">
    <w:p w:rsidR="00B443FA" w:rsidRDefault="00B443FA" w:rsidP="0071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3FA" w:rsidRDefault="00B443FA" w:rsidP="00713F77">
      <w:r>
        <w:separator/>
      </w:r>
    </w:p>
  </w:footnote>
  <w:footnote w:type="continuationSeparator" w:id="0">
    <w:p w:rsidR="00B443FA" w:rsidRDefault="00B443FA" w:rsidP="00713F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2CA0D9A"/>
    <w:multiLevelType w:val="multilevel"/>
    <w:tmpl w:val="72CA0D9A"/>
    <w:lvl w:ilvl="0">
      <w:start w:val="1"/>
      <w:numFmt w:val="decimalEnclosedCircle"/>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YzYyZTY4ZGQ5NzRlNDNhMjNiODc4MzdjMWZjYjQifQ=="/>
  </w:docVars>
  <w:rsids>
    <w:rsidRoot w:val="004506F9"/>
    <w:rsid w:val="00002DF6"/>
    <w:rsid w:val="0002229B"/>
    <w:rsid w:val="0002231B"/>
    <w:rsid w:val="000273BD"/>
    <w:rsid w:val="000318DC"/>
    <w:rsid w:val="00031A60"/>
    <w:rsid w:val="000415B7"/>
    <w:rsid w:val="00041E3F"/>
    <w:rsid w:val="000474B6"/>
    <w:rsid w:val="00055DAA"/>
    <w:rsid w:val="000575FB"/>
    <w:rsid w:val="00061F7B"/>
    <w:rsid w:val="00064698"/>
    <w:rsid w:val="000658A3"/>
    <w:rsid w:val="00067C16"/>
    <w:rsid w:val="00074155"/>
    <w:rsid w:val="00080ADF"/>
    <w:rsid w:val="000826FA"/>
    <w:rsid w:val="000A3F69"/>
    <w:rsid w:val="000B3A2F"/>
    <w:rsid w:val="000B5B1F"/>
    <w:rsid w:val="000F37E4"/>
    <w:rsid w:val="000F77B3"/>
    <w:rsid w:val="00103957"/>
    <w:rsid w:val="00124FC3"/>
    <w:rsid w:val="00150F83"/>
    <w:rsid w:val="00152C6D"/>
    <w:rsid w:val="00160006"/>
    <w:rsid w:val="00162D39"/>
    <w:rsid w:val="001678BD"/>
    <w:rsid w:val="00174ADA"/>
    <w:rsid w:val="001A67DB"/>
    <w:rsid w:val="001B173B"/>
    <w:rsid w:val="001B2326"/>
    <w:rsid w:val="001B5F4C"/>
    <w:rsid w:val="001C3C29"/>
    <w:rsid w:val="001D51E5"/>
    <w:rsid w:val="001E080D"/>
    <w:rsid w:val="001E53D0"/>
    <w:rsid w:val="001E7723"/>
    <w:rsid w:val="001F0C3B"/>
    <w:rsid w:val="00202C82"/>
    <w:rsid w:val="00214427"/>
    <w:rsid w:val="002173EC"/>
    <w:rsid w:val="00226CB7"/>
    <w:rsid w:val="00232E5B"/>
    <w:rsid w:val="00260786"/>
    <w:rsid w:val="00264552"/>
    <w:rsid w:val="00264EF9"/>
    <w:rsid w:val="00265724"/>
    <w:rsid w:val="00272123"/>
    <w:rsid w:val="0027426B"/>
    <w:rsid w:val="0027514F"/>
    <w:rsid w:val="00276D96"/>
    <w:rsid w:val="002802B5"/>
    <w:rsid w:val="00281087"/>
    <w:rsid w:val="00287F8E"/>
    <w:rsid w:val="00291C84"/>
    <w:rsid w:val="002956B6"/>
    <w:rsid w:val="002A0B50"/>
    <w:rsid w:val="002C628D"/>
    <w:rsid w:val="002E0A30"/>
    <w:rsid w:val="002F1CD7"/>
    <w:rsid w:val="002F758A"/>
    <w:rsid w:val="0030345F"/>
    <w:rsid w:val="00310527"/>
    <w:rsid w:val="003130C4"/>
    <w:rsid w:val="00316C4B"/>
    <w:rsid w:val="0032192B"/>
    <w:rsid w:val="00325C10"/>
    <w:rsid w:val="003479BD"/>
    <w:rsid w:val="0037197D"/>
    <w:rsid w:val="003768D5"/>
    <w:rsid w:val="0038538D"/>
    <w:rsid w:val="00393B4D"/>
    <w:rsid w:val="003A0364"/>
    <w:rsid w:val="003B59AB"/>
    <w:rsid w:val="003C47E6"/>
    <w:rsid w:val="003C4FC2"/>
    <w:rsid w:val="00416E61"/>
    <w:rsid w:val="004206EC"/>
    <w:rsid w:val="00421311"/>
    <w:rsid w:val="004224A4"/>
    <w:rsid w:val="00423746"/>
    <w:rsid w:val="0042790C"/>
    <w:rsid w:val="00435A81"/>
    <w:rsid w:val="004361C8"/>
    <w:rsid w:val="004363B1"/>
    <w:rsid w:val="00442F11"/>
    <w:rsid w:val="00443DBB"/>
    <w:rsid w:val="00447788"/>
    <w:rsid w:val="004506F9"/>
    <w:rsid w:val="00454F0A"/>
    <w:rsid w:val="004623BD"/>
    <w:rsid w:val="00466D18"/>
    <w:rsid w:val="00470590"/>
    <w:rsid w:val="004717A2"/>
    <w:rsid w:val="00473DF3"/>
    <w:rsid w:val="00487911"/>
    <w:rsid w:val="00491741"/>
    <w:rsid w:val="0049349C"/>
    <w:rsid w:val="0049505D"/>
    <w:rsid w:val="004A1B10"/>
    <w:rsid w:val="004C114E"/>
    <w:rsid w:val="004E34BB"/>
    <w:rsid w:val="004E4489"/>
    <w:rsid w:val="004E5DEB"/>
    <w:rsid w:val="004E6BAC"/>
    <w:rsid w:val="004E742F"/>
    <w:rsid w:val="004F38D7"/>
    <w:rsid w:val="004F6E7F"/>
    <w:rsid w:val="00500E5F"/>
    <w:rsid w:val="005122EF"/>
    <w:rsid w:val="0051441A"/>
    <w:rsid w:val="00517C33"/>
    <w:rsid w:val="00523644"/>
    <w:rsid w:val="00523E31"/>
    <w:rsid w:val="0054069E"/>
    <w:rsid w:val="00544866"/>
    <w:rsid w:val="00545A49"/>
    <w:rsid w:val="00566776"/>
    <w:rsid w:val="005767CC"/>
    <w:rsid w:val="00587CEE"/>
    <w:rsid w:val="00590D9F"/>
    <w:rsid w:val="005932EB"/>
    <w:rsid w:val="00595D26"/>
    <w:rsid w:val="005A74E6"/>
    <w:rsid w:val="005B1028"/>
    <w:rsid w:val="005B225B"/>
    <w:rsid w:val="005B404E"/>
    <w:rsid w:val="005D4D55"/>
    <w:rsid w:val="005E2CFB"/>
    <w:rsid w:val="005F3D1C"/>
    <w:rsid w:val="00606B01"/>
    <w:rsid w:val="0062378F"/>
    <w:rsid w:val="00624BBE"/>
    <w:rsid w:val="00641842"/>
    <w:rsid w:val="006437DA"/>
    <w:rsid w:val="00651EEC"/>
    <w:rsid w:val="00684B3B"/>
    <w:rsid w:val="00686673"/>
    <w:rsid w:val="00686D52"/>
    <w:rsid w:val="00691E8C"/>
    <w:rsid w:val="006947CF"/>
    <w:rsid w:val="006A22C4"/>
    <w:rsid w:val="006A351B"/>
    <w:rsid w:val="006B0422"/>
    <w:rsid w:val="006B34B6"/>
    <w:rsid w:val="006C10FB"/>
    <w:rsid w:val="006C1B53"/>
    <w:rsid w:val="006C2487"/>
    <w:rsid w:val="006D5EA3"/>
    <w:rsid w:val="006D7510"/>
    <w:rsid w:val="006D7730"/>
    <w:rsid w:val="006E5284"/>
    <w:rsid w:val="006F3EB5"/>
    <w:rsid w:val="00702E34"/>
    <w:rsid w:val="00704395"/>
    <w:rsid w:val="007112FF"/>
    <w:rsid w:val="00713F77"/>
    <w:rsid w:val="00717621"/>
    <w:rsid w:val="00720FF1"/>
    <w:rsid w:val="00721ED1"/>
    <w:rsid w:val="00727A53"/>
    <w:rsid w:val="00734FE9"/>
    <w:rsid w:val="007527BC"/>
    <w:rsid w:val="007545A1"/>
    <w:rsid w:val="007643A9"/>
    <w:rsid w:val="00773AC7"/>
    <w:rsid w:val="00774394"/>
    <w:rsid w:val="00776058"/>
    <w:rsid w:val="00785971"/>
    <w:rsid w:val="00787B42"/>
    <w:rsid w:val="0079393B"/>
    <w:rsid w:val="00793DAE"/>
    <w:rsid w:val="007C399E"/>
    <w:rsid w:val="007C4539"/>
    <w:rsid w:val="007C6A69"/>
    <w:rsid w:val="007F3657"/>
    <w:rsid w:val="00812D37"/>
    <w:rsid w:val="00812ED5"/>
    <w:rsid w:val="008277D9"/>
    <w:rsid w:val="008373CF"/>
    <w:rsid w:val="0084000C"/>
    <w:rsid w:val="0084478C"/>
    <w:rsid w:val="00861B43"/>
    <w:rsid w:val="0086638C"/>
    <w:rsid w:val="00892DC2"/>
    <w:rsid w:val="008A3E8D"/>
    <w:rsid w:val="008A4043"/>
    <w:rsid w:val="008A5153"/>
    <w:rsid w:val="008A7CF9"/>
    <w:rsid w:val="008B516A"/>
    <w:rsid w:val="008D1571"/>
    <w:rsid w:val="008D1CAB"/>
    <w:rsid w:val="008D6BB4"/>
    <w:rsid w:val="008E4D7B"/>
    <w:rsid w:val="008E6530"/>
    <w:rsid w:val="008F3380"/>
    <w:rsid w:val="009074E4"/>
    <w:rsid w:val="009079E0"/>
    <w:rsid w:val="009237C4"/>
    <w:rsid w:val="00936699"/>
    <w:rsid w:val="00937BE7"/>
    <w:rsid w:val="0094078E"/>
    <w:rsid w:val="00944C48"/>
    <w:rsid w:val="00945ABB"/>
    <w:rsid w:val="00950252"/>
    <w:rsid w:val="00966964"/>
    <w:rsid w:val="00967F5D"/>
    <w:rsid w:val="00971D30"/>
    <w:rsid w:val="009A0F95"/>
    <w:rsid w:val="009A539D"/>
    <w:rsid w:val="009B3ADF"/>
    <w:rsid w:val="009C0E80"/>
    <w:rsid w:val="009C27CF"/>
    <w:rsid w:val="009C3B52"/>
    <w:rsid w:val="009C3FCB"/>
    <w:rsid w:val="009C5CB4"/>
    <w:rsid w:val="009E10BF"/>
    <w:rsid w:val="009E2EBE"/>
    <w:rsid w:val="009E6817"/>
    <w:rsid w:val="009E6E9A"/>
    <w:rsid w:val="009E7F7F"/>
    <w:rsid w:val="009F7B1B"/>
    <w:rsid w:val="00A01D2B"/>
    <w:rsid w:val="00A214AE"/>
    <w:rsid w:val="00A2636B"/>
    <w:rsid w:val="00A3615A"/>
    <w:rsid w:val="00A378A8"/>
    <w:rsid w:val="00A42218"/>
    <w:rsid w:val="00A51AD5"/>
    <w:rsid w:val="00A70249"/>
    <w:rsid w:val="00A70B02"/>
    <w:rsid w:val="00A71D9F"/>
    <w:rsid w:val="00A92E9F"/>
    <w:rsid w:val="00A9379A"/>
    <w:rsid w:val="00AA3F31"/>
    <w:rsid w:val="00AC1FDF"/>
    <w:rsid w:val="00AC503B"/>
    <w:rsid w:val="00AE4D94"/>
    <w:rsid w:val="00AF159B"/>
    <w:rsid w:val="00AF3277"/>
    <w:rsid w:val="00B040C2"/>
    <w:rsid w:val="00B22A94"/>
    <w:rsid w:val="00B33BEA"/>
    <w:rsid w:val="00B443FA"/>
    <w:rsid w:val="00B57C9F"/>
    <w:rsid w:val="00B62C46"/>
    <w:rsid w:val="00B63572"/>
    <w:rsid w:val="00B6685C"/>
    <w:rsid w:val="00B752F9"/>
    <w:rsid w:val="00B77B26"/>
    <w:rsid w:val="00B845B3"/>
    <w:rsid w:val="00B85D8B"/>
    <w:rsid w:val="00B945E7"/>
    <w:rsid w:val="00BB2D68"/>
    <w:rsid w:val="00BB4A40"/>
    <w:rsid w:val="00BC42F8"/>
    <w:rsid w:val="00BC689F"/>
    <w:rsid w:val="00BD1EC3"/>
    <w:rsid w:val="00BD451A"/>
    <w:rsid w:val="00BD6C3E"/>
    <w:rsid w:val="00BD70A2"/>
    <w:rsid w:val="00BD7E96"/>
    <w:rsid w:val="00BE3674"/>
    <w:rsid w:val="00C10681"/>
    <w:rsid w:val="00C10E4A"/>
    <w:rsid w:val="00C169F9"/>
    <w:rsid w:val="00C21260"/>
    <w:rsid w:val="00C3049A"/>
    <w:rsid w:val="00C31B1E"/>
    <w:rsid w:val="00C5476F"/>
    <w:rsid w:val="00C569DD"/>
    <w:rsid w:val="00C77645"/>
    <w:rsid w:val="00C83541"/>
    <w:rsid w:val="00C8416F"/>
    <w:rsid w:val="00CA2FB4"/>
    <w:rsid w:val="00CA6530"/>
    <w:rsid w:val="00CA682C"/>
    <w:rsid w:val="00CB2303"/>
    <w:rsid w:val="00CC5579"/>
    <w:rsid w:val="00CC5E76"/>
    <w:rsid w:val="00CD13FC"/>
    <w:rsid w:val="00CD1F9F"/>
    <w:rsid w:val="00CE04C3"/>
    <w:rsid w:val="00CE76A0"/>
    <w:rsid w:val="00D11788"/>
    <w:rsid w:val="00D148C6"/>
    <w:rsid w:val="00D17A8A"/>
    <w:rsid w:val="00D415BA"/>
    <w:rsid w:val="00D557E2"/>
    <w:rsid w:val="00D57BB8"/>
    <w:rsid w:val="00D644EE"/>
    <w:rsid w:val="00D77277"/>
    <w:rsid w:val="00D81638"/>
    <w:rsid w:val="00D81ADA"/>
    <w:rsid w:val="00DA1D39"/>
    <w:rsid w:val="00DD06FF"/>
    <w:rsid w:val="00DD5FE9"/>
    <w:rsid w:val="00DE17CB"/>
    <w:rsid w:val="00DF3A29"/>
    <w:rsid w:val="00DF6CCA"/>
    <w:rsid w:val="00E00C7A"/>
    <w:rsid w:val="00E274F9"/>
    <w:rsid w:val="00E37D6C"/>
    <w:rsid w:val="00E40BB1"/>
    <w:rsid w:val="00E432BD"/>
    <w:rsid w:val="00E54C53"/>
    <w:rsid w:val="00E55B68"/>
    <w:rsid w:val="00E61D83"/>
    <w:rsid w:val="00E66DBE"/>
    <w:rsid w:val="00E67BE6"/>
    <w:rsid w:val="00E76B14"/>
    <w:rsid w:val="00E77D30"/>
    <w:rsid w:val="00E8683C"/>
    <w:rsid w:val="00EA0794"/>
    <w:rsid w:val="00EA2B72"/>
    <w:rsid w:val="00EA570D"/>
    <w:rsid w:val="00EA60CB"/>
    <w:rsid w:val="00EB04EE"/>
    <w:rsid w:val="00EB717A"/>
    <w:rsid w:val="00F25CA1"/>
    <w:rsid w:val="00F363D2"/>
    <w:rsid w:val="00F36ECE"/>
    <w:rsid w:val="00F44853"/>
    <w:rsid w:val="00F57DF9"/>
    <w:rsid w:val="00F718CE"/>
    <w:rsid w:val="00F74360"/>
    <w:rsid w:val="00F84308"/>
    <w:rsid w:val="00F90019"/>
    <w:rsid w:val="00FB1175"/>
    <w:rsid w:val="00FB462F"/>
    <w:rsid w:val="00FC53E5"/>
    <w:rsid w:val="00FD1662"/>
    <w:rsid w:val="00FD7404"/>
    <w:rsid w:val="00FE16FA"/>
    <w:rsid w:val="00FE328A"/>
    <w:rsid w:val="00FE6269"/>
    <w:rsid w:val="00FF1616"/>
    <w:rsid w:val="00FF5CD6"/>
    <w:rsid w:val="0AD56DD5"/>
    <w:rsid w:val="0F4C6F94"/>
    <w:rsid w:val="11D9357C"/>
    <w:rsid w:val="20B9667A"/>
    <w:rsid w:val="36CD2F77"/>
    <w:rsid w:val="3BCB0E65"/>
    <w:rsid w:val="49E8128E"/>
    <w:rsid w:val="5C1B3BFC"/>
    <w:rsid w:val="5E3033B1"/>
    <w:rsid w:val="65FD456D"/>
    <w:rsid w:val="770734E8"/>
    <w:rsid w:val="7AB924E3"/>
    <w:rsid w:val="7BE94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widowControl/>
      <w:spacing w:before="100" w:beforeAutospacing="1" w:after="100" w:afterAutospacing="1" w:line="560" w:lineRule="exact"/>
      <w:ind w:firstLineChars="200" w:firstLine="200"/>
      <w:jc w:val="left"/>
    </w:pPr>
    <w:rPr>
      <w:rFonts w:ascii="宋体" w:hAnsi="宋体" w:cs="宋体"/>
      <w:kern w:val="0"/>
      <w:sz w:val="24"/>
    </w:rPr>
  </w:style>
  <w:style w:type="paragraph" w:styleId="a4">
    <w:name w:val="Plain Text"/>
    <w:basedOn w:val="a"/>
    <w:link w:val="Char0"/>
    <w:uiPriority w:val="99"/>
    <w:unhideWhenUsed/>
    <w:rPr>
      <w:rFonts w:ascii="宋体" w:eastAsia="宋体" w:hAnsi="Courier New" w:cs="Courier New"/>
      <w:szCs w:val="21"/>
    </w:r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customStyle="1" w:styleId="Char">
    <w:name w:val="正文文本 Char"/>
    <w:basedOn w:val="a0"/>
    <w:link w:val="a3"/>
    <w:rPr>
      <w:rFonts w:ascii="宋体" w:hAnsi="宋体" w:cs="宋体"/>
      <w:sz w:val="24"/>
      <w:szCs w:val="22"/>
    </w:rPr>
  </w:style>
  <w:style w:type="character" w:customStyle="1" w:styleId="Char1">
    <w:name w:val="日期 Char"/>
    <w:basedOn w:val="a0"/>
    <w:link w:val="a5"/>
    <w:uiPriority w:val="99"/>
    <w:semiHidden/>
    <w:rPr>
      <w:kern w:val="2"/>
      <w:sz w:val="21"/>
      <w:szCs w:val="22"/>
    </w:rPr>
  </w:style>
  <w:style w:type="character" w:customStyle="1" w:styleId="Char2">
    <w:name w:val="批注框文本 Char"/>
    <w:basedOn w:val="a0"/>
    <w:link w:val="a6"/>
    <w:uiPriority w:val="99"/>
    <w:semiHidden/>
    <w:rPr>
      <w:sz w:val="18"/>
      <w:szCs w:val="18"/>
    </w:rPr>
  </w:style>
  <w:style w:type="character" w:customStyle="1" w:styleId="Char3">
    <w:name w:val="页脚 Char"/>
    <w:basedOn w:val="a0"/>
    <w:link w:val="a7"/>
    <w:uiPriority w:val="99"/>
    <w:qFormat/>
    <w:rPr>
      <w:sz w:val="18"/>
      <w:szCs w:val="18"/>
    </w:rPr>
  </w:style>
  <w:style w:type="character" w:customStyle="1" w:styleId="Char4">
    <w:name w:val="页眉 Char"/>
    <w:basedOn w:val="a0"/>
    <w:link w:val="a8"/>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styleId="ab">
    <w:name w:val="List Paragraph"/>
    <w:basedOn w:val="a"/>
    <w:uiPriority w:val="34"/>
    <w:qFormat/>
    <w:pPr>
      <w:ind w:firstLineChars="200" w:firstLine="420"/>
    </w:pPr>
  </w:style>
  <w:style w:type="character" w:customStyle="1" w:styleId="Char0">
    <w:name w:val="纯文本 Char"/>
    <w:basedOn w:val="a0"/>
    <w:link w:val="a4"/>
    <w:uiPriority w:val="99"/>
    <w:qFormat/>
    <w:rPr>
      <w:rFonts w:ascii="宋体" w:eastAsia="宋体" w:hAnsi="Courier New" w:cs="Courier New"/>
      <w:kern w:val="2"/>
      <w:sz w:val="21"/>
      <w:szCs w:val="21"/>
    </w:rPr>
  </w:style>
  <w:style w:type="paragraph" w:customStyle="1" w:styleId="TableParagraph">
    <w:name w:val="Table Paragraph"/>
    <w:basedOn w:val="a"/>
    <w:qFormat/>
    <w:pPr>
      <w:autoSpaceDE w:val="0"/>
      <w:autoSpaceDN w:val="0"/>
      <w:jc w:val="left"/>
    </w:pPr>
    <w:rPr>
      <w:rFonts w:ascii="宋体" w:eastAsia="宋体" w:hAnsi="宋体" w:cs="宋体"/>
      <w:kern w:val="0"/>
      <w:sz w:val="22"/>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widowControl/>
      <w:spacing w:before="100" w:beforeAutospacing="1" w:after="100" w:afterAutospacing="1" w:line="560" w:lineRule="exact"/>
      <w:ind w:firstLineChars="200" w:firstLine="200"/>
      <w:jc w:val="left"/>
    </w:pPr>
    <w:rPr>
      <w:rFonts w:ascii="宋体" w:hAnsi="宋体" w:cs="宋体"/>
      <w:kern w:val="0"/>
      <w:sz w:val="24"/>
    </w:rPr>
  </w:style>
  <w:style w:type="paragraph" w:styleId="a4">
    <w:name w:val="Plain Text"/>
    <w:basedOn w:val="a"/>
    <w:link w:val="Char0"/>
    <w:uiPriority w:val="99"/>
    <w:unhideWhenUsed/>
    <w:rPr>
      <w:rFonts w:ascii="宋体" w:eastAsia="宋体" w:hAnsi="Courier New" w:cs="Courier New"/>
      <w:szCs w:val="21"/>
    </w:r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customStyle="1" w:styleId="Char">
    <w:name w:val="正文文本 Char"/>
    <w:basedOn w:val="a0"/>
    <w:link w:val="a3"/>
    <w:rPr>
      <w:rFonts w:ascii="宋体" w:hAnsi="宋体" w:cs="宋体"/>
      <w:sz w:val="24"/>
      <w:szCs w:val="22"/>
    </w:rPr>
  </w:style>
  <w:style w:type="character" w:customStyle="1" w:styleId="Char1">
    <w:name w:val="日期 Char"/>
    <w:basedOn w:val="a0"/>
    <w:link w:val="a5"/>
    <w:uiPriority w:val="99"/>
    <w:semiHidden/>
    <w:rPr>
      <w:kern w:val="2"/>
      <w:sz w:val="21"/>
      <w:szCs w:val="22"/>
    </w:rPr>
  </w:style>
  <w:style w:type="character" w:customStyle="1" w:styleId="Char2">
    <w:name w:val="批注框文本 Char"/>
    <w:basedOn w:val="a0"/>
    <w:link w:val="a6"/>
    <w:uiPriority w:val="99"/>
    <w:semiHidden/>
    <w:rPr>
      <w:sz w:val="18"/>
      <w:szCs w:val="18"/>
    </w:rPr>
  </w:style>
  <w:style w:type="character" w:customStyle="1" w:styleId="Char3">
    <w:name w:val="页脚 Char"/>
    <w:basedOn w:val="a0"/>
    <w:link w:val="a7"/>
    <w:uiPriority w:val="99"/>
    <w:qFormat/>
    <w:rPr>
      <w:sz w:val="18"/>
      <w:szCs w:val="18"/>
    </w:rPr>
  </w:style>
  <w:style w:type="character" w:customStyle="1" w:styleId="Char4">
    <w:name w:val="页眉 Char"/>
    <w:basedOn w:val="a0"/>
    <w:link w:val="a8"/>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styleId="ab">
    <w:name w:val="List Paragraph"/>
    <w:basedOn w:val="a"/>
    <w:uiPriority w:val="34"/>
    <w:qFormat/>
    <w:pPr>
      <w:ind w:firstLineChars="200" w:firstLine="420"/>
    </w:pPr>
  </w:style>
  <w:style w:type="character" w:customStyle="1" w:styleId="Char0">
    <w:name w:val="纯文本 Char"/>
    <w:basedOn w:val="a0"/>
    <w:link w:val="a4"/>
    <w:uiPriority w:val="99"/>
    <w:qFormat/>
    <w:rPr>
      <w:rFonts w:ascii="宋体" w:eastAsia="宋体" w:hAnsi="Courier New" w:cs="Courier New"/>
      <w:kern w:val="2"/>
      <w:sz w:val="21"/>
      <w:szCs w:val="21"/>
    </w:rPr>
  </w:style>
  <w:style w:type="paragraph" w:customStyle="1" w:styleId="TableParagraph">
    <w:name w:val="Table Paragraph"/>
    <w:basedOn w:val="a"/>
    <w:qFormat/>
    <w:pPr>
      <w:autoSpaceDE w:val="0"/>
      <w:autoSpaceDN w:val="0"/>
      <w:jc w:val="left"/>
    </w:pPr>
    <w:rPr>
      <w:rFonts w:ascii="宋体" w:eastAsia="宋体" w:hAnsi="宋体" w:cs="宋体"/>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35B36-43FD-4BA0-B42E-B31CE5024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29</Pages>
  <Words>2417</Words>
  <Characters>13777</Characters>
  <Application>Microsoft Office Word</Application>
  <DocSecurity>0</DocSecurity>
  <Lines>114</Lines>
  <Paragraphs>32</Paragraphs>
  <ScaleCrop>false</ScaleCrop>
  <Company>Microsoft</Company>
  <LinksUpToDate>false</LinksUpToDate>
  <CharactersWithSpaces>16162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User</cp:lastModifiedBy>
  <cp:revision>33</cp:revision>
  <cp:lastPrinted>2022-09-16T04:27:00Z</cp:lastPrinted>
  <dcterms:created xsi:type="dcterms:W3CDTF">2022-09-16T03:10:00Z</dcterms:created>
  <dcterms:modified xsi:type="dcterms:W3CDTF">2024-02-27T02:10:00Z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3018B6C8AE7F40549E29D3EF318149C9</vt:lpwstr>
  </property>
</Properties>
</file>