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湖南省备灾减灾中心</w:t>
      </w: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0"/>
        <w:jc w:val="center"/>
        <w:rPr>
          <w:rFonts w:ascii="方正小标宋_GBK" w:hAnsi="方正小标宋_GBK" w:eastAsia="方正小标宋_GBK" w:cs="方正小标宋_GBK"/>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r>
        <w:rPr>
          <w:rFonts w:hint="eastAsia"/>
          <w:b/>
          <w:sz w:val="36"/>
          <w:szCs w:val="28"/>
        </w:rPr>
        <w:t>目录</w:t>
      </w:r>
    </w:p>
    <w:p>
      <w:pPr>
        <w:pStyle w:val="10"/>
        <w:spacing w:line="500" w:lineRule="exact"/>
        <w:rPr>
          <w:rFonts w:hAnsi="黑体"/>
          <w:bCs/>
          <w:sz w:val="28"/>
          <w:szCs w:val="28"/>
        </w:rPr>
      </w:pPr>
      <w:r>
        <w:rPr>
          <w:rFonts w:hint="eastAsia" w:hAnsi="黑体"/>
          <w:bCs/>
          <w:sz w:val="28"/>
          <w:szCs w:val="28"/>
        </w:rPr>
        <w:t>第一部分 湖南省备灾减灾中心概况</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spacing w:line="500" w:lineRule="exact"/>
        <w:rPr>
          <w:rFonts w:hAnsi="黑体"/>
          <w:bCs/>
          <w:sz w:val="28"/>
          <w:szCs w:val="28"/>
        </w:rPr>
      </w:pPr>
      <w:r>
        <w:rPr>
          <w:rFonts w:hint="eastAsia" w:hAnsi="黑体"/>
          <w:bCs/>
          <w:sz w:val="28"/>
          <w:szCs w:val="28"/>
        </w:rPr>
        <w:t>第二部分 部门决算表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0"/>
        <w:spacing w:line="500" w:lineRule="exact"/>
        <w:rPr>
          <w:rFonts w:hAnsi="黑体"/>
          <w:bCs/>
          <w:sz w:val="28"/>
          <w:szCs w:val="28"/>
        </w:rPr>
      </w:pPr>
      <w:r>
        <w:rPr>
          <w:rFonts w:hint="eastAsia" w:hAnsi="黑体"/>
          <w:bCs/>
          <w:sz w:val="28"/>
          <w:szCs w:val="28"/>
        </w:rPr>
        <w:t>第三部分 部门决算情况说明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0"/>
        <w:spacing w:line="500" w:lineRule="exact"/>
        <w:rPr>
          <w:rFonts w:hAnsi="黑体"/>
          <w:bCs/>
          <w:sz w:val="28"/>
          <w:szCs w:val="28"/>
        </w:rPr>
      </w:pPr>
      <w:r>
        <w:rPr>
          <w:rFonts w:hint="eastAsia" w:hAnsi="黑体"/>
          <w:bCs/>
          <w:sz w:val="28"/>
          <w:szCs w:val="28"/>
        </w:rPr>
        <w:t>第四部分 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湖南省备灾减灾中心</w:t>
      </w: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1"/>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Times New Roman" w:hAnsi="Times New Roman" w:eastAsia="仿宋_GB2312" w:cs="仿宋_GB2312"/>
          <w:sz w:val="32"/>
          <w:szCs w:val="32"/>
        </w:rPr>
      </w:pPr>
      <w:r>
        <w:rPr>
          <w:rFonts w:hint="eastAsia" w:eastAsia="仿宋_GB2312"/>
          <w:sz w:val="32"/>
          <w:szCs w:val="32"/>
        </w:rPr>
        <w:t>湖南省备灾减灾中心是湖南省粮食和物资储备局直属公益一类事业单位。主要负责中央在湘救灾物资的储备、管理及调运；负责湖南省救灾物资的储备、管理及调运；负责湖南省社会捐赠救灾款物的接收、储备、管理及调运；承办湖南省粮食和物资储备局交办的其他业务工作。</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Times New Roman" w:hAnsi="Times New Roman" w:eastAsia="仿宋_GB2312" w:cs="仿宋_GB2312"/>
          <w:bCs/>
          <w:kern w:val="0"/>
          <w:sz w:val="32"/>
          <w:szCs w:val="32"/>
        </w:rPr>
        <w:t>（一）</w:t>
      </w:r>
      <w:r>
        <w:rPr>
          <w:rFonts w:hint="eastAsia" w:ascii="Times New Roman" w:hAnsi="Times New Roman" w:eastAsia="仿宋_GB2312" w:cs="仿宋_GB2312"/>
          <w:bCs/>
          <w:kern w:val="0"/>
          <w:sz w:val="32"/>
          <w:szCs w:val="32"/>
          <w:lang w:val="en-US" w:eastAsia="zh-CN"/>
        </w:rPr>
        <w:t>内设机构设置。</w:t>
      </w:r>
      <w:r>
        <w:rPr>
          <w:rFonts w:hint="eastAsia" w:ascii="Times New Roman" w:hAnsi="Times New Roman" w:eastAsia="仿宋_GB2312" w:cs="仿宋_GB2312"/>
          <w:bCs/>
          <w:kern w:val="0"/>
          <w:sz w:val="32"/>
          <w:szCs w:val="32"/>
        </w:rPr>
        <w:t>本单位内设机构</w:t>
      </w:r>
      <w:r>
        <w:rPr>
          <w:rFonts w:hint="eastAsia" w:ascii="Times New Roman" w:hAnsi="Times New Roman" w:eastAsia="仿宋_GB2312" w:cs="仿宋_GB2312"/>
          <w:bCs/>
          <w:kern w:val="0"/>
          <w:sz w:val="32"/>
          <w:szCs w:val="32"/>
          <w:lang w:val="en-US" w:eastAsia="zh-CN"/>
        </w:rPr>
        <w:t>包括</w:t>
      </w:r>
      <w:r>
        <w:rPr>
          <w:rFonts w:hint="eastAsia" w:ascii="Times New Roman" w:hAnsi="Times New Roman" w:eastAsia="仿宋_GB2312" w:cs="仿宋_GB2312"/>
          <w:bCs/>
          <w:kern w:val="0"/>
          <w:sz w:val="32"/>
          <w:szCs w:val="32"/>
        </w:rPr>
        <w:t>：综合部、财务部、物资管理与技术装备部。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w:t>
      </w:r>
      <w:r>
        <w:rPr>
          <w:rFonts w:hint="eastAsia" w:ascii="Times New Roman" w:hAnsi="Times New Roman" w:eastAsia="仿宋_GB2312" w:cs="仿宋_GB2312"/>
          <w:bCs/>
          <w:kern w:val="0"/>
          <w:sz w:val="32"/>
          <w:szCs w:val="32"/>
          <w:lang w:val="en-US" w:eastAsia="zh-CN"/>
        </w:rPr>
        <w:t>决算单位构成。本</w:t>
      </w:r>
      <w:r>
        <w:rPr>
          <w:rFonts w:hint="eastAsia" w:ascii="Times New Roman" w:hAnsi="Times New Roman" w:eastAsia="仿宋_GB2312" w:cs="仿宋_GB2312"/>
          <w:bCs/>
          <w:kern w:val="0"/>
          <w:sz w:val="32"/>
          <w:szCs w:val="32"/>
        </w:rPr>
        <w:t>单位2022年部门决算公开单位构成包括：湖南省备灾减灾中心</w:t>
      </w:r>
      <w:r>
        <w:rPr>
          <w:rFonts w:hint="eastAsia" w:ascii="Times New Roman" w:hAnsi="Times New Roman" w:eastAsia="仿宋_GB2312" w:cs="仿宋_GB2312"/>
          <w:bCs/>
          <w:kern w:val="0"/>
          <w:sz w:val="32"/>
          <w:szCs w:val="32"/>
          <w:lang w:val="en-US" w:eastAsia="zh-CN"/>
        </w:rPr>
        <w:t>本级</w:t>
      </w:r>
      <w:r>
        <w:rPr>
          <w:rFonts w:hint="eastAsia" w:ascii="Times New Roman" w:hAnsi="Times New Roman" w:eastAsia="仿宋_GB2312" w:cs="仿宋_GB2312"/>
          <w:bCs/>
          <w:kern w:val="0"/>
          <w:sz w:val="32"/>
          <w:szCs w:val="32"/>
        </w:rPr>
        <w:t>。本单位为2022年新增纳入财政二级预算管理的单位。</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5"/>
        <w:tblW w:w="14666" w:type="dxa"/>
        <w:jc w:val="center"/>
        <w:tblLayout w:type="autofit"/>
        <w:tblCellMar>
          <w:top w:w="0" w:type="dxa"/>
          <w:left w:w="108" w:type="dxa"/>
          <w:bottom w:w="0" w:type="dxa"/>
          <w:right w:w="108" w:type="dxa"/>
        </w:tblCellMar>
      </w:tblPr>
      <w:tblGrid>
        <w:gridCol w:w="4879"/>
        <w:gridCol w:w="1134"/>
        <w:gridCol w:w="1500"/>
        <w:gridCol w:w="4252"/>
        <w:gridCol w:w="1246"/>
        <w:gridCol w:w="1655"/>
      </w:tblGrid>
      <w:tr>
        <w:tblPrEx>
          <w:tblCellMar>
            <w:top w:w="0" w:type="dxa"/>
            <w:left w:w="108" w:type="dxa"/>
            <w:bottom w:w="0" w:type="dxa"/>
            <w:right w:w="108" w:type="dxa"/>
          </w:tblCellMar>
        </w:tblPrEx>
        <w:trPr>
          <w:trHeight w:val="510" w:hRule="atLeast"/>
          <w:jc w:val="center"/>
        </w:trPr>
        <w:tc>
          <w:tcPr>
            <w:tcW w:w="14666" w:type="dxa"/>
            <w:gridSpan w:val="6"/>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收入支出决算总表</w:t>
            </w:r>
          </w:p>
        </w:tc>
      </w:tr>
      <w:tr>
        <w:tblPrEx>
          <w:tblCellMar>
            <w:top w:w="0" w:type="dxa"/>
            <w:left w:w="108" w:type="dxa"/>
            <w:bottom w:w="0" w:type="dxa"/>
            <w:right w:w="108" w:type="dxa"/>
          </w:tblCellMar>
        </w:tblPrEx>
        <w:trPr>
          <w:trHeight w:val="300" w:hRule="atLeast"/>
          <w:jc w:val="center"/>
        </w:trPr>
        <w:tc>
          <w:tcPr>
            <w:tcW w:w="487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00"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425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4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55"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公开01表</w:t>
            </w:r>
          </w:p>
        </w:tc>
      </w:tr>
      <w:tr>
        <w:tblPrEx>
          <w:tblCellMar>
            <w:top w:w="0" w:type="dxa"/>
            <w:left w:w="108" w:type="dxa"/>
            <w:bottom w:w="0" w:type="dxa"/>
            <w:right w:w="108" w:type="dxa"/>
          </w:tblCellMar>
        </w:tblPrEx>
        <w:trPr>
          <w:trHeight w:val="270" w:hRule="atLeast"/>
          <w:jc w:val="center"/>
        </w:trPr>
        <w:tc>
          <w:tcPr>
            <w:tcW w:w="4879"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25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4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55"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751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收入</w:t>
            </w:r>
          </w:p>
        </w:tc>
        <w:tc>
          <w:tcPr>
            <w:tcW w:w="715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支出</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行次</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c>
          <w:tcPr>
            <w:tcW w:w="4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行次</w:t>
            </w:r>
          </w:p>
        </w:tc>
        <w:tc>
          <w:tcPr>
            <w:tcW w:w="16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4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6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一、一般公共预算财政拨款收入</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587.24</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一、一般公共服务支出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32</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二、政府性基金预算财政拨款收入</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二、外交支出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33</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三、国有资本经营预算财政拨款收入</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三、国防支出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34</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四、上级补助收入</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四、公共安全支出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35</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五、事业收入</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五、教育支出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36</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六、经营收入</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六、科学技术支出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37</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七、附属单位上缴收入</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七、文化旅游体育与传媒支出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八、其他收入</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0.10</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八、社会保障和就业支出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39</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九、卫生健康支出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十、节能环保支出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41</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十一、城乡社区支出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十二、农林水支出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43</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13</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十三、交通运输支出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44</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十四、资源勘探工业信息等支出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45</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十五、商业服务业等支出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46</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16</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十六、金融支出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47</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17</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十七、援助其他地区支出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48</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18</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十八、自然资源海洋气象等支出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49</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19</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十九、住房保障支出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50</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二十、粮油物资储备支出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51</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397.86</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21</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二十一、国有资本经营预算支出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52</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22</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二十二、灾害防治及应急管理支出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53</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193.93</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23</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二十三、其他支出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54</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24</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二十四、债务还本支出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二十五、债务付息支出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56</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26</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二十六、抗疫特别国债安排的支出</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57</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本年收入合计</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27</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587.34</w:t>
            </w:r>
          </w:p>
        </w:tc>
        <w:tc>
          <w:tcPr>
            <w:tcW w:w="4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本年支出合计</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58</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611.29</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使用非财政拨款结余</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28</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结余分配</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59</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年初结转和结余</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29</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114.41</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年末结转和结余</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60</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90.46</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30</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42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61</w:t>
            </w:r>
          </w:p>
        </w:tc>
        <w:tc>
          <w:tcPr>
            <w:tcW w:w="16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8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总计</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31</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701.75</w:t>
            </w:r>
          </w:p>
        </w:tc>
        <w:tc>
          <w:tcPr>
            <w:tcW w:w="4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总计</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62</w:t>
            </w:r>
          </w:p>
        </w:tc>
        <w:tc>
          <w:tcPr>
            <w:tcW w:w="16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701.75</w:t>
            </w:r>
          </w:p>
        </w:tc>
      </w:tr>
      <w:tr>
        <w:tblPrEx>
          <w:tblCellMar>
            <w:top w:w="0" w:type="dxa"/>
            <w:left w:w="108" w:type="dxa"/>
            <w:bottom w:w="0" w:type="dxa"/>
            <w:right w:w="108" w:type="dxa"/>
          </w:tblCellMar>
        </w:tblPrEx>
        <w:trPr>
          <w:trHeight w:val="300" w:hRule="atLeast"/>
          <w:jc w:val="center"/>
        </w:trPr>
        <w:tc>
          <w:tcPr>
            <w:tcW w:w="14666" w:type="dxa"/>
            <w:gridSpan w:val="6"/>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注：1.本表反映部门本年度的总收支和年末结转结余情况。</w:t>
            </w:r>
          </w:p>
        </w:tc>
      </w:tr>
      <w:tr>
        <w:tblPrEx>
          <w:tblCellMar>
            <w:top w:w="0" w:type="dxa"/>
            <w:left w:w="108" w:type="dxa"/>
            <w:bottom w:w="0" w:type="dxa"/>
            <w:right w:w="108" w:type="dxa"/>
          </w:tblCellMar>
        </w:tblPrEx>
        <w:trPr>
          <w:trHeight w:val="300" w:hRule="atLeast"/>
          <w:jc w:val="center"/>
        </w:trPr>
        <w:tc>
          <w:tcPr>
            <w:tcW w:w="14666" w:type="dxa"/>
            <w:gridSpan w:val="6"/>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2.本套报表金额单位转换时可能存在尾数误差。</w:t>
            </w:r>
          </w:p>
        </w:tc>
      </w:tr>
    </w:tbl>
    <w:p>
      <w:pPr>
        <w:widowControl/>
        <w:jc w:val="left"/>
        <w:rPr>
          <w:rFonts w:ascii="Times New Roman" w:hAnsi="Times New Roman" w:eastAsia="仿宋_GB2312" w:cs="Times New Roman"/>
          <w:bCs/>
          <w:kern w:val="0"/>
          <w:szCs w:val="21"/>
        </w:rPr>
      </w:pPr>
    </w:p>
    <w:p>
      <w:pPr>
        <w:widowControl/>
        <w:jc w:val="left"/>
      </w:pPr>
      <w:r>
        <w:br w:type="page"/>
      </w:r>
    </w:p>
    <w:tbl>
      <w:tblPr>
        <w:tblStyle w:val="5"/>
        <w:tblW w:w="14723" w:type="dxa"/>
        <w:jc w:val="center"/>
        <w:tblLayout w:type="autofit"/>
        <w:tblCellMar>
          <w:top w:w="0" w:type="dxa"/>
          <w:left w:w="108" w:type="dxa"/>
          <w:bottom w:w="0" w:type="dxa"/>
          <w:right w:w="108" w:type="dxa"/>
        </w:tblCellMar>
      </w:tblPr>
      <w:tblGrid>
        <w:gridCol w:w="401"/>
        <w:gridCol w:w="313"/>
        <w:gridCol w:w="272"/>
        <w:gridCol w:w="3814"/>
        <w:gridCol w:w="1559"/>
        <w:gridCol w:w="1560"/>
        <w:gridCol w:w="1559"/>
        <w:gridCol w:w="1134"/>
        <w:gridCol w:w="1276"/>
        <w:gridCol w:w="1275"/>
        <w:gridCol w:w="1560"/>
      </w:tblGrid>
      <w:tr>
        <w:trPr>
          <w:trHeight w:val="510" w:hRule="atLeast"/>
          <w:jc w:val="center"/>
        </w:trPr>
        <w:tc>
          <w:tcPr>
            <w:tcW w:w="14723" w:type="dxa"/>
            <w:gridSpan w:val="11"/>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收入决算表</w:t>
            </w:r>
          </w:p>
        </w:tc>
      </w:tr>
      <w:tr>
        <w:tblPrEx>
          <w:tblCellMar>
            <w:top w:w="0" w:type="dxa"/>
            <w:left w:w="108" w:type="dxa"/>
            <w:bottom w:w="0" w:type="dxa"/>
            <w:right w:w="108" w:type="dxa"/>
          </w:tblCellMar>
        </w:tblPrEx>
        <w:trPr>
          <w:trHeight w:val="270" w:hRule="atLeast"/>
          <w:jc w:val="center"/>
        </w:trPr>
        <w:tc>
          <w:tcPr>
            <w:tcW w:w="4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1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7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81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5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60"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155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7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7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60"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公开02表</w:t>
            </w:r>
          </w:p>
        </w:tc>
      </w:tr>
      <w:tr>
        <w:tblPrEx>
          <w:tblCellMar>
            <w:top w:w="0" w:type="dxa"/>
            <w:left w:w="108" w:type="dxa"/>
            <w:bottom w:w="0" w:type="dxa"/>
            <w:right w:w="108" w:type="dxa"/>
          </w:tblCellMar>
        </w:tblPrEx>
        <w:trPr>
          <w:trHeight w:val="270" w:hRule="atLeast"/>
          <w:jc w:val="center"/>
        </w:trPr>
        <w:tc>
          <w:tcPr>
            <w:tcW w:w="4800"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155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5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7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7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60"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4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本年收入合计</w:t>
            </w:r>
          </w:p>
        </w:tc>
        <w:tc>
          <w:tcPr>
            <w:tcW w:w="1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财政拨款收入</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上级补助收入</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事业收入</w:t>
            </w:r>
          </w:p>
        </w:tc>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经营收入</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附属单位上缴收入</w:t>
            </w:r>
          </w:p>
        </w:tc>
        <w:tc>
          <w:tcPr>
            <w:tcW w:w="15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其他收入</w:t>
            </w:r>
          </w:p>
        </w:tc>
      </w:tr>
      <w:tr>
        <w:tblPrEx>
          <w:tblCellMar>
            <w:top w:w="0" w:type="dxa"/>
            <w:left w:w="108" w:type="dxa"/>
            <w:bottom w:w="0" w:type="dxa"/>
            <w:right w:w="108" w:type="dxa"/>
          </w:tblCellMar>
        </w:tblPrEx>
        <w:trPr>
          <w:trHeight w:val="312" w:hRule="atLeast"/>
          <w:jc w:val="center"/>
        </w:trPr>
        <w:tc>
          <w:tcPr>
            <w:tcW w:w="98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功能分类科目编码</w:t>
            </w:r>
          </w:p>
        </w:tc>
        <w:tc>
          <w:tcPr>
            <w:tcW w:w="381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98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1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98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81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4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r>
      <w:tr>
        <w:tblPrEx>
          <w:tblCellMar>
            <w:top w:w="0" w:type="dxa"/>
            <w:left w:w="108" w:type="dxa"/>
            <w:bottom w:w="0" w:type="dxa"/>
            <w:right w:w="108" w:type="dxa"/>
          </w:tblCellMar>
        </w:tblPrEx>
        <w:trPr>
          <w:trHeight w:val="300" w:hRule="atLeast"/>
          <w:jc w:val="center"/>
        </w:trPr>
        <w:tc>
          <w:tcPr>
            <w:tcW w:w="480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587.34</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587.24</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0.10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7.20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7.20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7.20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7.20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2080505</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7.20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7.20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14.28</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14.28</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14.28</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14.28</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2210201</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住房公积金</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7.72</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7.72</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2210203</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购房补贴</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6.56</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6.56</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粮油物资储备支出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377.86</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377.76</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0.10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22201</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粮油物资事务</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108.76</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108.76</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2220150</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事业运行</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105.96</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105.96</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2220199</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其他粮油物资事务支出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2.80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2.80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22205</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重要商品储备</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269.10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269.00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0.10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2220511</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应急物资储备</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269.10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269.00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0.10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灾害防治及应急管理支出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188.00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188.00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22499</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其他灾害防治及应急管理支出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188.00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188.00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98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2249999</w:t>
            </w:r>
          </w:p>
        </w:tc>
        <w:tc>
          <w:tcPr>
            <w:tcW w:w="381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其他灾害防治及应急管理支出</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188.00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188.00</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4723" w:type="dxa"/>
            <w:gridSpan w:val="11"/>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注：本表反映部门本年度取得的各项收入情况。</w:t>
            </w:r>
          </w:p>
        </w:tc>
      </w:tr>
    </w:tbl>
    <w:p>
      <w:pPr>
        <w:widowControl/>
        <w:jc w:val="left"/>
      </w:pPr>
    </w:p>
    <w:p>
      <w:pPr>
        <w:widowControl/>
        <w:jc w:val="left"/>
      </w:pPr>
    </w:p>
    <w:p>
      <w:pPr>
        <w:widowControl/>
        <w:jc w:val="left"/>
      </w:pPr>
    </w:p>
    <w:p>
      <w:pPr>
        <w:widowControl/>
        <w:jc w:val="left"/>
      </w:pPr>
    </w:p>
    <w:tbl>
      <w:tblPr>
        <w:tblStyle w:val="5"/>
        <w:tblW w:w="14737" w:type="dxa"/>
        <w:jc w:val="center"/>
        <w:tblLayout w:type="autofit"/>
        <w:tblCellMar>
          <w:top w:w="0" w:type="dxa"/>
          <w:left w:w="108" w:type="dxa"/>
          <w:bottom w:w="0" w:type="dxa"/>
          <w:right w:w="108" w:type="dxa"/>
        </w:tblCellMar>
      </w:tblPr>
      <w:tblGrid>
        <w:gridCol w:w="1118"/>
        <w:gridCol w:w="313"/>
        <w:gridCol w:w="272"/>
        <w:gridCol w:w="3906"/>
        <w:gridCol w:w="1701"/>
        <w:gridCol w:w="1559"/>
        <w:gridCol w:w="1418"/>
        <w:gridCol w:w="1622"/>
        <w:gridCol w:w="1213"/>
        <w:gridCol w:w="1615"/>
      </w:tblGrid>
      <w:tr>
        <w:tblPrEx>
          <w:tblCellMar>
            <w:top w:w="0" w:type="dxa"/>
            <w:left w:w="108" w:type="dxa"/>
            <w:bottom w:w="0" w:type="dxa"/>
            <w:right w:w="108" w:type="dxa"/>
          </w:tblCellMar>
        </w:tblPrEx>
        <w:trPr>
          <w:trHeight w:val="510" w:hRule="atLeast"/>
          <w:jc w:val="center"/>
        </w:trPr>
        <w:tc>
          <w:tcPr>
            <w:tcW w:w="14737"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支出决算表</w:t>
            </w:r>
          </w:p>
        </w:tc>
      </w:tr>
      <w:tr>
        <w:tblPrEx>
          <w:tblCellMar>
            <w:top w:w="0" w:type="dxa"/>
            <w:left w:w="108" w:type="dxa"/>
            <w:bottom w:w="0" w:type="dxa"/>
            <w:right w:w="108" w:type="dxa"/>
          </w:tblCellMar>
        </w:tblPrEx>
        <w:trPr>
          <w:trHeight w:val="270" w:hRule="atLeast"/>
          <w:jc w:val="center"/>
        </w:trPr>
        <w:tc>
          <w:tcPr>
            <w:tcW w:w="111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1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7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90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7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59"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141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1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15"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公开03表</w:t>
            </w:r>
          </w:p>
        </w:tc>
      </w:tr>
      <w:tr>
        <w:tblPrEx>
          <w:tblCellMar>
            <w:top w:w="0" w:type="dxa"/>
            <w:left w:w="108" w:type="dxa"/>
            <w:bottom w:w="0" w:type="dxa"/>
            <w:right w:w="108" w:type="dxa"/>
          </w:tblCellMar>
        </w:tblPrEx>
        <w:trPr>
          <w:trHeight w:val="270" w:hRule="atLeast"/>
          <w:jc w:val="center"/>
        </w:trPr>
        <w:tc>
          <w:tcPr>
            <w:tcW w:w="5609"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17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5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1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1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615"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56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本年支出合计</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c>
          <w:tcPr>
            <w:tcW w:w="16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上缴上级支出</w:t>
            </w:r>
          </w:p>
        </w:tc>
        <w:tc>
          <w:tcPr>
            <w:tcW w:w="12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经营支出</w:t>
            </w:r>
          </w:p>
        </w:tc>
        <w:tc>
          <w:tcPr>
            <w:tcW w:w="16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对附属单位补助支出</w:t>
            </w:r>
          </w:p>
        </w:tc>
      </w:tr>
      <w:tr>
        <w:tblPrEx>
          <w:tblCellMar>
            <w:top w:w="0" w:type="dxa"/>
            <w:left w:w="108" w:type="dxa"/>
            <w:bottom w:w="0" w:type="dxa"/>
            <w:right w:w="108" w:type="dxa"/>
          </w:tblCellMar>
        </w:tblPrEx>
        <w:trPr>
          <w:trHeight w:val="312" w:hRule="atLeast"/>
          <w:jc w:val="center"/>
        </w:trPr>
        <w:tc>
          <w:tcPr>
            <w:tcW w:w="170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功能分类科目编码</w:t>
            </w:r>
          </w:p>
        </w:tc>
        <w:tc>
          <w:tcPr>
            <w:tcW w:w="390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70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9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170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9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6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56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62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2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6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r>
      <w:tr>
        <w:tblPrEx>
          <w:tblCellMar>
            <w:top w:w="0" w:type="dxa"/>
            <w:left w:w="108" w:type="dxa"/>
            <w:bottom w:w="0" w:type="dxa"/>
            <w:right w:w="108" w:type="dxa"/>
          </w:tblCellMar>
        </w:tblPrEx>
        <w:trPr>
          <w:trHeight w:val="300" w:hRule="atLeast"/>
          <w:jc w:val="center"/>
        </w:trPr>
        <w:tc>
          <w:tcPr>
            <w:tcW w:w="560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611.29</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113.85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497.44</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2080505</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2210201</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住房公积金</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7.72</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7.72</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2210203</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购房补贴</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4.59</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4.59</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粮油物资储备支出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397.86</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303.51</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22201</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粮油物资事务</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2220150</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事业运行</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22205</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重要商品储备</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303.51</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303.51</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2220511</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应急物资储备</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303.51</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303.51</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灾害防治及应急管理支出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193.93</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193.93</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22499</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其他灾害防治及应急管理支出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193.93</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193.93</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7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2249999</w:t>
            </w:r>
          </w:p>
        </w:tc>
        <w:tc>
          <w:tcPr>
            <w:tcW w:w="39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其他灾害防治及应急管理支出</w:t>
            </w:r>
          </w:p>
        </w:tc>
        <w:tc>
          <w:tcPr>
            <w:tcW w:w="170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193.93</w:t>
            </w:r>
          </w:p>
        </w:tc>
        <w:tc>
          <w:tcPr>
            <w:tcW w:w="1559"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193.93</w:t>
            </w:r>
          </w:p>
        </w:tc>
        <w:tc>
          <w:tcPr>
            <w:tcW w:w="162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61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4737" w:type="dxa"/>
            <w:gridSpan w:val="10"/>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注：本表反映部门本年度各项支出情况。</w:t>
            </w:r>
          </w:p>
        </w:tc>
      </w:tr>
    </w:tbl>
    <w:p>
      <w:pPr>
        <w:widowControl/>
        <w:jc w:val="left"/>
      </w:pPr>
    </w:p>
    <w:p>
      <w:pPr>
        <w:widowControl/>
        <w:jc w:val="left"/>
      </w:pPr>
    </w:p>
    <w:p>
      <w:pPr>
        <w:widowControl/>
        <w:jc w:val="left"/>
      </w:pPr>
    </w:p>
    <w:p>
      <w:pPr>
        <w:widowControl/>
        <w:jc w:val="left"/>
      </w:pPr>
    </w:p>
    <w:p>
      <w:pPr>
        <w:widowControl/>
        <w:jc w:val="left"/>
      </w:pPr>
    </w:p>
    <w:tbl>
      <w:tblPr>
        <w:tblStyle w:val="5"/>
        <w:tblW w:w="14960" w:type="dxa"/>
        <w:tblInd w:w="392" w:type="dxa"/>
        <w:tblLayout w:type="autofit"/>
        <w:tblCellMar>
          <w:top w:w="0" w:type="dxa"/>
          <w:left w:w="108" w:type="dxa"/>
          <w:bottom w:w="0" w:type="dxa"/>
          <w:right w:w="108" w:type="dxa"/>
        </w:tblCellMar>
      </w:tblPr>
      <w:tblGrid>
        <w:gridCol w:w="3402"/>
        <w:gridCol w:w="142"/>
        <w:gridCol w:w="499"/>
        <w:gridCol w:w="68"/>
        <w:gridCol w:w="992"/>
        <w:gridCol w:w="3544"/>
        <w:gridCol w:w="759"/>
        <w:gridCol w:w="546"/>
        <w:gridCol w:w="330"/>
        <w:gridCol w:w="575"/>
        <w:gridCol w:w="842"/>
        <w:gridCol w:w="391"/>
        <w:gridCol w:w="1136"/>
        <w:gridCol w:w="174"/>
        <w:gridCol w:w="1560"/>
      </w:tblGrid>
      <w:tr>
        <w:tblPrEx>
          <w:tblCellMar>
            <w:top w:w="0" w:type="dxa"/>
            <w:left w:w="108" w:type="dxa"/>
            <w:bottom w:w="0" w:type="dxa"/>
            <w:right w:w="108" w:type="dxa"/>
          </w:tblCellMar>
        </w:tblPrEx>
        <w:trPr>
          <w:trHeight w:val="510" w:hRule="atLeast"/>
        </w:trPr>
        <w:tc>
          <w:tcPr>
            <w:tcW w:w="14960" w:type="dxa"/>
            <w:gridSpan w:val="15"/>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财政拨款收入支出决算总表</w:t>
            </w:r>
          </w:p>
        </w:tc>
      </w:tr>
      <w:tr>
        <w:tblPrEx>
          <w:tblCellMar>
            <w:top w:w="0" w:type="dxa"/>
            <w:left w:w="108" w:type="dxa"/>
            <w:bottom w:w="0" w:type="dxa"/>
            <w:right w:w="108" w:type="dxa"/>
          </w:tblCellMar>
        </w:tblPrEx>
        <w:trPr>
          <w:trHeight w:val="270" w:hRule="atLeast"/>
        </w:trPr>
        <w:tc>
          <w:tcPr>
            <w:tcW w:w="3544"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9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303"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54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05" w:type="dxa"/>
            <w:gridSpan w:val="2"/>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1233"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734" w:type="dxa"/>
            <w:gridSpan w:val="2"/>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公开04表</w:t>
            </w:r>
          </w:p>
        </w:tc>
      </w:tr>
      <w:tr>
        <w:tblPrEx>
          <w:tblCellMar>
            <w:top w:w="0" w:type="dxa"/>
            <w:left w:w="108" w:type="dxa"/>
            <w:bottom w:w="0" w:type="dxa"/>
            <w:right w:w="108" w:type="dxa"/>
          </w:tblCellMar>
        </w:tblPrEx>
        <w:trPr>
          <w:trHeight w:val="270" w:hRule="atLeast"/>
        </w:trPr>
        <w:tc>
          <w:tcPr>
            <w:tcW w:w="3544" w:type="dxa"/>
            <w:gridSpan w:val="2"/>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49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303"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54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05"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33"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734" w:type="dxa"/>
            <w:gridSpan w:val="2"/>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trPr>
        <w:tc>
          <w:tcPr>
            <w:tcW w:w="5103"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收     入</w:t>
            </w:r>
          </w:p>
        </w:tc>
        <w:tc>
          <w:tcPr>
            <w:tcW w:w="9857" w:type="dxa"/>
            <w:gridSpan w:val="10"/>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支     出</w:t>
            </w:r>
          </w:p>
        </w:tc>
      </w:tr>
      <w:tr>
        <w:tblPrEx>
          <w:tblCellMar>
            <w:top w:w="0" w:type="dxa"/>
            <w:left w:w="108" w:type="dxa"/>
            <w:bottom w:w="0" w:type="dxa"/>
            <w:right w:w="108" w:type="dxa"/>
          </w:tblCellMar>
        </w:tblPrEx>
        <w:trPr>
          <w:trHeight w:val="312" w:hRule="atLeast"/>
        </w:trPr>
        <w:tc>
          <w:tcPr>
            <w:tcW w:w="3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709"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行次</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金额</w:t>
            </w:r>
          </w:p>
        </w:tc>
        <w:tc>
          <w:tcPr>
            <w:tcW w:w="354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7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行次</w:t>
            </w:r>
          </w:p>
        </w:tc>
        <w:tc>
          <w:tcPr>
            <w:tcW w:w="876" w:type="dxa"/>
            <w:gridSpan w:val="2"/>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417"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一般公共预算财政拨款</w:t>
            </w:r>
          </w:p>
        </w:tc>
        <w:tc>
          <w:tcPr>
            <w:tcW w:w="1701"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政府性基金预算财政拨款</w:t>
            </w:r>
          </w:p>
        </w:tc>
        <w:tc>
          <w:tcPr>
            <w:tcW w:w="1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国有资本经营预算财政拨款</w:t>
            </w:r>
          </w:p>
        </w:tc>
      </w:tr>
      <w:tr>
        <w:tblPrEx>
          <w:tblCellMar>
            <w:top w:w="0" w:type="dxa"/>
            <w:left w:w="108" w:type="dxa"/>
            <w:bottom w:w="0" w:type="dxa"/>
            <w:right w:w="108" w:type="dxa"/>
          </w:tblCellMar>
        </w:tblPrEx>
        <w:trPr>
          <w:trHeight w:val="600" w:hRule="atLeast"/>
        </w:trPr>
        <w:tc>
          <w:tcPr>
            <w:tcW w:w="340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09"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54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76"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1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01"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35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一、一般公共预算财政拨款</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587.24</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一、一般公共服务支出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33</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二、政府性基金预算财政拨款</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二、外交支出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34</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三、国有资本经营预算财政拨款</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三、国防支出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35</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四、公共安全支出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36</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五、教育支出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37</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六、科学技术支出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38</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七、文化旅游体育与传媒支出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39</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八、社会保障和就业支出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40</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九、卫生健康支出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41</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十、节能环保支出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十一、城乡社区支出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43</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十二、农林水支出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44</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13</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十三、交通运输支出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45</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十四、资源勘探工业信息等支出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46</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十五、商业服务业等支出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47</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16</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十六、金融支出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48</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17</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十七、援助其他地区支出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49</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18</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十八、自然资源海洋气象等支出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50</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19</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十九、住房保障支出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51</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二十、粮油物资储备支出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52</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314.95</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314.95</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21</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二十一、国有资本经营预算支出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53</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22</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二十二、灾害防治及应急管理支出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54</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162.41</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162.41</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23</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二十三、其他支出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24</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二十四、债务还本支出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56</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25</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二十五、债务付息支出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57</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26</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二十六、抗疫特别国债安排的支出</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58</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本年收入合计</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27</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587.24</w:t>
            </w:r>
          </w:p>
        </w:tc>
        <w:tc>
          <w:tcPr>
            <w:tcW w:w="35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本年支出合计</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59</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496.86</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496.86</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年初财政拨款结转和结余</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28</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年末财政拨款结转和结余</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60</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90.38</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90.38</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一般公共预算财政拨款</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29</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61</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政府性基金预算财政拨款</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30</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62</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国有资本经营预算财政拨款</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31</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63</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trPr>
        <w:tc>
          <w:tcPr>
            <w:tcW w:w="340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总计</w:t>
            </w:r>
          </w:p>
        </w:tc>
        <w:tc>
          <w:tcPr>
            <w:tcW w:w="709"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32</w:t>
            </w:r>
          </w:p>
        </w:tc>
        <w:tc>
          <w:tcPr>
            <w:tcW w:w="99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587.24</w:t>
            </w:r>
          </w:p>
        </w:tc>
        <w:tc>
          <w:tcPr>
            <w:tcW w:w="35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总计</w:t>
            </w:r>
          </w:p>
        </w:tc>
        <w:tc>
          <w:tcPr>
            <w:tcW w:w="7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64</w:t>
            </w:r>
          </w:p>
        </w:tc>
        <w:tc>
          <w:tcPr>
            <w:tcW w:w="876"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587.24</w:t>
            </w:r>
          </w:p>
        </w:tc>
        <w:tc>
          <w:tcPr>
            <w:tcW w:w="141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587.24</w:t>
            </w:r>
          </w:p>
        </w:tc>
        <w:tc>
          <w:tcPr>
            <w:tcW w:w="1701"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trPr>
        <w:tc>
          <w:tcPr>
            <w:tcW w:w="14960" w:type="dxa"/>
            <w:gridSpan w:val="15"/>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2"/>
              </w:rPr>
              <w:t>注：本表反映部门本年度一般公共预算财政拨款、政府性基金预算财政拨款和国有资本经营预算财政拨款的总收支和年末结转结余情况。</w:t>
            </w:r>
            <w:r>
              <w:rPr>
                <w:rFonts w:hint="eastAsia" w:ascii="宋体" w:hAnsi="宋体" w:eastAsia="宋体" w:cs="宋体"/>
                <w:color w:val="000000"/>
                <w:kern w:val="0"/>
                <w:sz w:val="20"/>
                <w:szCs w:val="20"/>
              </w:rPr>
              <w:t>　</w:t>
            </w:r>
          </w:p>
        </w:tc>
      </w:tr>
    </w:tbl>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tbl>
      <w:tblPr>
        <w:tblStyle w:val="5"/>
        <w:tblW w:w="14690" w:type="dxa"/>
        <w:jc w:val="center"/>
        <w:tblLayout w:type="autofit"/>
        <w:tblCellMar>
          <w:top w:w="0" w:type="dxa"/>
          <w:left w:w="108" w:type="dxa"/>
          <w:bottom w:w="0" w:type="dxa"/>
          <w:right w:w="108" w:type="dxa"/>
        </w:tblCellMar>
      </w:tblPr>
      <w:tblGrid>
        <w:gridCol w:w="1781"/>
        <w:gridCol w:w="222"/>
        <w:gridCol w:w="1257"/>
        <w:gridCol w:w="3260"/>
        <w:gridCol w:w="2552"/>
        <w:gridCol w:w="2551"/>
        <w:gridCol w:w="2964"/>
        <w:gridCol w:w="103"/>
      </w:tblGrid>
      <w:tr>
        <w:tblPrEx>
          <w:tblCellMar>
            <w:top w:w="0" w:type="dxa"/>
            <w:left w:w="108" w:type="dxa"/>
            <w:bottom w:w="0" w:type="dxa"/>
            <w:right w:w="108" w:type="dxa"/>
          </w:tblCellMar>
        </w:tblPrEx>
        <w:trPr>
          <w:gridAfter w:val="1"/>
          <w:wAfter w:w="103" w:type="dxa"/>
          <w:trHeight w:val="840" w:hRule="atLeast"/>
          <w:jc w:val="center"/>
        </w:trPr>
        <w:tc>
          <w:tcPr>
            <w:tcW w:w="14587" w:type="dxa"/>
            <w:gridSpan w:val="7"/>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r>
              <w:rPr>
                <w:rFonts w:hint="eastAsia" w:ascii="宋体" w:hAnsi="宋体" w:eastAsia="宋体" w:cs="宋体"/>
                <w:b/>
                <w:bCs/>
                <w:kern w:val="0"/>
                <w:sz w:val="40"/>
                <w:szCs w:val="40"/>
              </w:rPr>
              <w:t>一般公共预算财政拨款支出决算表</w:t>
            </w:r>
          </w:p>
        </w:tc>
      </w:tr>
      <w:tr>
        <w:tblPrEx>
          <w:tblCellMar>
            <w:top w:w="0" w:type="dxa"/>
            <w:left w:w="108" w:type="dxa"/>
            <w:bottom w:w="0" w:type="dxa"/>
            <w:right w:w="108" w:type="dxa"/>
          </w:tblCellMar>
        </w:tblPrEx>
        <w:trPr>
          <w:trHeight w:val="270" w:hRule="atLeast"/>
          <w:jc w:val="center"/>
        </w:trPr>
        <w:tc>
          <w:tcPr>
            <w:tcW w:w="178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5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2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55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551"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3067" w:type="dxa"/>
            <w:gridSpan w:val="2"/>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公开05表</w:t>
            </w:r>
          </w:p>
        </w:tc>
      </w:tr>
      <w:tr>
        <w:tblPrEx>
          <w:tblCellMar>
            <w:top w:w="0" w:type="dxa"/>
            <w:left w:w="108" w:type="dxa"/>
            <w:bottom w:w="0" w:type="dxa"/>
            <w:right w:w="108" w:type="dxa"/>
          </w:tblCellMar>
        </w:tblPrEx>
        <w:trPr>
          <w:trHeight w:val="270" w:hRule="atLeast"/>
          <w:jc w:val="center"/>
        </w:trPr>
        <w:tc>
          <w:tcPr>
            <w:tcW w:w="6520"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255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55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067" w:type="dxa"/>
            <w:gridSpan w:val="2"/>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652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81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w:t>
            </w:r>
          </w:p>
        </w:tc>
      </w:tr>
      <w:tr>
        <w:tblPrEx>
          <w:tblCellMar>
            <w:top w:w="0" w:type="dxa"/>
            <w:left w:w="108" w:type="dxa"/>
            <w:bottom w:w="0" w:type="dxa"/>
            <w:right w:w="108" w:type="dxa"/>
          </w:tblCellMar>
        </w:tblPrEx>
        <w:trPr>
          <w:trHeight w:val="312" w:hRule="atLeast"/>
          <w:jc w:val="center"/>
        </w:trPr>
        <w:tc>
          <w:tcPr>
            <w:tcW w:w="326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功能分类科目代码</w:t>
            </w:r>
          </w:p>
        </w:tc>
        <w:tc>
          <w:tcPr>
            <w:tcW w:w="32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25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25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3067"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r>
      <w:tr>
        <w:tblPrEx>
          <w:tblCellMar>
            <w:top w:w="0" w:type="dxa"/>
            <w:left w:w="108" w:type="dxa"/>
            <w:bottom w:w="0" w:type="dxa"/>
            <w:right w:w="108" w:type="dxa"/>
          </w:tblCellMar>
        </w:tblPrEx>
        <w:trPr>
          <w:trHeight w:val="312" w:hRule="atLeast"/>
          <w:jc w:val="center"/>
        </w:trPr>
        <w:tc>
          <w:tcPr>
            <w:tcW w:w="326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06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326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5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06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652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25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r>
      <w:tr>
        <w:tblPrEx>
          <w:tblCellMar>
            <w:top w:w="0" w:type="dxa"/>
            <w:left w:w="108" w:type="dxa"/>
            <w:bottom w:w="0" w:type="dxa"/>
            <w:right w:w="108" w:type="dxa"/>
          </w:tblCellMar>
        </w:tblPrEx>
        <w:trPr>
          <w:trHeight w:val="300" w:hRule="atLeast"/>
          <w:jc w:val="center"/>
        </w:trPr>
        <w:tc>
          <w:tcPr>
            <w:tcW w:w="652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496.86</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113.85</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383.01</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2080505</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12.31</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住房公积金</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7.72</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7.72</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2210203</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购房补贴</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4.59</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4.59</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粮油物资储备支出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314.95</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220.60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粮油物资事务</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2220150</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事业运行</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94.35</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2220199</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其他粮油物资事务支出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22205</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重要商品储备</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220.60</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220.60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2220511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应急物资储备</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220.60</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220.60</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灾害防治及应急管理支出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162.41</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162.41</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22499</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其他灾害防治及应急管理支出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162.41</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162.41</w:t>
            </w:r>
          </w:p>
        </w:tc>
      </w:tr>
      <w:tr>
        <w:tblPrEx>
          <w:tblCellMar>
            <w:top w:w="0" w:type="dxa"/>
            <w:left w:w="108" w:type="dxa"/>
            <w:bottom w:w="0" w:type="dxa"/>
            <w:right w:w="108" w:type="dxa"/>
          </w:tblCellMar>
        </w:tblPrEx>
        <w:trPr>
          <w:trHeight w:val="300" w:hRule="atLeast"/>
          <w:jc w:val="center"/>
        </w:trPr>
        <w:tc>
          <w:tcPr>
            <w:tcW w:w="32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2249999</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其他灾害防治及应急管理支出</w:t>
            </w:r>
          </w:p>
        </w:tc>
        <w:tc>
          <w:tcPr>
            <w:tcW w:w="25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162.41</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306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162.41</w:t>
            </w:r>
          </w:p>
        </w:tc>
      </w:tr>
      <w:tr>
        <w:tblPrEx>
          <w:tblCellMar>
            <w:top w:w="0" w:type="dxa"/>
            <w:left w:w="108" w:type="dxa"/>
            <w:bottom w:w="0" w:type="dxa"/>
            <w:right w:w="108" w:type="dxa"/>
          </w:tblCellMar>
        </w:tblPrEx>
        <w:trPr>
          <w:trHeight w:val="300" w:hRule="atLeast"/>
          <w:jc w:val="center"/>
        </w:trPr>
        <w:tc>
          <w:tcPr>
            <w:tcW w:w="14690" w:type="dxa"/>
            <w:gridSpan w:val="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注：本表反映部门本年度一般公共预算财政拨款支出情况。</w:t>
            </w:r>
          </w:p>
        </w:tc>
      </w:tr>
    </w:tbl>
    <w:p>
      <w:pPr>
        <w:widowControl/>
        <w:rPr>
          <w:sz w:val="72"/>
          <w:szCs w:val="72"/>
        </w:rPr>
      </w:pPr>
    </w:p>
    <w:tbl>
      <w:tblPr>
        <w:tblStyle w:val="5"/>
        <w:tblW w:w="14807" w:type="dxa"/>
        <w:jc w:val="center"/>
        <w:tblLayout w:type="autofit"/>
        <w:tblCellMar>
          <w:top w:w="0" w:type="dxa"/>
          <w:left w:w="108" w:type="dxa"/>
          <w:bottom w:w="0" w:type="dxa"/>
          <w:right w:w="108" w:type="dxa"/>
        </w:tblCellMar>
      </w:tblPr>
      <w:tblGrid>
        <w:gridCol w:w="1199"/>
        <w:gridCol w:w="3260"/>
        <w:gridCol w:w="916"/>
        <w:gridCol w:w="1186"/>
        <w:gridCol w:w="2434"/>
        <w:gridCol w:w="916"/>
        <w:gridCol w:w="1210"/>
        <w:gridCol w:w="2476"/>
        <w:gridCol w:w="1210"/>
      </w:tblGrid>
      <w:tr>
        <w:trPr>
          <w:trHeight w:val="510" w:hRule="atLeast"/>
          <w:jc w:val="center"/>
        </w:trPr>
        <w:tc>
          <w:tcPr>
            <w:tcW w:w="14807" w:type="dxa"/>
            <w:gridSpan w:val="9"/>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一般公共预算财政拨款基本支出决算明细表</w:t>
            </w:r>
          </w:p>
        </w:tc>
      </w:tr>
      <w:tr>
        <w:tblPrEx>
          <w:tblCellMar>
            <w:top w:w="0" w:type="dxa"/>
            <w:left w:w="108" w:type="dxa"/>
            <w:bottom w:w="0" w:type="dxa"/>
            <w:right w:w="108" w:type="dxa"/>
          </w:tblCellMar>
        </w:tblPrEx>
        <w:trPr>
          <w:trHeight w:val="270" w:hRule="atLeast"/>
          <w:jc w:val="center"/>
        </w:trPr>
        <w:tc>
          <w:tcPr>
            <w:tcW w:w="119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2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1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8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16"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121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7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10"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公开06表</w:t>
            </w:r>
          </w:p>
        </w:tc>
      </w:tr>
      <w:tr>
        <w:tblPrEx>
          <w:tblCellMar>
            <w:top w:w="0" w:type="dxa"/>
            <w:left w:w="108" w:type="dxa"/>
            <w:bottom w:w="0" w:type="dxa"/>
            <w:right w:w="108" w:type="dxa"/>
          </w:tblCellMar>
        </w:tblPrEx>
        <w:trPr>
          <w:trHeight w:val="270" w:hRule="atLeast"/>
          <w:jc w:val="center"/>
        </w:trPr>
        <w:tc>
          <w:tcPr>
            <w:tcW w:w="4459" w:type="dxa"/>
            <w:gridSpan w:val="2"/>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91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8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1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1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7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10"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12" w:hRule="atLeast"/>
          <w:jc w:val="center"/>
        </w:trPr>
        <w:tc>
          <w:tcPr>
            <w:tcW w:w="11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经济分类科目代码</w:t>
            </w:r>
          </w:p>
        </w:tc>
        <w:tc>
          <w:tcPr>
            <w:tcW w:w="32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c>
          <w:tcPr>
            <w:tcW w:w="11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经济分类科目代码</w:t>
            </w:r>
          </w:p>
        </w:tc>
        <w:tc>
          <w:tcPr>
            <w:tcW w:w="24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经济分类科目代码</w:t>
            </w:r>
          </w:p>
        </w:tc>
        <w:tc>
          <w:tcPr>
            <w:tcW w:w="24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r>
      <w:tr>
        <w:tblPrEx>
          <w:tblCellMar>
            <w:top w:w="0" w:type="dxa"/>
            <w:left w:w="108" w:type="dxa"/>
            <w:bottom w:w="0" w:type="dxa"/>
            <w:right w:w="108" w:type="dxa"/>
          </w:tblCellMar>
        </w:tblPrEx>
        <w:trPr>
          <w:trHeight w:val="312" w:hRule="atLeast"/>
          <w:jc w:val="center"/>
        </w:trPr>
        <w:tc>
          <w:tcPr>
            <w:tcW w:w="11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4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4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工资福利支出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81.90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商品和服务支出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31.95</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债务利息及费用支出</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基本工资</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22.77</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30201</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办公费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5.12</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30701</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国内债务付息</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30102</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津贴补贴</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8.96</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30202</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印刷费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30702</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国外债务付息</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30103</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奖金</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30203</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咨询费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资本性支出</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30106</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伙食补助费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30204</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手续费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31001</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房屋建筑物购建</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30107</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绩效工资</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27.89</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30205</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水费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31002</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办公设备购置</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30108</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机关事业单位基本养老保险缴费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7.19</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30206</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电费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31003</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专用设备购置</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30109</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职业年金缴费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2.35</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30207</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邮电费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31005</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基础设施建设</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30110</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职工基本医疗保险缴费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5.02</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30208</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取暖费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31006</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大型修缮</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公务员医疗补助缴费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30209</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物业管理费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31007</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信息网络及软件购置更新</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30112</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其他社会保障缴费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30211</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差旅费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2.01</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31008</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物资储备</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30113</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住房公积金</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7.72</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30212</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因公出国（境）费用</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31009</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土地补偿</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30114</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医疗费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30213</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维修（护）费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31010</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安置补助</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30199</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其他工资福利支出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30214</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租赁费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31011</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地上附着物和青苗补偿</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对个人和家庭的补助</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30215</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会议费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31012</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拆迁补偿</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离休费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30216</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培训费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31013</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公务用车购置</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30302</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退休费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30217</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公务接待费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0.56</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31019</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其他交通工具购置</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30303</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退职（役）费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30218</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专用材料费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31021</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文物和陈列品购置</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30304</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抚恤金</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30224</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被装购置费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31022</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无形资产购置</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30305</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生活补助</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30225</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专用燃料费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31099</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其他资本性支出</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30306</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救济费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30226</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劳务费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其他支出</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30307</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医疗费补助</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30227</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委托业务费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39907</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国家赔偿费用支出</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30308</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助学金</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30228</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工会经费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2.00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39908</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对民间非营利组织和群众性自治组织补贴</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30309</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奖励金</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30229</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福利费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39909</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经常性赠与</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30310</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个人农业生产补贴</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30231</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公务用车运行维护费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7.69</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39910</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资本性赠与</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30311</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代缴社会保险费</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30239</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其他交通费用</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5.15</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39999</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其他支出</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30399</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其他对个人和家庭的补助</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30240</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税金及附加费用</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19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18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30299</w:t>
            </w:r>
          </w:p>
        </w:tc>
        <w:tc>
          <w:tcPr>
            <w:tcW w:w="243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其他商品和服务支出</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9.42</w:t>
            </w:r>
          </w:p>
        </w:tc>
        <w:tc>
          <w:tcPr>
            <w:tcW w:w="12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7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445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人员经费合计</w:t>
            </w:r>
          </w:p>
        </w:tc>
        <w:tc>
          <w:tcPr>
            <w:tcW w:w="91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81.90</w:t>
            </w:r>
          </w:p>
        </w:tc>
        <w:tc>
          <w:tcPr>
            <w:tcW w:w="8222"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公用经费合计</w:t>
            </w:r>
          </w:p>
        </w:tc>
        <w:tc>
          <w:tcPr>
            <w:tcW w:w="12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31.95</w:t>
            </w:r>
          </w:p>
        </w:tc>
      </w:tr>
      <w:tr>
        <w:tblPrEx>
          <w:tblCellMar>
            <w:top w:w="0" w:type="dxa"/>
            <w:left w:w="108" w:type="dxa"/>
            <w:bottom w:w="0" w:type="dxa"/>
            <w:right w:w="108" w:type="dxa"/>
          </w:tblCellMar>
        </w:tblPrEx>
        <w:trPr>
          <w:trHeight w:val="300" w:hRule="atLeast"/>
          <w:jc w:val="center"/>
        </w:trPr>
        <w:tc>
          <w:tcPr>
            <w:tcW w:w="14807"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注：本表反映部门本年度一般公共预算财政拨款基本支出明细情况。</w:t>
            </w:r>
          </w:p>
        </w:tc>
      </w:tr>
    </w:tbl>
    <w:p>
      <w:pPr>
        <w:widowControl/>
        <w:rPr>
          <w:sz w:val="72"/>
          <w:szCs w:val="72"/>
        </w:rPr>
      </w:pPr>
    </w:p>
    <w:p>
      <w:pPr>
        <w:widowControl/>
        <w:rPr>
          <w:sz w:val="72"/>
          <w:szCs w:val="72"/>
        </w:rPr>
      </w:pPr>
    </w:p>
    <w:p>
      <w:pPr>
        <w:widowControl/>
        <w:rPr>
          <w:sz w:val="72"/>
          <w:szCs w:val="72"/>
        </w:rPr>
      </w:pPr>
    </w:p>
    <w:p>
      <w:pPr>
        <w:widowControl/>
        <w:rPr>
          <w:sz w:val="72"/>
          <w:szCs w:val="72"/>
        </w:rPr>
      </w:pPr>
    </w:p>
    <w:p>
      <w:pPr>
        <w:widowControl/>
        <w:rPr>
          <w:sz w:val="72"/>
          <w:szCs w:val="72"/>
        </w:rPr>
      </w:pPr>
    </w:p>
    <w:p>
      <w:pPr>
        <w:widowControl/>
        <w:rPr>
          <w:sz w:val="72"/>
          <w:szCs w:val="72"/>
        </w:rPr>
      </w:pPr>
    </w:p>
    <w:p>
      <w:pPr>
        <w:widowControl/>
        <w:rPr>
          <w:sz w:val="72"/>
          <w:szCs w:val="72"/>
        </w:rPr>
      </w:pPr>
    </w:p>
    <w:p>
      <w:pPr>
        <w:widowControl/>
        <w:rPr>
          <w:sz w:val="72"/>
          <w:szCs w:val="72"/>
        </w:rPr>
      </w:pPr>
    </w:p>
    <w:tbl>
      <w:tblPr>
        <w:tblStyle w:val="5"/>
        <w:tblW w:w="15078" w:type="dxa"/>
        <w:jc w:val="center"/>
        <w:tblLayout w:type="autofit"/>
        <w:tblCellMar>
          <w:top w:w="0" w:type="dxa"/>
          <w:left w:w="108" w:type="dxa"/>
          <w:bottom w:w="0" w:type="dxa"/>
          <w:right w:w="108" w:type="dxa"/>
        </w:tblCellMar>
      </w:tblPr>
      <w:tblGrid>
        <w:gridCol w:w="236"/>
        <w:gridCol w:w="222"/>
        <w:gridCol w:w="222"/>
        <w:gridCol w:w="779"/>
        <w:gridCol w:w="1392"/>
        <w:gridCol w:w="297"/>
        <w:gridCol w:w="236"/>
        <w:gridCol w:w="1607"/>
        <w:gridCol w:w="378"/>
        <w:gridCol w:w="1039"/>
        <w:gridCol w:w="438"/>
        <w:gridCol w:w="236"/>
        <w:gridCol w:w="201"/>
        <w:gridCol w:w="1170"/>
        <w:gridCol w:w="201"/>
        <w:gridCol w:w="35"/>
        <w:gridCol w:w="1842"/>
        <w:gridCol w:w="1122"/>
        <w:gridCol w:w="1005"/>
        <w:gridCol w:w="424"/>
        <w:gridCol w:w="1418"/>
        <w:gridCol w:w="413"/>
        <w:gridCol w:w="165"/>
      </w:tblGrid>
      <w:tr>
        <w:tblPrEx>
          <w:tblCellMar>
            <w:top w:w="0" w:type="dxa"/>
            <w:left w:w="108" w:type="dxa"/>
            <w:bottom w:w="0" w:type="dxa"/>
            <w:right w:w="108" w:type="dxa"/>
          </w:tblCellMar>
        </w:tblPrEx>
        <w:trPr>
          <w:gridAfter w:val="2"/>
          <w:wAfter w:w="578" w:type="dxa"/>
          <w:trHeight w:val="510" w:hRule="atLeast"/>
          <w:jc w:val="center"/>
        </w:trPr>
        <w:tc>
          <w:tcPr>
            <w:tcW w:w="14500" w:type="dxa"/>
            <w:gridSpan w:val="21"/>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政府性基金预算财政拨款收入支出决算表</w:t>
            </w:r>
          </w:p>
        </w:tc>
      </w:tr>
      <w:tr>
        <w:tblPrEx>
          <w:tblCellMar>
            <w:top w:w="0" w:type="dxa"/>
            <w:left w:w="108" w:type="dxa"/>
            <w:bottom w:w="0" w:type="dxa"/>
            <w:right w:w="108" w:type="dxa"/>
          </w:tblCellMar>
        </w:tblPrEx>
        <w:trPr>
          <w:gridAfter w:val="1"/>
          <w:wAfter w:w="165" w:type="dxa"/>
          <w:trHeight w:val="270" w:hRule="atLeast"/>
          <w:jc w:val="center"/>
        </w:trPr>
        <w:tc>
          <w:tcPr>
            <w:tcW w:w="23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68"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43"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17" w:type="dxa"/>
            <w:gridSpan w:val="2"/>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875"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371"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999" w:type="dxa"/>
            <w:gridSpan w:val="3"/>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260" w:type="dxa"/>
            <w:gridSpan w:val="4"/>
            <w:tcBorders>
              <w:top w:val="nil"/>
              <w:left w:val="nil"/>
              <w:bottom w:val="nil"/>
              <w:right w:val="nil"/>
            </w:tcBorders>
            <w:shd w:val="clear" w:color="auto" w:fill="auto"/>
            <w:noWrap/>
            <w:vAlign w:val="bottom"/>
          </w:tcPr>
          <w:p>
            <w:pPr>
              <w:widowControl/>
              <w:ind w:right="600"/>
              <w:jc w:val="right"/>
              <w:rPr>
                <w:rFonts w:ascii="宋体" w:hAnsi="宋体" w:eastAsia="宋体" w:cs="宋体"/>
                <w:kern w:val="0"/>
                <w:sz w:val="20"/>
                <w:szCs w:val="20"/>
              </w:rPr>
            </w:pPr>
            <w:r>
              <w:rPr>
                <w:rFonts w:hint="eastAsia" w:ascii="宋体" w:hAnsi="宋体" w:eastAsia="宋体" w:cs="宋体"/>
                <w:kern w:val="0"/>
                <w:sz w:val="20"/>
                <w:szCs w:val="20"/>
              </w:rPr>
              <w:t>公开07表</w:t>
            </w:r>
          </w:p>
        </w:tc>
      </w:tr>
      <w:tr>
        <w:tblPrEx>
          <w:tblCellMar>
            <w:top w:w="0" w:type="dxa"/>
            <w:left w:w="108" w:type="dxa"/>
            <w:bottom w:w="0" w:type="dxa"/>
            <w:right w:w="108" w:type="dxa"/>
          </w:tblCellMar>
        </w:tblPrEx>
        <w:trPr>
          <w:trHeight w:val="270" w:hRule="atLeast"/>
          <w:jc w:val="center"/>
        </w:trPr>
        <w:tc>
          <w:tcPr>
            <w:tcW w:w="3384" w:type="dxa"/>
            <w:gridSpan w:val="7"/>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1985"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77"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3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371"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629" w:type="dxa"/>
            <w:gridSpan w:val="6"/>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996" w:type="dxa"/>
            <w:gridSpan w:val="3"/>
            <w:tcBorders>
              <w:top w:val="nil"/>
              <w:left w:val="nil"/>
              <w:bottom w:val="nil"/>
              <w:right w:val="nil"/>
            </w:tcBorders>
            <w:shd w:val="clear" w:color="auto" w:fill="auto"/>
            <w:noWrap/>
            <w:vAlign w:val="bottom"/>
          </w:tcPr>
          <w:p>
            <w:pPr>
              <w:widowControl/>
              <w:ind w:right="800"/>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gridAfter w:val="2"/>
          <w:wAfter w:w="578" w:type="dxa"/>
          <w:trHeight w:val="300" w:hRule="atLeast"/>
          <w:jc w:val="center"/>
        </w:trPr>
        <w:tc>
          <w:tcPr>
            <w:tcW w:w="3384"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19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年初结转和结余</w:t>
            </w:r>
          </w:p>
        </w:tc>
        <w:tc>
          <w:tcPr>
            <w:tcW w:w="14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本年收入</w:t>
            </w:r>
          </w:p>
        </w:tc>
        <w:tc>
          <w:tcPr>
            <w:tcW w:w="5812"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w:t>
            </w:r>
          </w:p>
        </w:tc>
        <w:tc>
          <w:tcPr>
            <w:tcW w:w="18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年末结转和结余</w:t>
            </w:r>
          </w:p>
        </w:tc>
      </w:tr>
      <w:tr>
        <w:tblPrEx>
          <w:tblCellMar>
            <w:top w:w="0" w:type="dxa"/>
            <w:left w:w="108" w:type="dxa"/>
            <w:bottom w:w="0" w:type="dxa"/>
            <w:right w:w="108" w:type="dxa"/>
          </w:tblCellMar>
        </w:tblPrEx>
        <w:trPr>
          <w:gridAfter w:val="2"/>
          <w:wAfter w:w="578" w:type="dxa"/>
          <w:trHeight w:val="312" w:hRule="atLeast"/>
          <w:jc w:val="center"/>
        </w:trPr>
        <w:tc>
          <w:tcPr>
            <w:tcW w:w="1459"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科目代码</w:t>
            </w:r>
          </w:p>
        </w:tc>
        <w:tc>
          <w:tcPr>
            <w:tcW w:w="1925" w:type="dxa"/>
            <w:gridSpan w:val="3"/>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19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3" w:type="dxa"/>
            <w:gridSpan w:val="5"/>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8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2127"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c>
          <w:tcPr>
            <w:tcW w:w="18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gridAfter w:val="2"/>
          <w:wAfter w:w="578" w:type="dxa"/>
          <w:trHeight w:val="312" w:hRule="atLeast"/>
          <w:jc w:val="center"/>
        </w:trPr>
        <w:tc>
          <w:tcPr>
            <w:tcW w:w="1459"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25"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3"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12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gridAfter w:val="2"/>
          <w:wAfter w:w="578" w:type="dxa"/>
          <w:trHeight w:val="312" w:hRule="atLeast"/>
          <w:jc w:val="center"/>
        </w:trPr>
        <w:tc>
          <w:tcPr>
            <w:tcW w:w="1459"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25"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3"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127"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8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gridAfter w:val="2"/>
          <w:wAfter w:w="578" w:type="dxa"/>
          <w:trHeight w:val="300" w:hRule="atLeast"/>
          <w:jc w:val="center"/>
        </w:trPr>
        <w:tc>
          <w:tcPr>
            <w:tcW w:w="3384"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47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843" w:type="dxa"/>
            <w:gridSpan w:val="5"/>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84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212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1842"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r>
      <w:tr>
        <w:tblPrEx>
          <w:tblCellMar>
            <w:top w:w="0" w:type="dxa"/>
            <w:left w:w="108" w:type="dxa"/>
            <w:bottom w:w="0" w:type="dxa"/>
            <w:right w:w="108" w:type="dxa"/>
          </w:tblCellMar>
        </w:tblPrEx>
        <w:trPr>
          <w:gridAfter w:val="2"/>
          <w:wAfter w:w="578" w:type="dxa"/>
          <w:trHeight w:val="300" w:hRule="atLeast"/>
          <w:jc w:val="center"/>
        </w:trPr>
        <w:tc>
          <w:tcPr>
            <w:tcW w:w="3384"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47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843" w:type="dxa"/>
            <w:gridSpan w:val="5"/>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212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1842"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r>
        <w:tblPrEx>
          <w:tblCellMar>
            <w:top w:w="0" w:type="dxa"/>
            <w:left w:w="108" w:type="dxa"/>
            <w:bottom w:w="0" w:type="dxa"/>
            <w:right w:w="108" w:type="dxa"/>
          </w:tblCellMar>
        </w:tblPrEx>
        <w:trPr>
          <w:gridAfter w:val="2"/>
          <w:wAfter w:w="578" w:type="dxa"/>
          <w:trHeight w:val="300" w:hRule="atLeast"/>
          <w:jc w:val="center"/>
        </w:trPr>
        <w:tc>
          <w:tcPr>
            <w:tcW w:w="145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7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3" w:type="dxa"/>
            <w:gridSpan w:val="5"/>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12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gridAfter w:val="2"/>
          <w:wAfter w:w="578" w:type="dxa"/>
          <w:trHeight w:val="300" w:hRule="atLeast"/>
          <w:jc w:val="center"/>
        </w:trPr>
        <w:tc>
          <w:tcPr>
            <w:tcW w:w="145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7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3" w:type="dxa"/>
            <w:gridSpan w:val="5"/>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12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gridAfter w:val="2"/>
          <w:wAfter w:w="578" w:type="dxa"/>
          <w:trHeight w:val="300" w:hRule="atLeast"/>
          <w:jc w:val="center"/>
        </w:trPr>
        <w:tc>
          <w:tcPr>
            <w:tcW w:w="145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7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3" w:type="dxa"/>
            <w:gridSpan w:val="5"/>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12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gridAfter w:val="2"/>
          <w:wAfter w:w="578" w:type="dxa"/>
          <w:trHeight w:val="300" w:hRule="atLeast"/>
          <w:jc w:val="center"/>
        </w:trPr>
        <w:tc>
          <w:tcPr>
            <w:tcW w:w="145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7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3" w:type="dxa"/>
            <w:gridSpan w:val="5"/>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12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gridAfter w:val="2"/>
          <w:wAfter w:w="578" w:type="dxa"/>
          <w:trHeight w:val="300" w:hRule="atLeast"/>
          <w:jc w:val="center"/>
        </w:trPr>
        <w:tc>
          <w:tcPr>
            <w:tcW w:w="145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7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3" w:type="dxa"/>
            <w:gridSpan w:val="5"/>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12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gridAfter w:val="2"/>
          <w:wAfter w:w="578" w:type="dxa"/>
          <w:trHeight w:val="300" w:hRule="atLeast"/>
          <w:jc w:val="center"/>
        </w:trPr>
        <w:tc>
          <w:tcPr>
            <w:tcW w:w="1459"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2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985"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47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3" w:type="dxa"/>
            <w:gridSpan w:val="5"/>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127"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842"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gridAfter w:val="2"/>
          <w:wAfter w:w="578" w:type="dxa"/>
          <w:trHeight w:val="300" w:hRule="atLeast"/>
          <w:jc w:val="center"/>
        </w:trPr>
        <w:tc>
          <w:tcPr>
            <w:tcW w:w="14500" w:type="dxa"/>
            <w:gridSpan w:val="21"/>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注：本表反映部门本年度政府性基金预算财政拨款收入、支出及结转和结余情况。</w:t>
            </w:r>
          </w:p>
        </w:tc>
      </w:tr>
      <w:tr>
        <w:tblPrEx>
          <w:tblCellMar>
            <w:top w:w="0" w:type="dxa"/>
            <w:left w:w="108" w:type="dxa"/>
            <w:bottom w:w="0" w:type="dxa"/>
            <w:right w:w="108" w:type="dxa"/>
          </w:tblCellMar>
        </w:tblPrEx>
        <w:trPr>
          <w:gridAfter w:val="1"/>
          <w:wAfter w:w="165" w:type="dxa"/>
          <w:trHeight w:val="270" w:hRule="atLeast"/>
          <w:jc w:val="center"/>
        </w:trPr>
        <w:tc>
          <w:tcPr>
            <w:tcW w:w="23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171"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518" w:type="dxa"/>
            <w:gridSpan w:val="4"/>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77"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37"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371"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877"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4382" w:type="dxa"/>
            <w:gridSpan w:val="5"/>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gridAfter w:val="2"/>
          <w:wAfter w:w="578" w:type="dxa"/>
          <w:trHeight w:val="270" w:hRule="atLeast"/>
          <w:jc w:val="center"/>
        </w:trPr>
        <w:tc>
          <w:tcPr>
            <w:tcW w:w="14500" w:type="dxa"/>
            <w:gridSpan w:val="21"/>
            <w:tcBorders>
              <w:top w:val="nil"/>
              <w:left w:val="nil"/>
              <w:bottom w:val="nil"/>
              <w:right w:val="nil"/>
            </w:tcBorders>
            <w:shd w:val="clear" w:color="auto" w:fill="auto"/>
            <w:noWrap/>
            <w:vAlign w:val="center"/>
          </w:tcPr>
          <w:p>
            <w:pPr>
              <w:widowControl/>
              <w:jc w:val="left"/>
              <w:rPr>
                <w:rFonts w:ascii="宋体" w:hAnsi="宋体" w:eastAsia="宋体" w:cs="宋体"/>
                <w:b/>
                <w:bCs/>
                <w:color w:val="000000"/>
                <w:kern w:val="0"/>
                <w:sz w:val="22"/>
              </w:rPr>
            </w:pPr>
            <w:r>
              <w:rPr>
                <w:rFonts w:hint="eastAsia" w:ascii="宋体" w:hAnsi="宋体" w:eastAsia="宋体" w:cs="宋体"/>
                <w:b/>
                <w:bCs/>
                <w:color w:val="000000"/>
                <w:kern w:val="0"/>
                <w:sz w:val="22"/>
              </w:rPr>
              <w:t>说明：我单位没有政府性基金收入，也没有使用政府性基金安排的支出，故本表无数据。</w:t>
            </w:r>
          </w:p>
        </w:tc>
      </w:tr>
    </w:tbl>
    <w:p>
      <w:pPr>
        <w:widowControl/>
        <w:rPr>
          <w:sz w:val="72"/>
          <w:szCs w:val="72"/>
        </w:rPr>
      </w:pPr>
    </w:p>
    <w:p>
      <w:pPr>
        <w:widowControl/>
        <w:rPr>
          <w:sz w:val="72"/>
          <w:szCs w:val="72"/>
        </w:rPr>
      </w:pPr>
    </w:p>
    <w:p>
      <w:pPr>
        <w:widowControl/>
        <w:rPr>
          <w:sz w:val="72"/>
          <w:szCs w:val="72"/>
        </w:rPr>
      </w:pPr>
    </w:p>
    <w:p>
      <w:pPr>
        <w:widowControl/>
        <w:rPr>
          <w:sz w:val="72"/>
          <w:szCs w:val="72"/>
        </w:rPr>
      </w:pPr>
    </w:p>
    <w:tbl>
      <w:tblPr>
        <w:tblStyle w:val="5"/>
        <w:tblW w:w="14410" w:type="dxa"/>
        <w:jc w:val="center"/>
        <w:tblLayout w:type="autofit"/>
        <w:tblCellMar>
          <w:top w:w="0" w:type="dxa"/>
          <w:left w:w="108" w:type="dxa"/>
          <w:bottom w:w="0" w:type="dxa"/>
          <w:right w:w="108" w:type="dxa"/>
        </w:tblCellMar>
      </w:tblPr>
      <w:tblGrid>
        <w:gridCol w:w="1847"/>
        <w:gridCol w:w="222"/>
        <w:gridCol w:w="908"/>
        <w:gridCol w:w="2409"/>
        <w:gridCol w:w="2977"/>
        <w:gridCol w:w="2835"/>
        <w:gridCol w:w="3212"/>
      </w:tblGrid>
      <w:tr>
        <w:tblPrEx>
          <w:tblCellMar>
            <w:top w:w="0" w:type="dxa"/>
            <w:left w:w="108" w:type="dxa"/>
            <w:bottom w:w="0" w:type="dxa"/>
            <w:right w:w="108" w:type="dxa"/>
          </w:tblCellMar>
        </w:tblPrEx>
        <w:trPr>
          <w:trHeight w:val="510" w:hRule="atLeast"/>
          <w:jc w:val="center"/>
        </w:trPr>
        <w:tc>
          <w:tcPr>
            <w:tcW w:w="14410" w:type="dxa"/>
            <w:gridSpan w:val="7"/>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国有资本经营预算财政拨款支出决算表</w:t>
            </w:r>
          </w:p>
        </w:tc>
      </w:tr>
      <w:tr>
        <w:tblPrEx>
          <w:tblCellMar>
            <w:top w:w="0" w:type="dxa"/>
            <w:left w:w="108" w:type="dxa"/>
            <w:bottom w:w="0" w:type="dxa"/>
            <w:right w:w="108" w:type="dxa"/>
          </w:tblCellMar>
        </w:tblPrEx>
        <w:trPr>
          <w:trHeight w:val="270" w:hRule="atLeast"/>
          <w:jc w:val="center"/>
        </w:trPr>
        <w:tc>
          <w:tcPr>
            <w:tcW w:w="184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0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0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97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835"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3212"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公开08表</w:t>
            </w:r>
          </w:p>
        </w:tc>
      </w:tr>
      <w:tr>
        <w:tblPrEx>
          <w:tblCellMar>
            <w:top w:w="0" w:type="dxa"/>
            <w:left w:w="108" w:type="dxa"/>
            <w:bottom w:w="0" w:type="dxa"/>
            <w:right w:w="108" w:type="dxa"/>
          </w:tblCellMar>
        </w:tblPrEx>
        <w:trPr>
          <w:trHeight w:val="270" w:hRule="atLeast"/>
          <w:jc w:val="center"/>
        </w:trPr>
        <w:tc>
          <w:tcPr>
            <w:tcW w:w="5386"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297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83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212"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538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w:t>
            </w:r>
          </w:p>
        </w:tc>
        <w:tc>
          <w:tcPr>
            <w:tcW w:w="90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本年支出</w:t>
            </w:r>
          </w:p>
        </w:tc>
      </w:tr>
      <w:tr>
        <w:tblPrEx>
          <w:tblCellMar>
            <w:top w:w="0" w:type="dxa"/>
            <w:left w:w="108" w:type="dxa"/>
            <w:bottom w:w="0" w:type="dxa"/>
            <w:right w:w="108" w:type="dxa"/>
          </w:tblCellMar>
        </w:tblPrEx>
        <w:trPr>
          <w:trHeight w:val="312" w:hRule="atLeast"/>
          <w:jc w:val="center"/>
        </w:trPr>
        <w:tc>
          <w:tcPr>
            <w:tcW w:w="297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科目代码</w:t>
            </w:r>
          </w:p>
        </w:tc>
        <w:tc>
          <w:tcPr>
            <w:tcW w:w="24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科目名称</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28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基本支出</w:t>
            </w:r>
          </w:p>
        </w:tc>
        <w:tc>
          <w:tcPr>
            <w:tcW w:w="32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项目支出</w:t>
            </w:r>
          </w:p>
        </w:tc>
      </w:tr>
      <w:tr>
        <w:tblPrEx>
          <w:tblCellMar>
            <w:top w:w="0" w:type="dxa"/>
            <w:left w:w="108" w:type="dxa"/>
            <w:bottom w:w="0" w:type="dxa"/>
            <w:right w:w="108" w:type="dxa"/>
          </w:tblCellMar>
        </w:tblPrEx>
        <w:trPr>
          <w:trHeight w:val="312" w:hRule="atLeast"/>
          <w:jc w:val="center"/>
        </w:trPr>
        <w:tc>
          <w:tcPr>
            <w:tcW w:w="297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4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97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12" w:hRule="atLeast"/>
          <w:jc w:val="center"/>
        </w:trPr>
        <w:tc>
          <w:tcPr>
            <w:tcW w:w="297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4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97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2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538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栏次</w:t>
            </w:r>
          </w:p>
        </w:tc>
        <w:tc>
          <w:tcPr>
            <w:tcW w:w="29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2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321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r>
      <w:tr>
        <w:tblPrEx>
          <w:tblCellMar>
            <w:top w:w="0" w:type="dxa"/>
            <w:left w:w="108" w:type="dxa"/>
            <w:bottom w:w="0" w:type="dxa"/>
            <w:right w:w="108" w:type="dxa"/>
          </w:tblCellMar>
        </w:tblPrEx>
        <w:trPr>
          <w:trHeight w:val="300" w:hRule="atLeast"/>
          <w:jc w:val="center"/>
        </w:trPr>
        <w:tc>
          <w:tcPr>
            <w:tcW w:w="538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c>
          <w:tcPr>
            <w:tcW w:w="32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r>
        <w:tblPrEx>
          <w:tblCellMar>
            <w:top w:w="0" w:type="dxa"/>
            <w:left w:w="108" w:type="dxa"/>
            <w:bottom w:w="0" w:type="dxa"/>
            <w:right w:w="108" w:type="dxa"/>
          </w:tblCellMar>
        </w:tblPrEx>
        <w:trPr>
          <w:trHeight w:val="300" w:hRule="atLeast"/>
          <w:jc w:val="center"/>
        </w:trPr>
        <w:tc>
          <w:tcPr>
            <w:tcW w:w="297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297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297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297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297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297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297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40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21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00" w:hRule="atLeast"/>
          <w:jc w:val="center"/>
        </w:trPr>
        <w:tc>
          <w:tcPr>
            <w:tcW w:w="14410" w:type="dxa"/>
            <w:gridSpan w:val="7"/>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注：本表反映部门本年度国有资本经营预算财政拨款支出情况。</w:t>
            </w:r>
          </w:p>
        </w:tc>
      </w:tr>
      <w:tr>
        <w:tblPrEx>
          <w:tblCellMar>
            <w:top w:w="0" w:type="dxa"/>
            <w:left w:w="108" w:type="dxa"/>
            <w:bottom w:w="0" w:type="dxa"/>
            <w:right w:w="108" w:type="dxa"/>
          </w:tblCellMar>
        </w:tblPrEx>
        <w:trPr>
          <w:trHeight w:val="270" w:hRule="atLeast"/>
          <w:jc w:val="center"/>
        </w:trPr>
        <w:tc>
          <w:tcPr>
            <w:tcW w:w="184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2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0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40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97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283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3212"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270" w:hRule="atLeast"/>
          <w:jc w:val="center"/>
        </w:trPr>
        <w:tc>
          <w:tcPr>
            <w:tcW w:w="14410" w:type="dxa"/>
            <w:gridSpan w:val="7"/>
            <w:tcBorders>
              <w:top w:val="nil"/>
              <w:left w:val="nil"/>
              <w:bottom w:val="nil"/>
              <w:right w:val="nil"/>
            </w:tcBorders>
            <w:shd w:val="clear" w:color="auto" w:fill="auto"/>
            <w:noWrap/>
            <w:vAlign w:val="center"/>
          </w:tcPr>
          <w:p>
            <w:pPr>
              <w:widowControl/>
              <w:jc w:val="left"/>
              <w:rPr>
                <w:rFonts w:ascii="宋体" w:hAnsi="宋体" w:eastAsia="宋体" w:cs="宋体"/>
                <w:b/>
                <w:bCs/>
                <w:color w:val="000000"/>
                <w:kern w:val="0"/>
                <w:sz w:val="22"/>
              </w:rPr>
            </w:pPr>
            <w:r>
              <w:rPr>
                <w:rFonts w:hint="eastAsia" w:ascii="宋体" w:hAnsi="宋体" w:eastAsia="宋体" w:cs="宋体"/>
                <w:b/>
                <w:bCs/>
                <w:color w:val="000000"/>
                <w:kern w:val="0"/>
                <w:sz w:val="22"/>
              </w:rPr>
              <w:t>说明：我单位没有使用国有资本经营预算安排的支出，故本表无数据。</w:t>
            </w:r>
          </w:p>
        </w:tc>
      </w:tr>
    </w:tbl>
    <w:p>
      <w:pPr>
        <w:widowControl/>
        <w:rPr>
          <w:sz w:val="72"/>
          <w:szCs w:val="72"/>
        </w:rPr>
      </w:pPr>
    </w:p>
    <w:p>
      <w:pPr>
        <w:widowControl/>
        <w:rPr>
          <w:sz w:val="72"/>
          <w:szCs w:val="72"/>
        </w:rPr>
      </w:pPr>
    </w:p>
    <w:p>
      <w:pPr>
        <w:widowControl/>
        <w:rPr>
          <w:sz w:val="72"/>
          <w:szCs w:val="72"/>
        </w:rPr>
      </w:pPr>
    </w:p>
    <w:p>
      <w:pPr>
        <w:widowControl/>
        <w:rPr>
          <w:sz w:val="72"/>
          <w:szCs w:val="72"/>
        </w:rPr>
      </w:pPr>
    </w:p>
    <w:tbl>
      <w:tblPr>
        <w:tblStyle w:val="5"/>
        <w:tblW w:w="14638" w:type="dxa"/>
        <w:jc w:val="center"/>
        <w:tblLayout w:type="autofit"/>
        <w:tblCellMar>
          <w:top w:w="0" w:type="dxa"/>
          <w:left w:w="108" w:type="dxa"/>
          <w:bottom w:w="0" w:type="dxa"/>
          <w:right w:w="108" w:type="dxa"/>
        </w:tblCellMar>
      </w:tblPr>
      <w:tblGrid>
        <w:gridCol w:w="1321"/>
        <w:gridCol w:w="404"/>
        <w:gridCol w:w="730"/>
        <w:gridCol w:w="1276"/>
        <w:gridCol w:w="1134"/>
        <w:gridCol w:w="1460"/>
        <w:gridCol w:w="880"/>
        <w:gridCol w:w="940"/>
        <w:gridCol w:w="1280"/>
        <w:gridCol w:w="1110"/>
        <w:gridCol w:w="1134"/>
        <w:gridCol w:w="1514"/>
        <w:gridCol w:w="1455"/>
      </w:tblGrid>
      <w:tr>
        <w:tblPrEx>
          <w:tblCellMar>
            <w:top w:w="0" w:type="dxa"/>
            <w:left w:w="108" w:type="dxa"/>
            <w:bottom w:w="0" w:type="dxa"/>
            <w:right w:w="108" w:type="dxa"/>
          </w:tblCellMar>
        </w:tblPrEx>
        <w:trPr>
          <w:trHeight w:val="510" w:hRule="atLeast"/>
          <w:jc w:val="center"/>
        </w:trPr>
        <w:tc>
          <w:tcPr>
            <w:tcW w:w="14638" w:type="dxa"/>
            <w:gridSpan w:val="13"/>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财政拨款“三公”经费支出决算表</w:t>
            </w:r>
          </w:p>
        </w:tc>
      </w:tr>
      <w:tr>
        <w:tblPrEx>
          <w:tblCellMar>
            <w:top w:w="0" w:type="dxa"/>
            <w:left w:w="108" w:type="dxa"/>
            <w:bottom w:w="0" w:type="dxa"/>
            <w:right w:w="108" w:type="dxa"/>
          </w:tblCellMar>
        </w:tblPrEx>
        <w:trPr>
          <w:trHeight w:val="270" w:hRule="atLeast"/>
          <w:jc w:val="center"/>
        </w:trPr>
        <w:tc>
          <w:tcPr>
            <w:tcW w:w="1725"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73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7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880" w:type="dxa"/>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40"/>
                <w:szCs w:val="40"/>
              </w:rPr>
            </w:pPr>
          </w:p>
        </w:tc>
        <w:tc>
          <w:tcPr>
            <w:tcW w:w="9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1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1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55"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公开09表</w:t>
            </w:r>
          </w:p>
        </w:tc>
      </w:tr>
      <w:tr>
        <w:tblPrEx>
          <w:tblCellMar>
            <w:top w:w="0" w:type="dxa"/>
            <w:left w:w="108" w:type="dxa"/>
            <w:bottom w:w="0" w:type="dxa"/>
            <w:right w:w="108" w:type="dxa"/>
          </w:tblCellMar>
        </w:tblPrEx>
        <w:trPr>
          <w:trHeight w:val="270" w:hRule="atLeast"/>
          <w:jc w:val="center"/>
        </w:trPr>
        <w:tc>
          <w:tcPr>
            <w:tcW w:w="3731" w:type="dxa"/>
            <w:gridSpan w:val="4"/>
            <w:tcBorders>
              <w:top w:val="nil"/>
              <w:left w:val="nil"/>
              <w:bottom w:val="nil"/>
              <w:right w:val="nil"/>
            </w:tcBorders>
            <w:shd w:val="clear" w:color="auto" w:fill="auto"/>
            <w:noWrap/>
            <w:vAlign w:val="bottom"/>
          </w:tcPr>
          <w:p>
            <w:pPr>
              <w:widowControl/>
              <w:jc w:val="left"/>
              <w:rPr>
                <w:rFonts w:ascii="宋体" w:hAnsi="宋体" w:eastAsia="宋体" w:cs="宋体"/>
                <w:kern w:val="0"/>
                <w:sz w:val="20"/>
                <w:szCs w:val="20"/>
              </w:rPr>
            </w:pPr>
            <w:r>
              <w:rPr>
                <w:rFonts w:hint="eastAsia" w:ascii="宋体" w:hAnsi="宋体" w:eastAsia="宋体" w:cs="宋体"/>
                <w:kern w:val="0"/>
                <w:sz w:val="20"/>
                <w:szCs w:val="20"/>
              </w:rPr>
              <w:t>部门：湖南省备灾减灾中心</w:t>
            </w: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8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1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3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51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55" w:type="dxa"/>
            <w:tcBorders>
              <w:top w:val="nil"/>
              <w:left w:val="nil"/>
              <w:bottom w:val="nil"/>
              <w:right w:val="nil"/>
            </w:tcBorders>
            <w:shd w:val="clear" w:color="auto" w:fill="auto"/>
            <w:noWrap/>
            <w:vAlign w:val="bottom"/>
          </w:tcPr>
          <w:p>
            <w:pPr>
              <w:widowControl/>
              <w:jc w:val="right"/>
              <w:rPr>
                <w:rFonts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00" w:hRule="atLeast"/>
          <w:jc w:val="center"/>
        </w:trPr>
        <w:tc>
          <w:tcPr>
            <w:tcW w:w="720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预算数</w:t>
            </w:r>
          </w:p>
        </w:tc>
        <w:tc>
          <w:tcPr>
            <w:tcW w:w="743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决算数</w:t>
            </w:r>
          </w:p>
        </w:tc>
      </w:tr>
      <w:tr>
        <w:tblPrEx>
          <w:tblCellMar>
            <w:top w:w="0" w:type="dxa"/>
            <w:left w:w="108" w:type="dxa"/>
            <w:bottom w:w="0" w:type="dxa"/>
            <w:right w:w="108" w:type="dxa"/>
          </w:tblCellMar>
        </w:tblPrEx>
        <w:trPr>
          <w:trHeight w:val="300" w:hRule="atLeast"/>
          <w:jc w:val="center"/>
        </w:trPr>
        <w:tc>
          <w:tcPr>
            <w:tcW w:w="132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134"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因公出国（境）费</w:t>
            </w:r>
          </w:p>
        </w:tc>
        <w:tc>
          <w:tcPr>
            <w:tcW w:w="387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公务用车购置及运行维护费</w:t>
            </w:r>
          </w:p>
        </w:tc>
        <w:tc>
          <w:tcPr>
            <w:tcW w:w="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公务接待费</w:t>
            </w:r>
          </w:p>
        </w:tc>
        <w:tc>
          <w:tcPr>
            <w:tcW w:w="9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c>
          <w:tcPr>
            <w:tcW w:w="12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因公出国（境）费</w:t>
            </w:r>
          </w:p>
        </w:tc>
        <w:tc>
          <w:tcPr>
            <w:tcW w:w="375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公务用车购置及运行维护费</w:t>
            </w:r>
          </w:p>
        </w:tc>
        <w:tc>
          <w:tcPr>
            <w:tcW w:w="14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公务接待费</w:t>
            </w:r>
          </w:p>
        </w:tc>
      </w:tr>
      <w:tr>
        <w:tblPrEx>
          <w:tblCellMar>
            <w:top w:w="0" w:type="dxa"/>
            <w:left w:w="108" w:type="dxa"/>
            <w:bottom w:w="0" w:type="dxa"/>
            <w:right w:w="108" w:type="dxa"/>
          </w:tblCellMar>
        </w:tblPrEx>
        <w:trPr>
          <w:trHeight w:val="600" w:hRule="atLeast"/>
          <w:jc w:val="center"/>
        </w:trPr>
        <w:tc>
          <w:tcPr>
            <w:tcW w:w="132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3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公务用车购置费</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公务用车运行维护费</w:t>
            </w:r>
          </w:p>
        </w:tc>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小计</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公务用车购置费</w:t>
            </w: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公务用车运行维护费</w:t>
            </w:r>
          </w:p>
        </w:tc>
        <w:tc>
          <w:tcPr>
            <w:tcW w:w="145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00" w:hRule="atLeast"/>
          <w:jc w:val="center"/>
        </w:trPr>
        <w:tc>
          <w:tcPr>
            <w:tcW w:w="132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12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14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r>
      <w:tr>
        <w:tblPrEx>
          <w:tblCellMar>
            <w:top w:w="0" w:type="dxa"/>
            <w:left w:w="108" w:type="dxa"/>
            <w:bottom w:w="0" w:type="dxa"/>
            <w:right w:w="108" w:type="dxa"/>
          </w:tblCellMar>
        </w:tblPrEx>
        <w:trPr>
          <w:trHeight w:val="300" w:hRule="atLeast"/>
          <w:jc w:val="center"/>
        </w:trPr>
        <w:tc>
          <w:tcPr>
            <w:tcW w:w="1321"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11.40</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27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46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10.00</w:t>
            </w:r>
          </w:p>
        </w:tc>
        <w:tc>
          <w:tcPr>
            <w:tcW w:w="8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1.40</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8.25</w:t>
            </w:r>
          </w:p>
        </w:tc>
        <w:tc>
          <w:tcPr>
            <w:tcW w:w="128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1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7.69</w:t>
            </w:r>
          </w:p>
        </w:tc>
        <w:tc>
          <w:tcPr>
            <w:tcW w:w="113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0.00</w:t>
            </w:r>
          </w:p>
        </w:tc>
        <w:tc>
          <w:tcPr>
            <w:tcW w:w="151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7.69</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rPr>
            </w:pPr>
            <w:r>
              <w:rPr>
                <w:rFonts w:hint="eastAsia" w:ascii="宋体" w:hAnsi="宋体" w:eastAsia="宋体" w:cs="宋体"/>
                <w:color w:val="000000"/>
                <w:kern w:val="0"/>
                <w:sz w:val="22"/>
              </w:rPr>
              <w:t>0.56</w:t>
            </w:r>
          </w:p>
        </w:tc>
      </w:tr>
      <w:tr>
        <w:tblPrEx>
          <w:tblCellMar>
            <w:top w:w="0" w:type="dxa"/>
            <w:left w:w="108" w:type="dxa"/>
            <w:bottom w:w="0" w:type="dxa"/>
            <w:right w:w="108" w:type="dxa"/>
          </w:tblCellMar>
        </w:tblPrEx>
        <w:trPr>
          <w:trHeight w:val="600" w:hRule="atLeast"/>
          <w:jc w:val="center"/>
        </w:trPr>
        <w:tc>
          <w:tcPr>
            <w:tcW w:w="14638" w:type="dxa"/>
            <w:gridSpan w:val="13"/>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widowControl/>
        <w:rPr>
          <w:sz w:val="72"/>
          <w:szCs w:val="72"/>
        </w:rPr>
        <w:sectPr>
          <w:pgSz w:w="16838" w:h="11906" w:orient="landscape"/>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0"/>
        <w:jc w:val="center"/>
        <w:rPr>
          <w:rFonts w:ascii="方正小标宋_GBK" w:hAnsi="方正小标宋_GBK" w:eastAsia="方正小标宋_GBK" w:cs="方正小标宋_GBK"/>
          <w:sz w:val="70"/>
          <w:szCs w:val="70"/>
        </w:rPr>
      </w:pPr>
    </w:p>
    <w:p>
      <w:pPr>
        <w:pStyle w:val="10"/>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pPr>
        <w:widowControl/>
        <w:jc w:val="left"/>
        <w:rPr>
          <w:rFonts w:asciiTheme="minorEastAsia" w:hAnsiTheme="minorEastAsia"/>
          <w:sz w:val="32"/>
          <w:szCs w:val="32"/>
        </w:rPr>
      </w:pPr>
      <w:r>
        <w:br w:type="page"/>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一、收入支出决算总体情况说明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2022年度收入587.34万元，支出611.29万元。本单位为2022年度新增纳入预算管理单位，无上年数据对比情况</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二、收入决算情况说明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2022年度收入合计587.34万元，其中：财政拨款收入587.24万元，占99.98%；其他收入0.1万元，占0.02%。</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三、支出决算情况说明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2022年度支出合计611.29万元，其中：基本支出113.85万元，占18.62%；项目支出497.44万元，占91.38%。</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四、财政拨款收入支出决算总体情况说明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2022年度财政拨款收入587.24万元，支出496.86万元。本单位为2022年度新增纳入预算管理单位，无上年数据对比情况</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五、一般公共预算财政拨款支出决算情况说明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楷体" w:hAnsi="楷体" w:eastAsia="楷体" w:cs="楷体"/>
          <w:bCs/>
          <w:sz w:val="32"/>
          <w:szCs w:val="32"/>
        </w:rPr>
      </w:pPr>
      <w:r>
        <w:rPr>
          <w:rFonts w:hint="eastAsia" w:ascii="楷体" w:hAnsi="楷体" w:eastAsia="楷体" w:cs="楷体"/>
          <w:bCs/>
          <w:sz w:val="32"/>
          <w:szCs w:val="32"/>
        </w:rPr>
        <w:t>（一）财政拨款支出决算总体情况</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2022年度财政拨款支出496.86万元，占本年支出合计的81.28%。本单位为2022年度新增纳入预算管理单位，无上年数据对比情况</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楷体" w:hAnsi="楷体" w:eastAsia="楷体" w:cs="楷体"/>
          <w:bCs/>
          <w:sz w:val="32"/>
          <w:szCs w:val="32"/>
        </w:rPr>
      </w:pPr>
      <w:r>
        <w:rPr>
          <w:rFonts w:hint="eastAsia" w:ascii="楷体" w:hAnsi="楷体" w:eastAsia="楷体" w:cs="楷体"/>
          <w:bCs/>
          <w:sz w:val="32"/>
          <w:szCs w:val="32"/>
        </w:rPr>
        <w:t>（二）财政拨款支出决算结构情况</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2022年度财政拨款支出496.86万元，主要用于以下方面：社会保障和就业（类）支出7.19万元，占1.45%；住房保障（类）支出12.31万元，占2.48%；粮油物资储备（类）支出314.95万元，占63.39%；</w:t>
      </w:r>
      <w:r>
        <w:rPr>
          <w:rFonts w:ascii="Times New Roman" w:hAnsi="Times New Roman" w:eastAsia="仿宋_GB2312"/>
          <w:sz w:val="32"/>
          <w:szCs w:val="32"/>
        </w:rPr>
        <w:t>灾害防治及应急管理</w:t>
      </w:r>
      <w:r>
        <w:rPr>
          <w:rFonts w:hint="eastAsia" w:ascii="Times New Roman" w:hAnsi="Times New Roman" w:eastAsia="仿宋_GB2312"/>
          <w:sz w:val="32"/>
          <w:szCs w:val="32"/>
        </w:rPr>
        <w:t>（类）支出162.41万元，占32.68%。</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2022年度财政拨款支出年初预算数为587.24万元，支出决算数为496.86万元，完成年初预算的84.61%，其中：</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1、社会保障和就业支出（类）行政事业单位养老支出（款）机关事业单位基本养老保险缴费支出（项）。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年初预算为7.2万元，支出决算为7.19万元，完成年初预算的99.86%。决算基本与预算持平，预算编制较合理。</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2、住房保障（类）住房改革支出（款）住房公积金（项）。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年初预算为7.72万元，支出决算为7.72万元，完成年初预算的100%。决算与预算持平，预算编制合理。</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3、住房保障（类）住房改革支出（款）购房补贴（项）。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年初预算为6.56万元，支出决算为4.59万元，完成年初预算的69.97%。</w:t>
      </w:r>
      <w:r>
        <w:rPr>
          <w:rFonts w:hint="eastAsia" w:ascii="Times New Roman" w:hAnsi="Times New Roman" w:eastAsia="仿宋_GB2312"/>
          <w:sz w:val="32"/>
          <w:szCs w:val="32"/>
          <w:highlight w:val="none"/>
          <w:lang w:val="en-US" w:eastAsia="zh-CN"/>
        </w:rPr>
        <w:t>决算数小于年初预算的主要原因是：单位新进人员2名，新人住房补贴暂未缴纳，预算有结余。</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4、粮油物资储备支出（类）粮油事务（款）事业运行（项）。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仿宋_GB2312"/>
          <w:sz w:val="32"/>
          <w:szCs w:val="32"/>
          <w:highlight w:val="none"/>
          <w:lang w:val="en-US"/>
        </w:rPr>
      </w:pPr>
      <w:r>
        <w:rPr>
          <w:rFonts w:hint="eastAsia" w:ascii="Times New Roman" w:hAnsi="Times New Roman" w:eastAsia="仿宋_GB2312"/>
          <w:sz w:val="32"/>
          <w:szCs w:val="32"/>
          <w:highlight w:val="none"/>
        </w:rPr>
        <w:t>年初预算为104.12万元，支出决算为94.35万元，完成年初预算的90.62%。</w:t>
      </w:r>
      <w:r>
        <w:rPr>
          <w:rFonts w:hint="eastAsia" w:ascii="Times New Roman" w:hAnsi="Times New Roman" w:eastAsia="仿宋_GB2312"/>
          <w:sz w:val="32"/>
          <w:szCs w:val="32"/>
          <w:highlight w:val="none"/>
          <w:lang w:val="en-US" w:eastAsia="zh-CN"/>
        </w:rPr>
        <w:t>决算数小于年初预算的主要原因是：单位新进人员2名，绩效工资标准较低；节约公务用车运行维护费和公务接待费，预算有结余。</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5、粮油物资储备支出（类）重要商品储备（款）应急物资储备（项）。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highlight w:val="none"/>
        </w:rPr>
        <w:t>年初预算为269万元，支出决算为220.6万元，完成年初预算的82.01%。</w:t>
      </w:r>
      <w:r>
        <w:rPr>
          <w:rFonts w:hint="eastAsia" w:ascii="Times New Roman" w:hAnsi="Times New Roman" w:eastAsia="仿宋_GB2312"/>
          <w:sz w:val="32"/>
          <w:szCs w:val="32"/>
          <w:highlight w:val="none"/>
          <w:lang w:val="en-US" w:eastAsia="zh-CN"/>
        </w:rPr>
        <w:t>决算数小于年初预算的主要原因是：部分工程项目当年未验收，合同尾款未支付，预算有结余。</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6、灾害防治及应急管理支出（类）其他灾害防治及应急管理支出（款）其他灾害防治及应急管理支出（项）。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年初预算为0万元，支出决算162.41万元，决算数大于预算数的主要原因是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中央</w:t>
      </w:r>
      <w:r>
        <w:rPr>
          <w:rFonts w:hint="eastAsia" w:ascii="Times New Roman" w:hAnsi="Times New Roman" w:eastAsia="仿宋_GB2312"/>
          <w:sz w:val="32"/>
          <w:szCs w:val="32"/>
        </w:rPr>
        <w:t>财政安排了中央救灾物资储备管理费。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六、一般公共预算财政拨款基本支出决算情况说明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2022年度财政拨款基本支出113.85万元，其中：</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b/>
          <w:bCs w:val="0"/>
          <w:sz w:val="32"/>
          <w:szCs w:val="32"/>
        </w:rPr>
        <w:t>人员经费</w:t>
      </w:r>
      <w:r>
        <w:rPr>
          <w:rFonts w:hint="eastAsia" w:ascii="Times New Roman" w:hAnsi="Times New Roman" w:eastAsia="仿宋_GB2312"/>
          <w:sz w:val="32"/>
          <w:szCs w:val="32"/>
        </w:rPr>
        <w:t>81.90万元，占基本支出的71.94%，主要包括基本工资、津贴补贴、绩效工资、住房公积金、机关事业单位基本养老保险等各项社保缴费；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31.95万元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占基本支出的28.06%，主要包括办公费、差旅费、公务接待费、工会经费、公务用车运行维护费、其他交通费、其他商品和服务支出等。</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b/>
          <w:sz w:val="32"/>
          <w:szCs w:val="32"/>
        </w:rPr>
      </w:pPr>
      <w:r>
        <w:rPr>
          <w:rFonts w:hint="eastAsia" w:hAnsi="黑体"/>
          <w:bCs/>
          <w:sz w:val="32"/>
          <w:szCs w:val="32"/>
        </w:rPr>
        <w:t>七、财政拨款三公经费支出决算情况说明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“三公”经费财政拨款支出预算为11.40万元，支出决算为8.25万元，完成预算的72.37%，其中：</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因公出国（境）费支出预算为0万元，支出决算为0万元，由于预算</w:t>
      </w:r>
      <w:r>
        <w:rPr>
          <w:rFonts w:hint="eastAsia" w:ascii="Times New Roman" w:hAnsi="Times New Roman" w:eastAsia="仿宋_GB2312"/>
          <w:sz w:val="32"/>
          <w:szCs w:val="32"/>
          <w:lang w:eastAsia="zh-CN"/>
        </w:rPr>
        <w:t>数</w:t>
      </w:r>
      <w:r>
        <w:rPr>
          <w:rFonts w:hint="eastAsia" w:ascii="Times New Roman" w:hAnsi="Times New Roman" w:eastAsia="仿宋_GB2312"/>
          <w:sz w:val="32"/>
          <w:szCs w:val="32"/>
        </w:rPr>
        <w:t>为0，无法计算百分比。</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公务接待费支出预算为1.40万元，支出决算为0.56万元，完成预算的40%，决算数小于预算数的主要原因是厉行节约，严控公务接待等支出，且本年度因疫情原因，公务接待较少，预算有结余。</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公务用车购置费支出预算为0万元，支出决算为0万元，由于预算</w:t>
      </w:r>
      <w:r>
        <w:rPr>
          <w:rFonts w:hint="eastAsia" w:ascii="Times New Roman" w:hAnsi="Times New Roman" w:eastAsia="仿宋_GB2312"/>
          <w:sz w:val="32"/>
          <w:szCs w:val="32"/>
          <w:lang w:eastAsia="zh-CN"/>
        </w:rPr>
        <w:t>数</w:t>
      </w:r>
      <w:r>
        <w:rPr>
          <w:rFonts w:hint="eastAsia" w:ascii="Times New Roman" w:hAnsi="Times New Roman" w:eastAsia="仿宋_GB2312"/>
          <w:sz w:val="32"/>
          <w:szCs w:val="32"/>
        </w:rPr>
        <w:t>为0，无法计算百分比。</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公务用车运行维护费支出预算为10.00万元，支出决算为7.69万元，完成预算的76.90%，决算数小于预算数的主要原因是厉行节约，公务用车运行维护费控制在年初预算之内。</w:t>
      </w:r>
    </w:p>
    <w:p>
      <w:pPr>
        <w:pStyle w:val="10"/>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0"/>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2022年度“三公”经费财政拨款支出决算中，公务接待费支出决算0.56万元，占6.79%，因公出国（境）费支出决算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公务用车运行维护费支出决算7.69万元，占93.21%。其中：</w:t>
      </w:r>
    </w:p>
    <w:p>
      <w:pPr>
        <w:pStyle w:val="10"/>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1、因公出国（境）费支出决算为0</w:t>
      </w:r>
      <w:r>
        <w:rPr>
          <w:rFonts w:hint="eastAsia" w:ascii="Times New Roman" w:hAnsi="Times New Roman" w:eastAsia="仿宋_GB2312"/>
          <w:sz w:val="32"/>
          <w:szCs w:val="32"/>
          <w:lang w:val="en-US" w:eastAsia="zh-CN"/>
        </w:rPr>
        <w:t>万</w:t>
      </w:r>
      <w:r>
        <w:rPr>
          <w:rFonts w:hint="eastAsia" w:ascii="Times New Roman" w:hAnsi="Times New Roman" w:eastAsia="仿宋_GB2312"/>
          <w:sz w:val="32"/>
          <w:szCs w:val="32"/>
        </w:rPr>
        <w:t>元，全年安排因公出国（境）团组0个，累计0人次。</w:t>
      </w:r>
    </w:p>
    <w:p>
      <w:pPr>
        <w:pStyle w:val="10"/>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、公务接待费支出决算为0.56万元，全年共接待来访团组10个、来宾34人次，主要是相关单位交流工作情况以及接受相关部门检查指导工作等发生的接待支出。</w:t>
      </w:r>
    </w:p>
    <w:p>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ascii="楷体" w:hAnsi="楷体" w:eastAsia="楷体" w:cs="楷体"/>
          <w:b/>
          <w:bCs/>
          <w:i/>
          <w:kern w:val="0"/>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、公务用车购置费及运行维护费支出决算为7.69万元</w:t>
      </w:r>
      <w:r>
        <w:rPr>
          <w:rFonts w:hint="eastAsia" w:ascii="Times New Roman" w:hAnsi="Times New Roman" w:eastAsia="仿宋_GB2312"/>
          <w:color w:val="000000" w:themeColor="text1"/>
          <w:sz w:val="32"/>
          <w:szCs w:val="32"/>
          <w14:textFill>
            <w14:solidFill>
              <w14:schemeClr w14:val="tx1"/>
            </w14:solidFill>
          </w14:textFill>
        </w:rPr>
        <w:t>。其中：公务用车购置费0万元。公务用车运行维护费7.69万元，</w:t>
      </w:r>
      <w:r>
        <w:rPr>
          <w:rFonts w:hint="eastAsia" w:ascii="Times New Roman" w:hAnsi="Times New Roman" w:eastAsia="仿宋_GB2312"/>
          <w:sz w:val="32"/>
          <w:szCs w:val="32"/>
        </w:rPr>
        <w:t>主要是按规定保留在用的1辆公务用车的燃料费、维修费、过桥过路费、保险费、ETC费等支出，截止2022年12月31日，我单位开支财政拨款的公务用车保有量为1辆。</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八、政府性基金预算收入支出决算情况</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2022年度本单位无政府性基金收支。</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本部门2022年度机关运行经费支出</w:t>
      </w:r>
      <w:r>
        <w:rPr>
          <w:rFonts w:hint="eastAsia" w:ascii="Times New Roman" w:hAnsi="Times New Roman" w:eastAsia="仿宋_GB2312"/>
          <w:sz w:val="32"/>
          <w:szCs w:val="32"/>
          <w:lang w:val="en-US" w:eastAsia="zh-CN"/>
        </w:rPr>
        <w:t>31.95</w:t>
      </w:r>
      <w:r>
        <w:rPr>
          <w:rFonts w:hint="eastAsia" w:ascii="Times New Roman" w:hAnsi="Times New Roman" w:eastAsia="仿宋_GB2312"/>
          <w:sz w:val="32"/>
          <w:szCs w:val="32"/>
        </w:rPr>
        <w:t>万元，比年初预算数减少</w:t>
      </w:r>
      <w:r>
        <w:rPr>
          <w:rFonts w:hint="eastAsia" w:ascii="Times New Roman" w:hAnsi="Times New Roman" w:eastAsia="仿宋_GB2312"/>
          <w:sz w:val="32"/>
          <w:szCs w:val="32"/>
          <w:lang w:val="en-US" w:eastAsia="zh-CN"/>
        </w:rPr>
        <w:t>3.45万元，降低9.75%。</w:t>
      </w:r>
      <w:r>
        <w:rPr>
          <w:rFonts w:hint="eastAsia" w:ascii="Times New Roman" w:hAnsi="Times New Roman" w:eastAsia="仿宋_GB2312"/>
          <w:sz w:val="32"/>
          <w:szCs w:val="32"/>
        </w:rPr>
        <w:t>主要原因一是厉行节约，二是因新冠疫情影响，单位差旅费、办公费、会议费等支出减少。</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十、一般性支出情况说明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楷体" w:hAnsi="楷体" w:eastAsia="楷体" w:cs="楷体"/>
          <w:b/>
          <w:bCs/>
          <w:i/>
          <w:color w:val="auto"/>
          <w:sz w:val="32"/>
          <w:szCs w:val="32"/>
        </w:rPr>
      </w:pPr>
      <w:r>
        <w:rPr>
          <w:rFonts w:hint="eastAsia" w:ascii="Times New Roman" w:hAnsi="Times New Roman" w:eastAsia="仿宋_GB2312"/>
          <w:sz w:val="32"/>
          <w:szCs w:val="32"/>
        </w:rPr>
        <w:t>2022年本单位开支会议费0万元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全年未召开会议</w:t>
      </w:r>
      <w:r>
        <w:rPr>
          <w:rFonts w:hint="eastAsia" w:ascii="Times New Roman" w:hAnsi="Times New Roman" w:eastAsia="仿宋_GB2312"/>
          <w:sz w:val="32"/>
          <w:szCs w:val="32"/>
        </w:rPr>
        <w:t>；开支培训费0万元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全年未开展培训</w:t>
      </w:r>
      <w:r>
        <w:rPr>
          <w:rFonts w:hint="eastAsia" w:ascii="Times New Roman" w:hAnsi="Times New Roman" w:eastAsia="仿宋_GB2312"/>
          <w:sz w:val="32"/>
          <w:szCs w:val="32"/>
        </w:rPr>
        <w:t>；举办节庆、晚会、论坛、赛事活动，开支0万元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全年未举办</w:t>
      </w:r>
      <w:r>
        <w:rPr>
          <w:rFonts w:hint="eastAsia" w:ascii="Times New Roman" w:hAnsi="Times New Roman" w:eastAsia="仿宋_GB2312"/>
          <w:sz w:val="32"/>
          <w:szCs w:val="32"/>
        </w:rPr>
        <w:t>节庆、晚会、论坛、赛事活动。</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十一、关于政府采购支出说明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楷体" w:hAnsi="楷体" w:eastAsia="楷体" w:cs="楷体"/>
          <w:b/>
          <w:bCs/>
          <w:i/>
          <w:color w:val="auto"/>
          <w:sz w:val="32"/>
          <w:szCs w:val="32"/>
        </w:rPr>
      </w:pPr>
      <w:r>
        <w:rPr>
          <w:rFonts w:hint="eastAsia" w:ascii="Times New Roman" w:hAnsi="Times New Roman" w:eastAsia="仿宋_GB2312"/>
          <w:sz w:val="32"/>
          <w:szCs w:val="32"/>
        </w:rPr>
        <w:t>本</w:t>
      </w:r>
      <w:r>
        <w:rPr>
          <w:rFonts w:hint="eastAsia" w:ascii="Times New Roman" w:hAnsi="Times New Roman" w:eastAsia="仿宋_GB2312"/>
          <w:sz w:val="32"/>
          <w:szCs w:val="32"/>
          <w:lang w:val="en-US" w:eastAsia="zh-CN"/>
        </w:rPr>
        <w:t>单位</w:t>
      </w:r>
      <w:r>
        <w:rPr>
          <w:rFonts w:hint="eastAsia" w:ascii="Times New Roman" w:hAnsi="Times New Roman" w:eastAsia="仿宋_GB2312"/>
          <w:sz w:val="32"/>
          <w:szCs w:val="32"/>
        </w:rPr>
        <w:t>2022年度政府采购支出总额40.35万元，其中：政府采购货物支出13.45万元、政府采购工程支出6.31万元、政府采购服务支出20.59万元。授予中小企业合同金额39.41万元，占政府采购支出总额的97.68%，其中：授予小微企业合同金额35.91万元，占政府采购支出总额的89.00%。货物采购授予中小企业合同金额占货物支出金额的</w:t>
      </w:r>
      <w:r>
        <w:rPr>
          <w:rFonts w:hint="eastAsia" w:ascii="Times New Roman" w:hAnsi="Times New Roman" w:eastAsia="仿宋_GB2312"/>
          <w:sz w:val="32"/>
          <w:szCs w:val="32"/>
          <w:lang w:val="en-US" w:eastAsia="zh-CN"/>
        </w:rPr>
        <w:t>31.74</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16.01</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52.25</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Ansi="黑体"/>
          <w:bCs/>
          <w:sz w:val="32"/>
          <w:szCs w:val="32"/>
        </w:rPr>
      </w:pPr>
      <w:r>
        <w:rPr>
          <w:rFonts w:hint="eastAsia" w:hAnsi="黑体"/>
          <w:bCs/>
          <w:sz w:val="32"/>
          <w:szCs w:val="32"/>
        </w:rPr>
        <w:t>十二、关于国有资产占用情况说明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截至2022年12月31日，本单位共有车辆1辆，其中，主要领导干部用车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辆、其他用车1辆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其他用车主要是公务出行用车</w:t>
      </w:r>
      <w:r>
        <w:rPr>
          <w:rFonts w:hint="eastAsia" w:ascii="Times New Roman" w:hAnsi="Times New Roman" w:eastAsia="仿宋_GB2312"/>
          <w:sz w:val="32"/>
          <w:szCs w:val="32"/>
        </w:rPr>
        <w:t>；单位价值50万元以上通用设备1台（套）；单位价值100万元以上专用设备2台（套）。</w:t>
      </w:r>
    </w:p>
    <w:p>
      <w:pPr>
        <w:pStyle w:val="10"/>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jc w:val="both"/>
        <w:textAlignment w:val="auto"/>
        <w:rPr>
          <w:rFonts w:hint="eastAsia" w:hAnsi="黑体"/>
          <w:bCs/>
          <w:sz w:val="32"/>
          <w:szCs w:val="32"/>
        </w:rPr>
      </w:pPr>
      <w:r>
        <w:rPr>
          <w:rFonts w:hint="eastAsia" w:ascii="黑体" w:hAnsi="黑体" w:eastAsia="黑体" w:cs="黑体"/>
          <w:bCs/>
          <w:color w:val="000000"/>
          <w:sz w:val="32"/>
          <w:szCs w:val="32"/>
          <w:lang w:val="en-US" w:eastAsia="zh-CN" w:bidi="ar-SA"/>
        </w:rPr>
        <w:t>十三、</w:t>
      </w:r>
      <w:r>
        <w:rPr>
          <w:rFonts w:hint="eastAsia" w:hAnsi="黑体"/>
          <w:bCs/>
          <w:sz w:val="32"/>
          <w:szCs w:val="32"/>
        </w:rPr>
        <w:t>关于</w:t>
      </w:r>
      <w:r>
        <w:rPr>
          <w:rFonts w:hint="eastAsia" w:ascii="Times New Roman" w:hAnsi="Times New Roman" w:eastAsia="仿宋_GB2312"/>
          <w:sz w:val="32"/>
          <w:szCs w:val="32"/>
        </w:rPr>
        <w:t>2022</w:t>
      </w:r>
      <w:r>
        <w:rPr>
          <w:rFonts w:hint="eastAsia" w:hAnsi="黑体"/>
          <w:bCs/>
          <w:sz w:val="32"/>
          <w:szCs w:val="32"/>
        </w:rPr>
        <w:t>年度预算绩效情况的说明</w:t>
      </w:r>
    </w:p>
    <w:p>
      <w:pPr>
        <w:pStyle w:val="10"/>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jc w:val="both"/>
        <w:textAlignment w:val="auto"/>
        <w:rPr>
          <w:rFonts w:hint="eastAsia" w:hAnsi="黑体"/>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2022年度本单位按照省财政厅要求，及时申报部门整体支出绩效目标、项目支出绩效目标，按时按质开展部门整体支出绩效自评工作，以目标管理、第三方评价、信息公开等为着力点，认真贯彻落实省委、省政府的决策部署，高度重视绩效管理工作，将绩效管理融入预算编制、执行过程。</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整体支出绩效目标完成情况：1.省级防汛抗旱级应急救灾物资的日常储备管理工作；2.完成防汛抗旱级应急救灾设备进行维修、维护、保养；3.完善基础设施建设，保障机构安全运行；4.基地改造维护工程。</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业务工作专项资金绩效目标完成情况：1.省级防汛抗旱及应急救灾物资的日常储备管理工作；2.防汛抗旱及应急救灾设备进行维修维护保养；3.购买省级防汛抗旱及应急救灾物资全额年度综合财产保险；4.完善基础设施建设，保障机构安全运行。   </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其他事业发展基金专项资金绩效目标完成情况：1.央救灾物资的日常储备管理工作；2.完成中央救灾设备的维修、维护；3.实行信息化工程建设，建设物资系统链接到省粮食与物资储备管理局的智能粮库。</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方正小标宋_GBK" w:hAnsi="方正小标宋_GBK" w:eastAsia="方正小标宋_GBK" w:cs="方正小标宋_GBK"/>
          <w:sz w:val="72"/>
          <w:szCs w:val="72"/>
          <w:lang w:val="en-US" w:eastAsia="zh-CN"/>
        </w:rPr>
      </w:pPr>
      <w:r>
        <w:rPr>
          <w:rFonts w:hint="eastAsia" w:ascii="Times New Roman" w:hAnsi="Times New Roman" w:eastAsia="仿宋_GB2312"/>
          <w:sz w:val="32"/>
          <w:szCs w:val="32"/>
          <w:lang w:val="en-US" w:eastAsia="zh-CN"/>
        </w:rPr>
        <w:t>无。</w:t>
      </w:r>
    </w:p>
    <w:p>
      <w:pPr>
        <w:pStyle w:val="10"/>
        <w:jc w:val="cente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p>
    <w:p>
      <w:pPr>
        <w:pStyle w:val="10"/>
        <w:jc w:val="both"/>
        <w:rPr>
          <w:rFonts w:ascii="方正小标宋_GBK" w:hAnsi="方正小标宋_GBK" w:eastAsia="方正小标宋_GBK" w:cs="方正小标宋_GBK"/>
          <w:sz w:val="72"/>
          <w:szCs w:val="72"/>
        </w:rPr>
      </w:pPr>
      <w:bookmarkStart w:id="0" w:name="_GoBack"/>
      <w:bookmarkEnd w:id="0"/>
    </w:p>
    <w:p>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一、一般公共预算财政拨款收入：指省财政当年拨付的资金。</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二、事业收入：指事业单位开展专业业务活动及辅助活动所取得的收入。</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三、经营收入：指事业单位开展专业业务活动及辅助活动所取得的收入。</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四、其他收入：指除上述“财政拨款收入”和“事业收入”以外的收入。 </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五、上年结转：指以前年度尚未完成、结转到本年仍按原规定用途继续使用的资金。</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六、结余分配：指事业单位按照规定提取的职工福利基金、事业基金。 </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七、年末结转和结余：指本年度或以前年度预算安排、因客观条件发生变化无法按原计划实施，需要延迟到以后年度按有关规定继续使用的资金。 </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八、基本支出：指为保障机构正常运转、完成日常工作任务而发生的人员支出和公用支出。</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九、项目支出：指在基本支出之外为完成特定行政任务和事业发展目标所发生的支出。</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十、“三公”经费：纳入财政预决算管理的“三公”经费，是指用财政拨款安排的因公出国（境）费、公务用车购置及运行维护费和公务接待费。</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十一、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0"/>
        <w:ind w:firstLine="640" w:firstLineChars="200"/>
        <w:rPr>
          <w:rFonts w:ascii="Times New Roman" w:hAnsi="Times New Roman" w:eastAsia="仿宋_GB2312"/>
          <w:sz w:val="32"/>
          <w:szCs w:val="32"/>
        </w:rPr>
      </w:pPr>
      <w:r>
        <w:rPr>
          <w:rFonts w:ascii="Times New Roman" w:hAnsi="Times New Roman" w:eastAsia="仿宋_GB2312"/>
          <w:sz w:val="32"/>
          <w:szCs w:val="32"/>
        </w:rPr>
        <w:t>十二、粮油物资储备支出：是指政府用于粮油物资储备方面的支出。</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EF1CFB"/>
    <w:multiLevelType w:val="multilevel"/>
    <w:tmpl w:val="7DEF1CFB"/>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MWUwOGYwMzI1NmM4NjFlOTUzZGY0NTA2ZTljYTQifQ=="/>
  </w:docVars>
  <w:rsids>
    <w:rsidRoot w:val="001A1870"/>
    <w:rsid w:val="00001280"/>
    <w:rsid w:val="000744C3"/>
    <w:rsid w:val="0014489E"/>
    <w:rsid w:val="00181662"/>
    <w:rsid w:val="001A1870"/>
    <w:rsid w:val="001B0E85"/>
    <w:rsid w:val="00264DCF"/>
    <w:rsid w:val="002A228A"/>
    <w:rsid w:val="002B21A9"/>
    <w:rsid w:val="003464FD"/>
    <w:rsid w:val="003948A5"/>
    <w:rsid w:val="003B0A09"/>
    <w:rsid w:val="003C0151"/>
    <w:rsid w:val="003C1D67"/>
    <w:rsid w:val="003C42B3"/>
    <w:rsid w:val="003C6C34"/>
    <w:rsid w:val="003F2CFE"/>
    <w:rsid w:val="00405ABC"/>
    <w:rsid w:val="004F6167"/>
    <w:rsid w:val="005036A5"/>
    <w:rsid w:val="00582ED9"/>
    <w:rsid w:val="005C691C"/>
    <w:rsid w:val="00600E62"/>
    <w:rsid w:val="0064255C"/>
    <w:rsid w:val="006A127E"/>
    <w:rsid w:val="006C396B"/>
    <w:rsid w:val="007843F0"/>
    <w:rsid w:val="007A7F2F"/>
    <w:rsid w:val="008405EC"/>
    <w:rsid w:val="008A7DD1"/>
    <w:rsid w:val="008F5336"/>
    <w:rsid w:val="0092414F"/>
    <w:rsid w:val="00936A88"/>
    <w:rsid w:val="009624AD"/>
    <w:rsid w:val="00994B5F"/>
    <w:rsid w:val="009B1D4B"/>
    <w:rsid w:val="009B6B12"/>
    <w:rsid w:val="009E2E86"/>
    <w:rsid w:val="00AC5785"/>
    <w:rsid w:val="00AF7F00"/>
    <w:rsid w:val="00B43DDB"/>
    <w:rsid w:val="00BA7C12"/>
    <w:rsid w:val="00C268C3"/>
    <w:rsid w:val="00C87B54"/>
    <w:rsid w:val="00CC70F0"/>
    <w:rsid w:val="00CF2CEA"/>
    <w:rsid w:val="00D1088A"/>
    <w:rsid w:val="00D73E05"/>
    <w:rsid w:val="00D758FF"/>
    <w:rsid w:val="00DC01D4"/>
    <w:rsid w:val="00DD1D16"/>
    <w:rsid w:val="00DF38F7"/>
    <w:rsid w:val="00DF5ED8"/>
    <w:rsid w:val="00E4428D"/>
    <w:rsid w:val="00F65217"/>
    <w:rsid w:val="00F653FD"/>
    <w:rsid w:val="00FA3577"/>
    <w:rsid w:val="00FB2F40"/>
    <w:rsid w:val="00FF6DFE"/>
    <w:rsid w:val="017165B7"/>
    <w:rsid w:val="029232D9"/>
    <w:rsid w:val="033C2D6C"/>
    <w:rsid w:val="054F3EAE"/>
    <w:rsid w:val="06E67100"/>
    <w:rsid w:val="0E1327A4"/>
    <w:rsid w:val="0E380553"/>
    <w:rsid w:val="0FAD0456"/>
    <w:rsid w:val="112B09F4"/>
    <w:rsid w:val="11E8678B"/>
    <w:rsid w:val="14FB646C"/>
    <w:rsid w:val="15A85EC8"/>
    <w:rsid w:val="17C4348D"/>
    <w:rsid w:val="182513C0"/>
    <w:rsid w:val="18936B5A"/>
    <w:rsid w:val="199155F1"/>
    <w:rsid w:val="1B10447C"/>
    <w:rsid w:val="1D774AFE"/>
    <w:rsid w:val="1E3E5A13"/>
    <w:rsid w:val="1E6E09EA"/>
    <w:rsid w:val="201E3957"/>
    <w:rsid w:val="208D7B4C"/>
    <w:rsid w:val="213F4579"/>
    <w:rsid w:val="21DA565B"/>
    <w:rsid w:val="24DB7359"/>
    <w:rsid w:val="293F2291"/>
    <w:rsid w:val="2BB67139"/>
    <w:rsid w:val="2BBD04C8"/>
    <w:rsid w:val="2C0D650D"/>
    <w:rsid w:val="2C2052C6"/>
    <w:rsid w:val="2CFB03A6"/>
    <w:rsid w:val="2D095047"/>
    <w:rsid w:val="2D0E4FF9"/>
    <w:rsid w:val="2D8D61DB"/>
    <w:rsid w:val="2DFE26D1"/>
    <w:rsid w:val="2ECC6728"/>
    <w:rsid w:val="2F744F03"/>
    <w:rsid w:val="30A92F6D"/>
    <w:rsid w:val="31526712"/>
    <w:rsid w:val="322272D6"/>
    <w:rsid w:val="3279145C"/>
    <w:rsid w:val="32C435E9"/>
    <w:rsid w:val="32D54349"/>
    <w:rsid w:val="32F522F5"/>
    <w:rsid w:val="34906F65"/>
    <w:rsid w:val="35B77D36"/>
    <w:rsid w:val="3A0B66BB"/>
    <w:rsid w:val="3DD33817"/>
    <w:rsid w:val="3F602422"/>
    <w:rsid w:val="41CD047D"/>
    <w:rsid w:val="42F24160"/>
    <w:rsid w:val="44623522"/>
    <w:rsid w:val="48524F22"/>
    <w:rsid w:val="4A2319E6"/>
    <w:rsid w:val="4B182BCD"/>
    <w:rsid w:val="4B5859EE"/>
    <w:rsid w:val="4CF803E4"/>
    <w:rsid w:val="4D8B6615"/>
    <w:rsid w:val="4F7800DE"/>
    <w:rsid w:val="50A026FB"/>
    <w:rsid w:val="51C27D36"/>
    <w:rsid w:val="51CE0489"/>
    <w:rsid w:val="52AA2CA4"/>
    <w:rsid w:val="52F31AE5"/>
    <w:rsid w:val="549352C3"/>
    <w:rsid w:val="55020B76"/>
    <w:rsid w:val="56474156"/>
    <w:rsid w:val="56955A19"/>
    <w:rsid w:val="57300D47"/>
    <w:rsid w:val="586E02D0"/>
    <w:rsid w:val="58D92FB8"/>
    <w:rsid w:val="5A0B37E7"/>
    <w:rsid w:val="5AA71877"/>
    <w:rsid w:val="5CAF0AD9"/>
    <w:rsid w:val="5D41346B"/>
    <w:rsid w:val="5D6F2BBB"/>
    <w:rsid w:val="5E815B9F"/>
    <w:rsid w:val="5EC67D00"/>
    <w:rsid w:val="5FC86B00"/>
    <w:rsid w:val="606F72DB"/>
    <w:rsid w:val="61E30F27"/>
    <w:rsid w:val="64030680"/>
    <w:rsid w:val="6AA7208F"/>
    <w:rsid w:val="6CD25B27"/>
    <w:rsid w:val="6D3E250F"/>
    <w:rsid w:val="6D9143ED"/>
    <w:rsid w:val="6F3900BB"/>
    <w:rsid w:val="6F6C4EBD"/>
    <w:rsid w:val="704B406F"/>
    <w:rsid w:val="729843E7"/>
    <w:rsid w:val="74C9464C"/>
    <w:rsid w:val="751524A3"/>
    <w:rsid w:val="751759A6"/>
    <w:rsid w:val="76290B3C"/>
    <w:rsid w:val="766F7295"/>
    <w:rsid w:val="7A173ECC"/>
    <w:rsid w:val="7AAC4F5C"/>
    <w:rsid w:val="7BC05A2C"/>
    <w:rsid w:val="7CC7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autoRedefine/>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autoRedefine/>
    <w:semiHidden/>
    <w:qFormat/>
    <w:uiPriority w:val="99"/>
    <w:rPr>
      <w:sz w:val="18"/>
      <w:szCs w:val="18"/>
    </w:rPr>
  </w:style>
  <w:style w:type="character" w:customStyle="1" w:styleId="13">
    <w:name w:val="font01"/>
    <w:basedOn w:val="7"/>
    <w:autoRedefine/>
    <w:qFormat/>
    <w:uiPriority w:val="0"/>
    <w:rPr>
      <w:rFonts w:hint="eastAsia" w:ascii="宋体" w:hAnsi="宋体" w:eastAsia="宋体" w:cs="宋体"/>
      <w:color w:val="000000"/>
      <w:sz w:val="22"/>
      <w:szCs w:val="22"/>
      <w:u w:val="none"/>
    </w:rPr>
  </w:style>
  <w:style w:type="character" w:customStyle="1" w:styleId="14">
    <w:name w:val="font21"/>
    <w:basedOn w:val="7"/>
    <w:qFormat/>
    <w:uiPriority w:val="0"/>
    <w:rPr>
      <w:rFonts w:hint="eastAsia" w:ascii="宋体" w:hAnsi="宋体" w:eastAsia="宋体" w:cs="宋体"/>
      <w:color w:val="000000"/>
      <w:sz w:val="24"/>
      <w:szCs w:val="24"/>
      <w:u w:val="none"/>
    </w:rPr>
  </w:style>
  <w:style w:type="character" w:customStyle="1" w:styleId="15">
    <w:name w:val="font11"/>
    <w:basedOn w:val="7"/>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10.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3.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4.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8.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92D31-D5E2-4C38-A94A-3CD6C7797DF4}">
  <ds:schemaRefs/>
</ds:datastoreItem>
</file>

<file path=customXml/itemProps10.xml><?xml version="1.0" encoding="utf-8"?>
<ds:datastoreItem xmlns:ds="http://schemas.openxmlformats.org/officeDocument/2006/customXml" ds:itemID="{06263597-B53B-4D06-945A-5091B425B298}">
  <ds:schemaRefs/>
</ds:datastoreItem>
</file>

<file path=customXml/itemProps2.xml><?xml version="1.0" encoding="utf-8"?>
<ds:datastoreItem xmlns:ds="http://schemas.openxmlformats.org/officeDocument/2006/customXml" ds:itemID="{33A559C0-CC5C-4EB0-9E53-C39095F90BF4}">
  <ds:schemaRefs/>
</ds:datastoreItem>
</file>

<file path=customXml/itemProps3.xml><?xml version="1.0" encoding="utf-8"?>
<ds:datastoreItem xmlns:ds="http://schemas.openxmlformats.org/officeDocument/2006/customXml" ds:itemID="{25510125-6AFB-485E-97BB-6ABA044572EE}">
  <ds:schemaRefs/>
</ds:datastoreItem>
</file>

<file path=customXml/itemProps4.xml><?xml version="1.0" encoding="utf-8"?>
<ds:datastoreItem xmlns:ds="http://schemas.openxmlformats.org/officeDocument/2006/customXml" ds:itemID="{D1CEAF27-473A-45C3-8F1E-8F2370BB2D07}">
  <ds:schemaRefs/>
</ds:datastoreItem>
</file>

<file path=customXml/itemProps5.xml><?xml version="1.0" encoding="utf-8"?>
<ds:datastoreItem xmlns:ds="http://schemas.openxmlformats.org/officeDocument/2006/customXml" ds:itemID="{ACE9E87E-7044-4803-8D37-A875D53DA003}">
  <ds:schemaRefs/>
</ds:datastoreItem>
</file>

<file path=customXml/itemProps6.xml><?xml version="1.0" encoding="utf-8"?>
<ds:datastoreItem xmlns:ds="http://schemas.openxmlformats.org/officeDocument/2006/customXml" ds:itemID="{5861E6A5-FA78-4A21-BF8C-DF49FA22E929}">
  <ds:schemaRefs/>
</ds:datastoreItem>
</file>

<file path=customXml/itemProps7.xml><?xml version="1.0" encoding="utf-8"?>
<ds:datastoreItem xmlns:ds="http://schemas.openxmlformats.org/officeDocument/2006/customXml" ds:itemID="{B1AE150B-376B-4DCE-9B97-1CA43BAC180E}">
  <ds:schemaRefs/>
</ds:datastoreItem>
</file>

<file path=customXml/itemProps8.xml><?xml version="1.0" encoding="utf-8"?>
<ds:datastoreItem xmlns:ds="http://schemas.openxmlformats.org/officeDocument/2006/customXml" ds:itemID="{584883BD-7766-4A18-BE09-CD16649EAEDF}">
  <ds:schemaRefs/>
</ds:datastoreItem>
</file>

<file path=customXml/itemProps9.xml><?xml version="1.0" encoding="utf-8"?>
<ds:datastoreItem xmlns:ds="http://schemas.openxmlformats.org/officeDocument/2006/customXml" ds:itemID="{4215AD52-94C3-4024-9C66-96185EAC777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1860</Words>
  <Characters>10605</Characters>
  <Lines>88</Lines>
  <Paragraphs>24</Paragraphs>
  <TotalTime>21</TotalTime>
  <ScaleCrop>false</ScaleCrop>
  <LinksUpToDate>false</LinksUpToDate>
  <CharactersWithSpaces>12441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2023-08-28T04:32:00Z</dcterms:created>
  <dc:creator>李航 null</dc:creator>
  <cp:lastModifiedBy>蓝雨</cp:lastModifiedBy>
  <cp:lastPrinted>2024-05-09T14:29:00Z</cp:lastPrinted>
  <dcterms:modified xsi:type="dcterms:W3CDTF">2024-05-10T13:04:57Z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5F1D5B3201BC4034ABF5827612DD6F53_13</vt:lpwstr>
  </property>
</Properties>
</file>