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center"/>
        <w:rPr>
          <w:sz w:val="56"/>
          <w:szCs w:val="56"/>
        </w:rPr>
      </w:pPr>
    </w:p>
    <w:p>
      <w:pPr>
        <w:pStyle w:val="16"/>
        <w:jc w:val="center"/>
        <w:rPr>
          <w:sz w:val="56"/>
          <w:szCs w:val="56"/>
        </w:rPr>
      </w:pPr>
    </w:p>
    <w:p>
      <w:pPr>
        <w:pStyle w:val="16"/>
        <w:jc w:val="center"/>
        <w:rPr>
          <w:sz w:val="56"/>
          <w:szCs w:val="56"/>
        </w:rPr>
      </w:pPr>
    </w:p>
    <w:p>
      <w:pPr>
        <w:pStyle w:val="16"/>
        <w:jc w:val="center"/>
        <w:rPr>
          <w:rFonts w:hint="eastAsia"/>
          <w:sz w:val="56"/>
          <w:szCs w:val="56"/>
        </w:rPr>
      </w:pPr>
    </w:p>
    <w:p>
      <w:pPr>
        <w:pStyle w:val="16"/>
        <w:jc w:val="center"/>
        <w:rPr>
          <w:sz w:val="84"/>
          <w:szCs w:val="84"/>
        </w:rPr>
      </w:pPr>
    </w:p>
    <w:p>
      <w:pPr>
        <w:pStyle w:val="16"/>
        <w:spacing w:line="240" w:lineRule="auto"/>
        <w:jc w:val="center"/>
        <w:rPr>
          <w:rFonts w:hint="eastAsia" w:ascii="黑体" w:eastAsia="黑体" w:cs="黑体" w:hAnsiTheme="minorHAnsi"/>
          <w:b w:val="0"/>
          <w:bCs w:val="0"/>
          <w:color w:val="000000"/>
          <w:spacing w:val="0"/>
          <w:kern w:val="0"/>
          <w:sz w:val="72"/>
          <w:szCs w:val="72"/>
          <w:lang w:val="en-US" w:eastAsia="zh-CN" w:bidi="ar-SA"/>
        </w:rPr>
      </w:pPr>
      <w:r>
        <w:rPr>
          <w:rFonts w:hint="eastAsia" w:ascii="黑体" w:eastAsia="黑体" w:cs="黑体" w:hAnsiTheme="minorHAnsi"/>
          <w:b w:val="0"/>
          <w:bCs w:val="0"/>
          <w:color w:val="000000"/>
          <w:spacing w:val="0"/>
          <w:kern w:val="0"/>
          <w:sz w:val="72"/>
          <w:szCs w:val="72"/>
          <w:lang w:val="en-US" w:eastAsia="zh-CN" w:bidi="ar-SA"/>
        </w:rPr>
        <w:t>长沙环境保护职业技术学院</w:t>
      </w:r>
    </w:p>
    <w:p>
      <w:pPr>
        <w:pStyle w:val="16"/>
        <w:spacing w:line="240" w:lineRule="auto"/>
        <w:jc w:val="center"/>
        <w:rPr>
          <w:rFonts w:hint="eastAsia" w:ascii="黑体" w:eastAsia="黑体" w:cs="黑体" w:hAnsiTheme="minorHAnsi"/>
          <w:b w:val="0"/>
          <w:bCs w:val="0"/>
          <w:color w:val="000000"/>
          <w:spacing w:val="0"/>
          <w:kern w:val="0"/>
          <w:sz w:val="72"/>
          <w:szCs w:val="72"/>
          <w:lang w:val="en-US" w:eastAsia="zh-CN" w:bidi="ar-SA"/>
        </w:rPr>
      </w:pPr>
    </w:p>
    <w:p>
      <w:pPr>
        <w:pStyle w:val="16"/>
        <w:spacing w:line="240" w:lineRule="auto"/>
        <w:jc w:val="center"/>
        <w:rPr>
          <w:rFonts w:hint="eastAsia" w:ascii="黑体" w:eastAsia="黑体" w:cs="黑体" w:hAnsiTheme="minorHAnsi"/>
          <w:b w:val="0"/>
          <w:bCs w:val="0"/>
          <w:color w:val="000000"/>
          <w:spacing w:val="0"/>
          <w:kern w:val="0"/>
          <w:sz w:val="72"/>
          <w:szCs w:val="72"/>
          <w:lang w:val="en-US" w:eastAsia="zh-CN" w:bidi="ar-SA"/>
        </w:rPr>
      </w:pPr>
      <w:r>
        <w:rPr>
          <w:rFonts w:hint="eastAsia" w:ascii="黑体" w:eastAsia="黑体" w:cs="黑体" w:hAnsiTheme="minorHAnsi"/>
          <w:b w:val="0"/>
          <w:bCs w:val="0"/>
          <w:color w:val="000000"/>
          <w:spacing w:val="0"/>
          <w:kern w:val="0"/>
          <w:sz w:val="72"/>
          <w:szCs w:val="72"/>
          <w:lang w:val="en-US" w:eastAsia="zh-CN" w:bidi="ar-SA"/>
        </w:rPr>
        <w:t>2021年度部门决算</w:t>
      </w:r>
    </w:p>
    <w:p>
      <w:pPr>
        <w:pStyle w:val="16"/>
        <w:jc w:val="center"/>
        <w:rPr>
          <w:sz w:val="56"/>
          <w:szCs w:val="56"/>
        </w:rPr>
      </w:pPr>
    </w:p>
    <w:p>
      <w:pPr>
        <w:pStyle w:val="16"/>
        <w:jc w:val="center"/>
        <w:rPr>
          <w:sz w:val="56"/>
          <w:szCs w:val="56"/>
        </w:rPr>
      </w:pPr>
    </w:p>
    <w:p>
      <w:pPr>
        <w:pStyle w:val="16"/>
        <w:jc w:val="center"/>
        <w:rPr>
          <w:sz w:val="56"/>
          <w:szCs w:val="56"/>
        </w:rPr>
      </w:pPr>
    </w:p>
    <w:p>
      <w:pPr>
        <w:pStyle w:val="16"/>
        <w:jc w:val="center"/>
        <w:rPr>
          <w:sz w:val="56"/>
          <w:szCs w:val="56"/>
        </w:rPr>
      </w:pPr>
    </w:p>
    <w:p>
      <w:pPr>
        <w:pStyle w:val="16"/>
        <w:jc w:val="center"/>
        <w:rPr>
          <w:rFonts w:hint="eastAsia"/>
          <w:sz w:val="56"/>
          <w:szCs w:val="56"/>
        </w:rPr>
      </w:pPr>
    </w:p>
    <w:p>
      <w:pPr>
        <w:pStyle w:val="16"/>
        <w:jc w:val="center"/>
        <w:rPr>
          <w:sz w:val="56"/>
          <w:szCs w:val="56"/>
        </w:rPr>
      </w:pPr>
    </w:p>
    <w:p>
      <w:pPr>
        <w:pStyle w:val="16"/>
        <w:jc w:val="center"/>
        <w:rPr>
          <w:sz w:val="32"/>
          <w:szCs w:val="32"/>
        </w:rPr>
      </w:pPr>
    </w:p>
    <w:p>
      <w:pPr>
        <w:pStyle w:val="16"/>
        <w:spacing w:line="500" w:lineRule="exact"/>
        <w:jc w:val="center"/>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目  录</w:t>
      </w:r>
    </w:p>
    <w:p>
      <w:pPr>
        <w:pStyle w:val="16"/>
        <w:spacing w:line="500" w:lineRule="exact"/>
        <w:ind w:firstLine="562" w:firstLineChars="200"/>
        <w:rPr>
          <w:b/>
          <w:sz w:val="28"/>
          <w:szCs w:val="28"/>
        </w:rPr>
      </w:pPr>
    </w:p>
    <w:p>
      <w:pPr>
        <w:pStyle w:val="16"/>
        <w:keepNext w:val="0"/>
        <w:keepLines w:val="0"/>
        <w:pageBreakBefore w:val="0"/>
        <w:widowControl w:val="0"/>
        <w:kinsoku/>
        <w:wordWrap/>
        <w:overflowPunct/>
        <w:topLinePunct w:val="0"/>
        <w:bidi w:val="0"/>
        <w:snapToGrid/>
        <w:spacing w:line="560" w:lineRule="exact"/>
        <w:ind w:firstLine="640" w:firstLineChars="200"/>
        <w:textAlignment w:val="auto"/>
        <w:outlineLvl w:val="0"/>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第一部分  单位概况</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一、单位职责</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二、机构设置及决算单位构成</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outlineLvl w:val="0"/>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 xml:space="preserve">第二部分  </w:t>
      </w:r>
      <w:r>
        <w:rPr>
          <w:rFonts w:hint="eastAsia" w:hAnsi="黑体" w:cs="黑体"/>
          <w:color w:val="auto"/>
          <w:kern w:val="2"/>
          <w:sz w:val="32"/>
          <w:szCs w:val="32"/>
          <w:lang w:val="en-US" w:eastAsia="zh-CN" w:bidi="ar-SA"/>
        </w:rPr>
        <w:t>2021</w:t>
      </w:r>
      <w:r>
        <w:rPr>
          <w:rFonts w:hint="eastAsia" w:ascii="黑体" w:hAnsi="黑体" w:eastAsia="黑体" w:cs="黑体"/>
          <w:color w:val="auto"/>
          <w:kern w:val="2"/>
          <w:sz w:val="32"/>
          <w:szCs w:val="32"/>
          <w:lang w:val="en-US" w:eastAsia="zh-CN" w:bidi="ar-SA"/>
        </w:rPr>
        <w:t>年度部门决算表</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一、收入支出决算总表</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二、收入决算表</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三、支出决算表</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四、财政拨款收入支出决算总表</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五、一般公共预算财政拨款支出决算表</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六、一般公共预算财政拨款基本支出决算表</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七、一般公共预算财政拨款“三公”经费支出决算表</w:t>
      </w:r>
    </w:p>
    <w:p>
      <w:pPr>
        <w:pStyle w:val="16"/>
        <w:spacing w:before="147" w:line="560" w:lineRule="exact"/>
        <w:ind w:left="0" w:firstLine="640" w:firstLineChars="200"/>
        <w:rPr>
          <w:rFonts w:hint="eastAsia" w:ascii="仿宋_GB2312" w:hAnsi="仿宋_GB2312" w:eastAsia="仿宋_GB2312" w:cs="Times New Roman"/>
          <w:color w:val="auto"/>
          <w:kern w:val="2"/>
          <w:sz w:val="32"/>
          <w:szCs w:val="24"/>
        </w:rPr>
      </w:pPr>
      <w:r>
        <w:rPr>
          <w:rFonts w:hint="eastAsia" w:ascii="仿宋_GB2312" w:hAnsi="仿宋_GB2312" w:eastAsia="仿宋_GB2312" w:cs="Times New Roman"/>
          <w:color w:val="auto"/>
          <w:spacing w:val="0"/>
          <w:kern w:val="2"/>
          <w:sz w:val="32"/>
          <w:szCs w:val="24"/>
        </w:rPr>
        <w:t>八、政府性基金预算财政拨款收</w:t>
      </w:r>
      <w:r>
        <w:rPr>
          <w:rFonts w:hint="eastAsia" w:ascii="仿宋_GB2312" w:hAnsi="仿宋_GB2312" w:eastAsia="仿宋_GB2312" w:cs="Times New Roman"/>
          <w:color w:val="auto"/>
          <w:kern w:val="2"/>
          <w:sz w:val="32"/>
          <w:szCs w:val="24"/>
        </w:rPr>
        <w:t>入支出决算表</w:t>
      </w:r>
    </w:p>
    <w:p>
      <w:pPr>
        <w:pStyle w:val="16"/>
        <w:spacing w:before="164" w:line="560" w:lineRule="exact"/>
        <w:ind w:left="0" w:firstLine="640" w:firstLineChars="200"/>
        <w:rPr>
          <w:rFonts w:hint="eastAsia" w:ascii="仿宋_GB2312" w:hAnsi="仿宋_GB2312" w:eastAsia="仿宋_GB2312" w:cs="Times New Roman"/>
          <w:color w:val="auto"/>
          <w:kern w:val="2"/>
          <w:sz w:val="32"/>
          <w:szCs w:val="24"/>
        </w:rPr>
      </w:pPr>
      <w:r>
        <w:rPr>
          <w:rFonts w:hint="eastAsia" w:ascii="仿宋_GB2312" w:hAnsi="仿宋_GB2312" w:eastAsia="仿宋_GB2312" w:cs="Times New Roman"/>
          <w:color w:val="auto"/>
          <w:spacing w:val="0"/>
          <w:kern w:val="2"/>
          <w:sz w:val="32"/>
          <w:szCs w:val="24"/>
        </w:rPr>
        <w:t>九、国有资本经营预算财政拨款支出决</w:t>
      </w:r>
      <w:r>
        <w:rPr>
          <w:rFonts w:hint="eastAsia" w:ascii="仿宋_GB2312" w:hAnsi="仿宋_GB2312" w:eastAsia="仿宋_GB2312" w:cs="Times New Roman"/>
          <w:color w:val="auto"/>
          <w:kern w:val="2"/>
          <w:sz w:val="32"/>
          <w:szCs w:val="24"/>
        </w:rPr>
        <w:t>算表</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outlineLvl w:val="0"/>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 xml:space="preserve">第三部分  </w:t>
      </w:r>
      <w:r>
        <w:rPr>
          <w:rFonts w:hint="eastAsia" w:hAnsi="黑体" w:cs="黑体"/>
          <w:color w:val="auto"/>
          <w:kern w:val="2"/>
          <w:sz w:val="32"/>
          <w:szCs w:val="32"/>
          <w:lang w:val="en-US" w:eastAsia="zh-CN" w:bidi="ar-SA"/>
        </w:rPr>
        <w:t>2021</w:t>
      </w:r>
      <w:r>
        <w:rPr>
          <w:rFonts w:hint="eastAsia" w:ascii="黑体" w:hAnsi="黑体" w:eastAsia="黑体" w:cs="黑体"/>
          <w:color w:val="auto"/>
          <w:kern w:val="2"/>
          <w:sz w:val="32"/>
          <w:szCs w:val="32"/>
          <w:lang w:val="en-US" w:eastAsia="zh-CN" w:bidi="ar-SA"/>
        </w:rPr>
        <w:t>年度部门决算情况说明</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一、收入支出决算总体情况说明</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七、一般公共预算财政拨款三公经费支出决算情况说明</w:t>
      </w:r>
    </w:p>
    <w:p>
      <w:pPr>
        <w:autoSpaceDE w:val="0"/>
        <w:autoSpaceDN w:val="0"/>
        <w:adjustRightInd w:val="0"/>
        <w:spacing w:line="560" w:lineRule="exact"/>
        <w:ind w:firstLine="640" w:firstLineChars="200"/>
        <w:jc w:val="left"/>
        <w:rPr>
          <w:rFonts w:hint="eastAsia" w:ascii="仿宋_GB2312" w:hAnsi="仿宋_GB2312" w:eastAsia="仿宋_GB2312" w:cs="Times New Roman"/>
          <w:color w:val="000000"/>
          <w:kern w:val="2"/>
          <w:sz w:val="32"/>
          <w:szCs w:val="24"/>
        </w:rPr>
      </w:pPr>
      <w:r>
        <w:rPr>
          <w:rFonts w:hint="eastAsia" w:ascii="仿宋_GB2312" w:hAnsi="仿宋_GB2312" w:eastAsia="仿宋_GB2312" w:cs="Times New Roman"/>
          <w:color w:val="000000"/>
          <w:kern w:val="2"/>
          <w:sz w:val="32"/>
          <w:szCs w:val="24"/>
        </w:rPr>
        <w:t>八、政府性基金预算收入支出决算情况</w:t>
      </w:r>
    </w:p>
    <w:p>
      <w:pPr>
        <w:autoSpaceDE w:val="0"/>
        <w:autoSpaceDN w:val="0"/>
        <w:adjustRightInd w:val="0"/>
        <w:spacing w:line="560" w:lineRule="exact"/>
        <w:ind w:firstLine="640" w:firstLineChars="200"/>
        <w:jc w:val="left"/>
        <w:rPr>
          <w:rFonts w:hint="eastAsia" w:ascii="仿宋_GB2312" w:hAnsi="仿宋_GB2312" w:eastAsia="仿宋_GB2312" w:cs="Times New Roman"/>
          <w:color w:val="000000"/>
          <w:kern w:val="2"/>
          <w:sz w:val="32"/>
          <w:szCs w:val="24"/>
        </w:rPr>
      </w:pPr>
      <w:r>
        <w:rPr>
          <w:rFonts w:hint="eastAsia" w:ascii="仿宋_GB2312" w:hAnsi="仿宋_GB2312" w:eastAsia="仿宋_GB2312" w:cs="Times New Roman"/>
          <w:color w:val="000000"/>
          <w:kern w:val="2"/>
          <w:sz w:val="32"/>
          <w:szCs w:val="24"/>
        </w:rPr>
        <w:t>九、关于机关运行经费支出说明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000000"/>
          <w:kern w:val="2"/>
          <w:sz w:val="32"/>
          <w:szCs w:val="24"/>
        </w:rPr>
        <w:t>十、一般性支出情况</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十一、关于政府采购支出说明</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Times New Roman"/>
          <w:color w:val="auto"/>
          <w:kern w:val="2"/>
          <w:sz w:val="32"/>
          <w:szCs w:val="24"/>
          <w:lang w:val="en-US" w:eastAsia="zh-CN" w:bidi="ar-SA"/>
        </w:rPr>
      </w:pPr>
      <w:r>
        <w:rPr>
          <w:rFonts w:hint="eastAsia" w:ascii="仿宋_GB2312" w:hAnsi="仿宋_GB2312" w:eastAsia="仿宋_GB2312" w:cs="Times New Roman"/>
          <w:color w:val="auto"/>
          <w:kern w:val="2"/>
          <w:sz w:val="32"/>
          <w:szCs w:val="24"/>
          <w:lang w:val="en-US" w:eastAsia="zh-CN" w:bidi="ar-SA"/>
        </w:rPr>
        <w:t>十二、关于国有资产占用情况说明</w:t>
      </w:r>
    </w:p>
    <w:p>
      <w:pPr>
        <w:pStyle w:val="16"/>
        <w:ind w:firstLine="640" w:firstLineChars="200"/>
        <w:rPr>
          <w:rFonts w:hint="eastAsia" w:ascii="仿宋_GB2312" w:hAnsi="仿宋_GB2312" w:eastAsia="仿宋_GB2312" w:cs="Times New Roman"/>
          <w:color w:val="auto"/>
          <w:kern w:val="2"/>
          <w:sz w:val="32"/>
          <w:szCs w:val="24"/>
        </w:rPr>
      </w:pPr>
      <w:r>
        <w:rPr>
          <w:rFonts w:hint="eastAsia" w:ascii="仿宋_GB2312" w:hAnsi="仿宋_GB2312" w:eastAsia="仿宋_GB2312" w:cs="Times New Roman"/>
          <w:color w:val="auto"/>
          <w:kern w:val="2"/>
          <w:sz w:val="32"/>
          <w:szCs w:val="24"/>
          <w:lang w:val="en-US" w:eastAsia="zh-CN" w:bidi="ar-SA"/>
        </w:rPr>
        <w:t>十三、</w:t>
      </w:r>
      <w:r>
        <w:rPr>
          <w:rFonts w:hint="eastAsia" w:ascii="仿宋_GB2312" w:hAnsi="仿宋_GB2312" w:eastAsia="仿宋_GB2312" w:cs="Times New Roman"/>
          <w:color w:val="auto"/>
          <w:kern w:val="2"/>
          <w:sz w:val="32"/>
          <w:szCs w:val="24"/>
        </w:rPr>
        <w:t>关于部门整体支出、单位项目支出、重点（专项）项目支出绩效自评情况说明</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第四部分  名词解释</w:t>
      </w:r>
    </w:p>
    <w:p>
      <w:pPr>
        <w:pStyle w:val="16"/>
        <w:keepNext w:val="0"/>
        <w:keepLines w:val="0"/>
        <w:pageBreakBefore w:val="0"/>
        <w:widowControl w:val="0"/>
        <w:kinsoku/>
        <w:wordWrap/>
        <w:overflowPunct/>
        <w:topLinePunct w:val="0"/>
        <w:bidi w:val="0"/>
        <w:snapToGrid/>
        <w:spacing w:line="560" w:lineRule="exact"/>
        <w:ind w:firstLine="640" w:firstLineChars="200"/>
        <w:textAlignment w:val="auto"/>
        <w:outlineLvl w:val="9"/>
        <w:rPr>
          <w:rFonts w:hint="eastAsia" w:ascii="黑体" w:hAnsi="黑体" w:eastAsia="黑体" w:cs="黑体"/>
          <w:color w:val="auto"/>
          <w:kern w:val="2"/>
          <w:sz w:val="32"/>
          <w:szCs w:val="32"/>
          <w:lang w:val="en-US" w:eastAsia="zh-CN" w:bidi="ar-SA"/>
        </w:rPr>
      </w:pPr>
      <w:r>
        <w:rPr>
          <w:rFonts w:hint="eastAsia" w:ascii="黑体" w:hAnsi="黑体" w:eastAsia="黑体" w:cs="黑体"/>
          <w:color w:val="auto"/>
          <w:kern w:val="2"/>
          <w:sz w:val="32"/>
          <w:szCs w:val="32"/>
          <w:lang w:val="en-US" w:eastAsia="zh-CN" w:bidi="ar-SA"/>
        </w:rPr>
        <w:t>第</w:t>
      </w:r>
      <w:r>
        <w:rPr>
          <w:rFonts w:hint="eastAsia" w:hAnsi="黑体" w:cs="黑体"/>
          <w:color w:val="auto"/>
          <w:kern w:val="2"/>
          <w:sz w:val="32"/>
          <w:szCs w:val="32"/>
          <w:lang w:val="en-US" w:eastAsia="zh-CN" w:bidi="ar-SA"/>
        </w:rPr>
        <w:t>五</w:t>
      </w:r>
      <w:r>
        <w:rPr>
          <w:rFonts w:hint="eastAsia" w:ascii="黑体" w:hAnsi="黑体" w:eastAsia="黑体" w:cs="黑体"/>
          <w:color w:val="auto"/>
          <w:kern w:val="2"/>
          <w:sz w:val="32"/>
          <w:szCs w:val="32"/>
          <w:lang w:val="en-US" w:eastAsia="zh-CN" w:bidi="ar-SA"/>
        </w:rPr>
        <w:t xml:space="preserve">部分  </w:t>
      </w:r>
      <w:r>
        <w:rPr>
          <w:rFonts w:hint="eastAsia" w:hAnsi="黑体" w:cs="黑体"/>
          <w:color w:val="auto"/>
          <w:kern w:val="2"/>
          <w:sz w:val="32"/>
          <w:szCs w:val="32"/>
          <w:lang w:val="en-US" w:eastAsia="zh-CN" w:bidi="ar-SA"/>
        </w:rPr>
        <w:t>附件</w:t>
      </w: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outlineLvl w:val="0"/>
        <w:rPr>
          <w:rFonts w:hint="eastAsia" w:ascii="方正小标宋简体" w:hAnsi="宋体" w:eastAsia="方正小标宋简体" w:cs="Times New Roman"/>
          <w:color w:val="000000"/>
          <w:spacing w:val="6"/>
          <w:kern w:val="0"/>
          <w:sz w:val="44"/>
          <w:szCs w:val="24"/>
          <w:lang w:val="en-US" w:eastAsia="zh-CN" w:bidi="ar-SA"/>
        </w:rPr>
      </w:pPr>
    </w:p>
    <w:p>
      <w:pPr>
        <w:pStyle w:val="16"/>
        <w:keepNext w:val="0"/>
        <w:keepLines w:val="0"/>
        <w:pageBreakBefore w:val="0"/>
        <w:widowControl/>
        <w:kinsoku/>
        <w:wordWrap/>
        <w:overflowPunct/>
        <w:topLinePunct w:val="0"/>
        <w:bidi w:val="0"/>
        <w:snapToGrid/>
        <w:spacing w:line="240" w:lineRule="auto"/>
        <w:ind w:firstLine="0" w:firstLineChars="0"/>
        <w:jc w:val="center"/>
        <w:textAlignment w:val="auto"/>
        <w:outlineLvl w:val="9"/>
        <w:rPr>
          <w:rFonts w:hint="eastAsia" w:ascii="黑体" w:eastAsia="黑体" w:cs="黑体" w:hAnsiTheme="minorHAnsi"/>
          <w:color w:val="000000"/>
          <w:spacing w:val="0"/>
          <w:kern w:val="0"/>
          <w:sz w:val="72"/>
          <w:szCs w:val="72"/>
          <w:lang w:val="en-US" w:eastAsia="zh-CN" w:bidi="ar-SA"/>
        </w:rPr>
      </w:pPr>
      <w:r>
        <w:rPr>
          <w:rFonts w:hint="eastAsia" w:ascii="黑体" w:eastAsia="黑体" w:cs="黑体" w:hAnsiTheme="minorHAnsi"/>
          <w:color w:val="000000"/>
          <w:spacing w:val="0"/>
          <w:kern w:val="0"/>
          <w:sz w:val="72"/>
          <w:szCs w:val="72"/>
          <w:lang w:val="en-US" w:eastAsia="zh-CN" w:bidi="ar-SA"/>
        </w:rPr>
        <w:t xml:space="preserve">第一部分 </w:t>
      </w:r>
    </w:p>
    <w:p>
      <w:pPr>
        <w:pStyle w:val="16"/>
        <w:keepNext w:val="0"/>
        <w:keepLines w:val="0"/>
        <w:pageBreakBefore w:val="0"/>
        <w:widowControl/>
        <w:kinsoku/>
        <w:wordWrap/>
        <w:overflowPunct/>
        <w:topLinePunct w:val="0"/>
        <w:bidi w:val="0"/>
        <w:snapToGrid/>
        <w:spacing w:line="240" w:lineRule="auto"/>
        <w:ind w:firstLine="0" w:firstLineChars="0"/>
        <w:jc w:val="center"/>
        <w:textAlignment w:val="auto"/>
        <w:outlineLvl w:val="9"/>
        <w:rPr>
          <w:rFonts w:hint="eastAsia" w:ascii="黑体" w:eastAsia="黑体" w:cs="黑体" w:hAnsiTheme="minorHAnsi"/>
          <w:color w:val="000000"/>
          <w:spacing w:val="0"/>
          <w:kern w:val="0"/>
          <w:sz w:val="72"/>
          <w:szCs w:val="72"/>
          <w:lang w:val="en-US" w:eastAsia="zh-CN" w:bidi="ar-SA"/>
        </w:rPr>
      </w:pPr>
    </w:p>
    <w:p>
      <w:pPr>
        <w:pStyle w:val="16"/>
        <w:keepNext w:val="0"/>
        <w:keepLines w:val="0"/>
        <w:pageBreakBefore w:val="0"/>
        <w:widowControl/>
        <w:kinsoku/>
        <w:wordWrap/>
        <w:overflowPunct/>
        <w:topLinePunct w:val="0"/>
        <w:bidi w:val="0"/>
        <w:snapToGrid/>
        <w:spacing w:line="240" w:lineRule="auto"/>
        <w:ind w:firstLine="0" w:firstLineChars="0"/>
        <w:jc w:val="center"/>
        <w:textAlignment w:val="auto"/>
        <w:outlineLvl w:val="9"/>
        <w:rPr>
          <w:rFonts w:hint="eastAsia" w:ascii="黑体" w:eastAsia="黑体" w:cs="黑体" w:hAnsiTheme="minorHAnsi"/>
          <w:color w:val="000000"/>
          <w:spacing w:val="0"/>
          <w:kern w:val="0"/>
          <w:sz w:val="72"/>
          <w:szCs w:val="72"/>
          <w:lang w:val="en-US" w:eastAsia="zh-CN" w:bidi="ar-SA"/>
        </w:rPr>
      </w:pPr>
      <w:r>
        <w:rPr>
          <w:rFonts w:hint="eastAsia" w:ascii="黑体" w:eastAsia="黑体" w:cs="黑体" w:hAnsiTheme="minorHAnsi"/>
          <w:color w:val="000000"/>
          <w:spacing w:val="0"/>
          <w:kern w:val="0"/>
          <w:sz w:val="72"/>
          <w:szCs w:val="72"/>
          <w:lang w:val="en-US" w:eastAsia="zh-CN" w:bidi="ar-SA"/>
        </w:rPr>
        <w:t>单位概况</w:t>
      </w:r>
    </w:p>
    <w:p>
      <w:pPr>
        <w:pStyle w:val="16"/>
        <w:ind w:firstLine="1440" w:firstLineChars="200"/>
        <w:jc w:val="center"/>
        <w:rPr>
          <w:rFonts w:hint="eastAsia" w:ascii="黑体" w:eastAsia="黑体" w:hAnsiTheme="minorHAnsi"/>
          <w:sz w:val="72"/>
          <w:szCs w:val="72"/>
        </w:rPr>
      </w:pPr>
    </w:p>
    <w:p>
      <w:pPr>
        <w:pStyle w:val="3"/>
        <w:ind w:firstLine="640" w:firstLineChars="200"/>
        <w:rPr>
          <w:rFonts w:hint="eastAsia" w:ascii="黑体" w:hAnsi="黑体" w:eastAsia="黑体" w:cs="黑体"/>
          <w:sz w:val="32"/>
          <w:szCs w:val="32"/>
          <w:lang w:val="en-US" w:eastAsia="zh-CN"/>
        </w:rPr>
      </w:pPr>
    </w:p>
    <w:p>
      <w:pPr>
        <w:pStyle w:val="3"/>
        <w:ind w:firstLine="640" w:firstLineChars="200"/>
        <w:rPr>
          <w:rFonts w:hint="eastAsia" w:ascii="黑体" w:hAnsi="黑体" w:eastAsia="黑体" w:cs="黑体"/>
          <w:sz w:val="32"/>
          <w:szCs w:val="32"/>
          <w:lang w:val="en-US" w:eastAsia="zh-CN"/>
        </w:rPr>
      </w:pPr>
    </w:p>
    <w:p>
      <w:pPr>
        <w:pStyle w:val="3"/>
        <w:ind w:firstLine="640" w:firstLineChars="200"/>
        <w:rPr>
          <w:rFonts w:hint="eastAsia" w:ascii="黑体" w:hAnsi="黑体" w:eastAsia="黑体" w:cs="黑体"/>
          <w:sz w:val="32"/>
          <w:szCs w:val="32"/>
          <w:lang w:val="en-US" w:eastAsia="zh-CN"/>
        </w:rPr>
      </w:pPr>
    </w:p>
    <w:p>
      <w:pPr>
        <w:pStyle w:val="3"/>
        <w:ind w:firstLine="640" w:firstLineChars="200"/>
        <w:rPr>
          <w:rFonts w:hint="eastAsia" w:ascii="黑体" w:hAnsi="黑体" w:eastAsia="黑体" w:cs="黑体"/>
          <w:sz w:val="32"/>
          <w:szCs w:val="32"/>
          <w:lang w:val="en-US" w:eastAsia="zh-CN"/>
        </w:rPr>
      </w:pPr>
    </w:p>
    <w:p>
      <w:pPr>
        <w:pStyle w:val="3"/>
        <w:ind w:firstLine="640" w:firstLineChars="200"/>
        <w:rPr>
          <w:rFonts w:hint="eastAsia" w:ascii="黑体" w:hAnsi="黑体" w:eastAsia="黑体" w:cs="黑体"/>
          <w:sz w:val="32"/>
          <w:szCs w:val="32"/>
          <w:lang w:val="en-US" w:eastAsia="zh-CN"/>
        </w:rPr>
      </w:pPr>
    </w:p>
    <w:p>
      <w:pPr>
        <w:pStyle w:val="3"/>
        <w:ind w:firstLine="640" w:firstLineChars="200"/>
        <w:rPr>
          <w:rFonts w:hint="eastAsia" w:ascii="黑体" w:hAnsi="黑体" w:eastAsia="黑体" w:cs="黑体"/>
          <w:sz w:val="32"/>
          <w:szCs w:val="32"/>
          <w:lang w:val="en-US" w:eastAsia="zh-CN"/>
        </w:rPr>
      </w:pPr>
    </w:p>
    <w:p>
      <w:pPr>
        <w:pStyle w:val="3"/>
        <w:ind w:firstLine="640" w:firstLineChars="200"/>
        <w:rPr>
          <w:rFonts w:hint="eastAsia" w:ascii="黑体" w:hAnsi="黑体" w:eastAsia="黑体" w:cs="黑体"/>
          <w:sz w:val="32"/>
          <w:szCs w:val="32"/>
          <w:lang w:val="en-US" w:eastAsia="zh-CN"/>
        </w:rPr>
      </w:pPr>
    </w:p>
    <w:p>
      <w:pPr>
        <w:pStyle w:val="3"/>
        <w:ind w:firstLine="640" w:firstLineChars="200"/>
        <w:rPr>
          <w:rFonts w:hint="eastAsia" w:ascii="黑体" w:hAnsi="黑体" w:eastAsia="黑体" w:cs="黑体"/>
          <w:sz w:val="32"/>
          <w:szCs w:val="32"/>
          <w:lang w:val="en-US" w:eastAsia="zh-CN"/>
        </w:rPr>
      </w:pPr>
    </w:p>
    <w:p>
      <w:pPr>
        <w:pStyle w:val="3"/>
        <w:ind w:firstLine="640" w:firstLineChars="200"/>
        <w:rPr>
          <w:rFonts w:hint="eastAsia" w:ascii="黑体" w:hAnsi="黑体" w:eastAsia="黑体" w:cs="黑体"/>
          <w:sz w:val="32"/>
          <w:szCs w:val="32"/>
          <w:lang w:val="en-US" w:eastAsia="zh-CN"/>
        </w:rPr>
      </w:pPr>
    </w:p>
    <w:p>
      <w:pPr>
        <w:pStyle w:val="3"/>
        <w:ind w:firstLine="640" w:firstLineChars="200"/>
        <w:rPr>
          <w:rFonts w:hint="eastAsia" w:ascii="黑体" w:hAnsi="黑体" w:eastAsia="黑体" w:cs="黑体"/>
          <w:sz w:val="32"/>
          <w:szCs w:val="32"/>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pPr>
    </w:p>
    <w:p>
      <w:pPr>
        <w:pStyle w:val="3"/>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一、单位职责</w:t>
      </w:r>
    </w:p>
    <w:p>
      <w:pPr>
        <w:pStyle w:val="3"/>
        <w:ind w:firstLine="640" w:firstLineChars="20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学院是为社会培养高素质技能型环保人才的高等职业院校，是生态环境部与湖南省人民政府共建的高职院校，以全日制高职专科学历教育为主，兼顾非全日制学历教育和非学历教育，积极发展全日制高职本科学历教育。</w:t>
      </w:r>
    </w:p>
    <w:p>
      <w:pPr>
        <w:pStyle w:val="3"/>
        <w:ind w:firstLine="640" w:firstLineChars="20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学院发挥专业特色和人才培养优势，充分利用国家级专业技术人员继续教育基地、环保部“全国环保干部培训基地”平台，为环境保护主管部门、企事业单位提供行业培训与继续教育，提升在职人员素质，服务地方和企事业单位的发展。</w:t>
      </w:r>
    </w:p>
    <w:p>
      <w:pPr>
        <w:pStyle w:val="3"/>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二、机构设置及决算单位构成</w:t>
      </w:r>
    </w:p>
    <w:p>
      <w:pPr>
        <w:pStyle w:val="3"/>
        <w:spacing w:line="560" w:lineRule="exact"/>
        <w:ind w:firstLine="640" w:firstLineChars="20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（一）内设机构设置。</w:t>
      </w:r>
    </w:p>
    <w:p>
      <w:pPr>
        <w:pStyle w:val="3"/>
        <w:spacing w:line="560" w:lineRule="exact"/>
        <w:ind w:firstLine="640" w:firstLineChars="20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学院内设机构32个部门，包括：党群机构15个，党委办公室（行政办公室）、组织部（人事处、党校办）、审计处、宣传部（统战部）、学生工作部（学生工作处）、招生与就业指导处、教务处、质量督导与绩效考核办公室、财务处、科研与对外服务处、保卫处（武装部）、资产管理处、基建处、后勤服务处、校企合作处（校友会）；党群机构3个，工会、纪检监察室（纪委办公室）、团委；教辅机构6个，图书馆、继续教育学院、信息中心、环境法律服务中心、南岳实训中心、湖南长沙环院天泰资产管理有限公司；教学系、部8个，环境监测系、环境工程系、环境科学系、环境艺术与建筑系、环境经济与信息系、思想政治理论课部、基础课教学部、体育课教学部。</w:t>
      </w:r>
    </w:p>
    <w:p>
      <w:pPr>
        <w:pStyle w:val="3"/>
        <w:numPr>
          <w:ilvl w:val="0"/>
          <w:numId w:val="1"/>
        </w:numPr>
        <w:spacing w:line="560" w:lineRule="exact"/>
        <w:ind w:firstLine="640" w:firstLineChars="200"/>
        <w:rPr>
          <w:rFonts w:hint="eastAsia" w:ascii="仿宋_GB2312" w:hAnsi="仿宋_GB2312" w:eastAsia="仿宋_GB2312" w:cs="Times New Roman"/>
          <w:sz w:val="32"/>
          <w:szCs w:val="24"/>
          <w:lang w:val="en-US" w:eastAsia="zh-CN"/>
        </w:rPr>
      </w:pPr>
      <w:r>
        <w:rPr>
          <w:rFonts w:hint="eastAsia" w:ascii="仿宋_GB2312" w:hAnsi="仿宋_GB2312" w:eastAsia="仿宋_GB2312" w:cs="Times New Roman"/>
          <w:sz w:val="32"/>
          <w:szCs w:val="24"/>
          <w:lang w:val="en-US" w:eastAsia="zh-CN"/>
        </w:rPr>
        <w:t>决算单位构成。</w:t>
      </w:r>
    </w:p>
    <w:p>
      <w:pPr>
        <w:pStyle w:val="3"/>
        <w:numPr>
          <w:ilvl w:val="-1"/>
          <w:numId w:val="0"/>
        </w:numPr>
        <w:spacing w:line="560" w:lineRule="exact"/>
        <w:ind w:firstLine="640" w:firstLineChars="200"/>
        <w:rPr>
          <w:rFonts w:hint="eastAsia" w:ascii="仿宋_GB2312" w:hAnsi="仿宋_GB2312" w:eastAsia="仿宋_GB2312"/>
          <w:sz w:val="32"/>
          <w:lang w:val="en-US" w:eastAsia="zh-CN"/>
        </w:rPr>
      </w:pPr>
      <w:r>
        <w:rPr>
          <w:rFonts w:hint="eastAsia" w:ascii="仿宋_GB2312" w:hAnsi="仿宋_GB2312" w:eastAsia="仿宋_GB2312"/>
          <w:sz w:val="32"/>
          <w:lang w:val="en-US" w:eastAsia="zh-CN"/>
        </w:rPr>
        <w:t>2021年度，学院决算单位户数共1个，</w:t>
      </w:r>
      <w:r>
        <w:rPr>
          <w:rFonts w:hint="eastAsia" w:ascii="仿宋_GB2312" w:hAnsi="仿宋_GB2312" w:eastAsia="仿宋_GB2312"/>
          <w:bCs w:val="0"/>
          <w:kern w:val="2"/>
          <w:sz w:val="32"/>
          <w:szCs w:val="24"/>
        </w:rPr>
        <w:t>202</w:t>
      </w:r>
      <w:r>
        <w:rPr>
          <w:rFonts w:hint="eastAsia" w:ascii="仿宋_GB2312" w:hAnsi="仿宋_GB2312" w:eastAsia="仿宋_GB2312"/>
          <w:bCs w:val="0"/>
          <w:kern w:val="2"/>
          <w:sz w:val="32"/>
          <w:szCs w:val="24"/>
          <w:lang w:val="en-US" w:eastAsia="zh-CN"/>
        </w:rPr>
        <w:t>1</w:t>
      </w:r>
      <w:r>
        <w:rPr>
          <w:rFonts w:hint="eastAsia" w:ascii="仿宋_GB2312" w:hAnsi="仿宋_GB2312" w:eastAsia="仿宋_GB2312"/>
          <w:bCs w:val="0"/>
          <w:kern w:val="2"/>
          <w:sz w:val="32"/>
          <w:szCs w:val="24"/>
        </w:rPr>
        <w:t>年部门决算汇总公开单位构成包括</w:t>
      </w:r>
      <w:r>
        <w:rPr>
          <w:rFonts w:hint="eastAsia" w:ascii="仿宋_GB2312" w:hAnsi="仿宋_GB2312" w:eastAsia="仿宋_GB2312"/>
          <w:sz w:val="32"/>
          <w:lang w:val="en-US" w:eastAsia="zh-CN"/>
        </w:rPr>
        <w:t>长沙环境保护技术学院本级。</w:t>
      </w:r>
    </w:p>
    <w:p>
      <w:pPr>
        <w:pStyle w:val="3"/>
        <w:ind w:firstLine="640" w:firstLineChars="200"/>
        <w:rPr>
          <w:rFonts w:hint="eastAsia" w:ascii="仿宋_GB2312" w:hAnsi="仿宋_GB2312" w:eastAsia="仿宋_GB2312"/>
          <w:sz w:val="32"/>
        </w:rPr>
      </w:pPr>
    </w:p>
    <w:p>
      <w:pPr>
        <w:keepNext w:val="0"/>
        <w:keepLines w:val="0"/>
        <w:pageBreakBefore w:val="0"/>
        <w:widowControl w:val="0"/>
        <w:kinsoku/>
        <w:wordWrap/>
        <w:overflowPunct/>
        <w:topLinePunct w:val="0"/>
        <w:autoSpaceDE/>
        <w:autoSpaceDN/>
        <w:bidi w:val="0"/>
        <w:spacing w:line="500" w:lineRule="exact"/>
        <w:jc w:val="center"/>
        <w:textAlignment w:val="auto"/>
        <w:rPr>
          <w:sz w:val="72"/>
          <w:szCs w:val="72"/>
        </w:rPr>
      </w:pPr>
    </w:p>
    <w:p>
      <w:pPr>
        <w:keepNext w:val="0"/>
        <w:keepLines w:val="0"/>
        <w:pageBreakBefore w:val="0"/>
        <w:widowControl w:val="0"/>
        <w:kinsoku/>
        <w:wordWrap/>
        <w:overflowPunct/>
        <w:topLinePunct w:val="0"/>
        <w:autoSpaceDE/>
        <w:autoSpaceDN/>
        <w:bidi w:val="0"/>
        <w:spacing w:line="500" w:lineRule="exact"/>
        <w:jc w:val="left"/>
        <w:textAlignment w:val="auto"/>
        <w:rPr>
          <w:sz w:val="32"/>
          <w:szCs w:val="32"/>
        </w:rPr>
      </w:pPr>
    </w:p>
    <w:p>
      <w:pPr>
        <w:pStyle w:val="2"/>
        <w:rPr>
          <w:sz w:val="32"/>
          <w:szCs w:val="32"/>
        </w:rPr>
      </w:pPr>
    </w:p>
    <w:p>
      <w:pPr>
        <w:pStyle w:val="2"/>
        <w:rPr>
          <w:sz w:val="32"/>
          <w:szCs w:val="32"/>
        </w:rPr>
      </w:pPr>
    </w:p>
    <w:p>
      <w:pPr>
        <w:pStyle w:val="2"/>
        <w:rPr>
          <w:sz w:val="32"/>
          <w:szCs w:val="32"/>
        </w:rPr>
      </w:pPr>
    </w:p>
    <w:p>
      <w:pPr>
        <w:pStyle w:val="2"/>
        <w:rPr>
          <w:sz w:val="32"/>
          <w:szCs w:val="32"/>
        </w:rPr>
      </w:pPr>
    </w:p>
    <w:p>
      <w:pPr>
        <w:pStyle w:val="16"/>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firstLine="0" w:firstLineChars="0"/>
        <w:jc w:val="center"/>
        <w:textAlignment w:val="auto"/>
        <w:outlineLvl w:val="9"/>
        <w:rPr>
          <w:rFonts w:hint="eastAsia" w:ascii="黑体" w:eastAsia="黑体" w:cs="黑体" w:hAnsiTheme="minorHAnsi"/>
          <w:color w:val="000000"/>
          <w:spacing w:val="0"/>
          <w:kern w:val="0"/>
          <w:sz w:val="72"/>
          <w:szCs w:val="72"/>
          <w:lang w:val="en-US" w:eastAsia="zh-CN" w:bidi="ar-SA"/>
        </w:rPr>
      </w:pPr>
      <w:r>
        <w:rPr>
          <w:rFonts w:hint="eastAsia" w:ascii="黑体" w:eastAsia="黑体" w:cs="黑体" w:hAnsiTheme="minorHAnsi"/>
          <w:color w:val="000000"/>
          <w:spacing w:val="0"/>
          <w:kern w:val="0"/>
          <w:sz w:val="72"/>
          <w:szCs w:val="72"/>
          <w:lang w:val="en-US" w:eastAsia="zh-CN" w:bidi="ar-SA"/>
        </w:rPr>
        <w:t xml:space="preserve">第二部分  </w:t>
      </w:r>
      <w:r>
        <w:rPr>
          <w:rFonts w:hint="eastAsia" w:ascii="黑体" w:eastAsia="黑体" w:cs="黑体" w:hAnsiTheme="minorHAnsi"/>
          <w:color w:val="000000"/>
          <w:spacing w:val="0"/>
          <w:kern w:val="0"/>
          <w:sz w:val="72"/>
          <w:szCs w:val="72"/>
          <w:lang w:val="en-US" w:eastAsia="zh-CN" w:bidi="ar-SA"/>
        </w:rPr>
        <w:br w:type="textWrapping"/>
      </w:r>
    </w:p>
    <w:p>
      <w:pPr>
        <w:pStyle w:val="16"/>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firstLine="0" w:firstLineChars="0"/>
        <w:jc w:val="center"/>
        <w:textAlignment w:val="auto"/>
        <w:outlineLvl w:val="9"/>
        <w:rPr>
          <w:rFonts w:hint="eastAsia" w:ascii="黑体" w:eastAsia="黑体" w:cs="黑体" w:hAnsiTheme="minorHAnsi"/>
          <w:color w:val="000000"/>
          <w:spacing w:val="0"/>
          <w:kern w:val="0"/>
          <w:sz w:val="72"/>
          <w:szCs w:val="72"/>
          <w:lang w:val="en-US" w:eastAsia="zh-CN" w:bidi="ar-SA"/>
        </w:rPr>
      </w:pPr>
      <w:r>
        <w:rPr>
          <w:rFonts w:hint="eastAsia" w:ascii="黑体" w:eastAsia="黑体" w:cs="黑体" w:hAnsiTheme="minorHAnsi"/>
          <w:color w:val="000000"/>
          <w:spacing w:val="0"/>
          <w:kern w:val="0"/>
          <w:sz w:val="72"/>
          <w:szCs w:val="72"/>
          <w:lang w:val="en-US" w:eastAsia="zh-CN" w:bidi="ar-SA"/>
        </w:rPr>
        <w:t>部门决算表</w:t>
      </w:r>
    </w:p>
    <w:p>
      <w:pPr>
        <w:pStyle w:val="16"/>
        <w:keepNext w:val="0"/>
        <w:keepLines w:val="0"/>
        <w:pageBreakBefore w:val="0"/>
        <w:widowControl/>
        <w:kinsoku/>
        <w:wordWrap/>
        <w:overflowPunct/>
        <w:topLinePunct w:val="0"/>
        <w:autoSpaceDE/>
        <w:autoSpaceDN/>
        <w:bidi w:val="0"/>
        <w:spacing w:line="240" w:lineRule="auto"/>
        <w:jc w:val="center"/>
        <w:textAlignment w:val="auto"/>
        <w:outlineLvl w:val="9"/>
        <w:rPr>
          <w:rFonts w:hint="eastAsia" w:ascii="黑体" w:hAnsiTheme="minorHAnsi"/>
          <w:sz w:val="72"/>
          <w:szCs w:val="72"/>
        </w:rPr>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pPr>
    </w:p>
    <w:tbl>
      <w:tblPr>
        <w:tblStyle w:val="10"/>
        <w:tblW w:w="13629" w:type="dxa"/>
        <w:tblInd w:w="93" w:type="dxa"/>
        <w:tblLayout w:type="fixed"/>
        <w:tblCellMar>
          <w:top w:w="0" w:type="dxa"/>
          <w:left w:w="108" w:type="dxa"/>
          <w:bottom w:w="0" w:type="dxa"/>
          <w:right w:w="108" w:type="dxa"/>
        </w:tblCellMar>
      </w:tblPr>
      <w:tblGrid>
        <w:gridCol w:w="3920"/>
        <w:gridCol w:w="754"/>
        <w:gridCol w:w="646"/>
        <w:gridCol w:w="711"/>
        <w:gridCol w:w="236"/>
        <w:gridCol w:w="940"/>
        <w:gridCol w:w="3163"/>
        <w:gridCol w:w="837"/>
        <w:gridCol w:w="465"/>
        <w:gridCol w:w="255"/>
        <w:gridCol w:w="1702"/>
      </w:tblGrid>
      <w:tr>
        <w:tblPrEx>
          <w:tblCellMar>
            <w:top w:w="0" w:type="dxa"/>
            <w:left w:w="108" w:type="dxa"/>
            <w:bottom w:w="0" w:type="dxa"/>
            <w:right w:w="108" w:type="dxa"/>
          </w:tblCellMar>
        </w:tblPrEx>
        <w:trPr>
          <w:trHeight w:val="289" w:hRule="atLeast"/>
        </w:trPr>
        <w:tc>
          <w:tcPr>
            <w:tcW w:w="13629" w:type="dxa"/>
            <w:gridSpan w:val="11"/>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default" w:ascii="仿宋" w:hAnsi="仿宋" w:eastAsia="仿宋" w:cs="宋体"/>
                <w:color w:val="000000"/>
                <w:kern w:val="0"/>
                <w:sz w:val="32"/>
                <w:szCs w:val="32"/>
              </w:rPr>
            </w:pPr>
            <w:r>
              <w:rPr>
                <w:rFonts w:hint="eastAsia" w:ascii="黑体" w:hAnsi="黑体" w:eastAsia="黑体" w:cs="黑体"/>
                <w:kern w:val="2"/>
                <w:sz w:val="32"/>
                <w:szCs w:val="32"/>
                <w:lang w:val="en-US" w:eastAsia="zh-CN" w:bidi="ar-SA"/>
              </w:rPr>
              <w:t>一、收入支出决算总表</w:t>
            </w:r>
          </w:p>
        </w:tc>
      </w:tr>
      <w:tr>
        <w:tblPrEx>
          <w:tblCellMar>
            <w:top w:w="0" w:type="dxa"/>
            <w:left w:w="108" w:type="dxa"/>
            <w:bottom w:w="0" w:type="dxa"/>
            <w:right w:w="108" w:type="dxa"/>
          </w:tblCellMar>
        </w:tblPrEx>
        <w:trPr>
          <w:trHeight w:val="72" w:hRule="atLeast"/>
        </w:trPr>
        <w:tc>
          <w:tcPr>
            <w:tcW w:w="5320" w:type="dxa"/>
            <w:gridSpan w:val="3"/>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711" w:type="dxa"/>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236" w:type="dxa"/>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5405"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255" w:type="dxa"/>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1702" w:type="dxa"/>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 w:val="22"/>
              </w:rPr>
            </w:pPr>
            <w:r>
              <w:rPr>
                <w:rFonts w:hint="eastAsia" w:ascii="仿宋" w:hAnsi="仿宋" w:eastAsia="仿宋" w:cs="宋体"/>
                <w:color w:val="000000"/>
                <w:kern w:val="0"/>
                <w:sz w:val="22"/>
              </w:rPr>
              <w:t>公开01表</w:t>
            </w:r>
          </w:p>
        </w:tc>
      </w:tr>
      <w:tr>
        <w:tblPrEx>
          <w:tblCellMar>
            <w:top w:w="0" w:type="dxa"/>
            <w:left w:w="108" w:type="dxa"/>
            <w:bottom w:w="0" w:type="dxa"/>
            <w:right w:w="108" w:type="dxa"/>
          </w:tblCellMar>
        </w:tblPrEx>
        <w:trPr>
          <w:trHeight w:val="241" w:hRule="atLeast"/>
        </w:trPr>
        <w:tc>
          <w:tcPr>
            <w:tcW w:w="5320" w:type="dxa"/>
            <w:gridSpan w:val="3"/>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color w:val="000000"/>
                <w:kern w:val="0"/>
                <w:sz w:val="22"/>
              </w:rPr>
            </w:pPr>
            <w:r>
              <w:rPr>
                <w:rFonts w:hint="eastAsia" w:ascii="仿宋" w:hAnsi="仿宋" w:eastAsia="仿宋" w:cs="宋体"/>
                <w:color w:val="000000"/>
                <w:kern w:val="0"/>
                <w:sz w:val="22"/>
              </w:rPr>
              <w:t>部门：长沙环境保护职业技术学院</w:t>
            </w:r>
          </w:p>
        </w:tc>
        <w:tc>
          <w:tcPr>
            <w:tcW w:w="711" w:type="dxa"/>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rPr>
              <w:t>　</w:t>
            </w:r>
          </w:p>
        </w:tc>
        <w:tc>
          <w:tcPr>
            <w:tcW w:w="236" w:type="dxa"/>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rPr>
              <w:t>　</w:t>
            </w:r>
          </w:p>
        </w:tc>
        <w:tc>
          <w:tcPr>
            <w:tcW w:w="5405"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rPr>
              <w:t>　</w:t>
            </w:r>
          </w:p>
        </w:tc>
        <w:tc>
          <w:tcPr>
            <w:tcW w:w="255" w:type="dxa"/>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rPr>
              <w:t>　</w:t>
            </w:r>
          </w:p>
        </w:tc>
        <w:tc>
          <w:tcPr>
            <w:tcW w:w="1702" w:type="dxa"/>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color w:val="000000"/>
                <w:kern w:val="0"/>
                <w:sz w:val="22"/>
              </w:rPr>
            </w:pPr>
            <w:r>
              <w:rPr>
                <w:rFonts w:hint="eastAsia" w:ascii="仿宋" w:hAnsi="仿宋" w:eastAsia="仿宋" w:cs="宋体"/>
                <w:color w:val="000000"/>
                <w:kern w:val="0"/>
                <w:sz w:val="22"/>
              </w:rPr>
              <w:t>单位：万元</w:t>
            </w:r>
          </w:p>
        </w:tc>
      </w:tr>
      <w:tr>
        <w:tblPrEx>
          <w:tblCellMar>
            <w:top w:w="0" w:type="dxa"/>
            <w:left w:w="108" w:type="dxa"/>
            <w:bottom w:w="0" w:type="dxa"/>
            <w:right w:w="108" w:type="dxa"/>
          </w:tblCellMar>
        </w:tblPrEx>
        <w:trPr>
          <w:trHeight w:val="274" w:hRule="atLeast"/>
        </w:trPr>
        <w:tc>
          <w:tcPr>
            <w:tcW w:w="7207"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收入</w:t>
            </w:r>
          </w:p>
        </w:tc>
        <w:tc>
          <w:tcPr>
            <w:tcW w:w="6422" w:type="dxa"/>
            <w:gridSpan w:val="5"/>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支出</w:t>
            </w:r>
          </w:p>
        </w:tc>
      </w:tr>
      <w:tr>
        <w:tblPrEx>
          <w:tblCellMar>
            <w:top w:w="0" w:type="dxa"/>
            <w:left w:w="108" w:type="dxa"/>
            <w:bottom w:w="0" w:type="dxa"/>
            <w:right w:w="108" w:type="dxa"/>
          </w:tblCellMar>
        </w:tblPrEx>
        <w:trPr>
          <w:trHeight w:val="405" w:hRule="atLeast"/>
        </w:trPr>
        <w:tc>
          <w:tcPr>
            <w:tcW w:w="3920"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项    目</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行次</w:t>
            </w:r>
          </w:p>
        </w:tc>
        <w:tc>
          <w:tcPr>
            <w:tcW w:w="2533" w:type="dxa"/>
            <w:gridSpan w:val="4"/>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决算数</w:t>
            </w:r>
          </w:p>
        </w:tc>
        <w:tc>
          <w:tcPr>
            <w:tcW w:w="316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项    目</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行次</w:t>
            </w:r>
          </w:p>
        </w:tc>
        <w:tc>
          <w:tcPr>
            <w:tcW w:w="2422"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决算数</w:t>
            </w:r>
          </w:p>
        </w:tc>
      </w:tr>
      <w:tr>
        <w:tblPrEx>
          <w:tblCellMar>
            <w:top w:w="0" w:type="dxa"/>
            <w:left w:w="108" w:type="dxa"/>
            <w:bottom w:w="0" w:type="dxa"/>
            <w:right w:w="108" w:type="dxa"/>
          </w:tblCellMar>
        </w:tblPrEx>
        <w:trPr>
          <w:trHeight w:val="274" w:hRule="atLeast"/>
        </w:trPr>
        <w:tc>
          <w:tcPr>
            <w:tcW w:w="3920"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栏    次</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　</w:t>
            </w:r>
          </w:p>
        </w:tc>
        <w:tc>
          <w:tcPr>
            <w:tcW w:w="2533" w:type="dxa"/>
            <w:gridSpan w:val="4"/>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1</w:t>
            </w:r>
          </w:p>
        </w:tc>
        <w:tc>
          <w:tcPr>
            <w:tcW w:w="316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栏    次</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　</w:t>
            </w:r>
          </w:p>
        </w:tc>
        <w:tc>
          <w:tcPr>
            <w:tcW w:w="2422"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2</w:t>
            </w:r>
          </w:p>
        </w:tc>
      </w:tr>
      <w:tr>
        <w:tblPrEx>
          <w:tblCellMar>
            <w:top w:w="0" w:type="dxa"/>
            <w:left w:w="108" w:type="dxa"/>
            <w:bottom w:w="0" w:type="dxa"/>
            <w:right w:w="108" w:type="dxa"/>
          </w:tblCellMar>
        </w:tblPrEx>
        <w:trPr>
          <w:trHeight w:val="274" w:hRule="atLeast"/>
        </w:trPr>
        <w:tc>
          <w:tcPr>
            <w:tcW w:w="392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一、一般公共预算财政拨款收入</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1</w:t>
            </w:r>
          </w:p>
        </w:tc>
        <w:tc>
          <w:tcPr>
            <w:tcW w:w="2533"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14227.13</w:t>
            </w:r>
            <w:r>
              <w:rPr>
                <w:rFonts w:hint="eastAsia" w:ascii="仿宋" w:hAnsi="仿宋" w:eastAsia="仿宋" w:cs="宋体"/>
                <w:kern w:val="0"/>
                <w:sz w:val="22"/>
              </w:rPr>
              <w:t>　</w:t>
            </w:r>
          </w:p>
        </w:tc>
        <w:tc>
          <w:tcPr>
            <w:tcW w:w="316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一、一般公共服务支出</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14</w:t>
            </w:r>
          </w:p>
        </w:tc>
        <w:tc>
          <w:tcPr>
            <w:tcW w:w="2422"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2.50</w:t>
            </w:r>
            <w:r>
              <w:rPr>
                <w:rFonts w:hint="eastAsia" w:ascii="仿宋" w:hAnsi="仿宋" w:eastAsia="仿宋" w:cs="宋体"/>
                <w:kern w:val="0"/>
                <w:sz w:val="22"/>
              </w:rPr>
              <w:t>　</w:t>
            </w:r>
          </w:p>
        </w:tc>
      </w:tr>
      <w:tr>
        <w:tblPrEx>
          <w:tblCellMar>
            <w:top w:w="0" w:type="dxa"/>
            <w:left w:w="108" w:type="dxa"/>
            <w:bottom w:w="0" w:type="dxa"/>
            <w:right w:w="108" w:type="dxa"/>
          </w:tblCellMar>
        </w:tblPrEx>
        <w:trPr>
          <w:trHeight w:val="90" w:hRule="atLeast"/>
        </w:trPr>
        <w:tc>
          <w:tcPr>
            <w:tcW w:w="3920"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二、政府性基金预算财政拨款收入</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2</w:t>
            </w:r>
          </w:p>
        </w:tc>
        <w:tc>
          <w:tcPr>
            <w:tcW w:w="2533"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0.00</w:t>
            </w:r>
            <w:r>
              <w:rPr>
                <w:rFonts w:hint="eastAsia" w:ascii="仿宋" w:hAnsi="仿宋" w:eastAsia="仿宋" w:cs="宋体"/>
                <w:kern w:val="0"/>
                <w:sz w:val="22"/>
              </w:rPr>
              <w:t>　</w:t>
            </w:r>
          </w:p>
        </w:tc>
        <w:tc>
          <w:tcPr>
            <w:tcW w:w="316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二、教育支出</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15</w:t>
            </w:r>
          </w:p>
        </w:tc>
        <w:tc>
          <w:tcPr>
            <w:tcW w:w="2422"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17826.19</w:t>
            </w:r>
            <w:r>
              <w:rPr>
                <w:rFonts w:hint="eastAsia" w:ascii="仿宋" w:hAnsi="仿宋" w:eastAsia="仿宋" w:cs="宋体"/>
                <w:kern w:val="0"/>
                <w:sz w:val="22"/>
              </w:rPr>
              <w:t>　</w:t>
            </w:r>
          </w:p>
        </w:tc>
      </w:tr>
      <w:tr>
        <w:tblPrEx>
          <w:tblCellMar>
            <w:top w:w="0" w:type="dxa"/>
            <w:left w:w="108" w:type="dxa"/>
            <w:bottom w:w="0" w:type="dxa"/>
            <w:right w:w="108" w:type="dxa"/>
          </w:tblCellMar>
        </w:tblPrEx>
        <w:trPr>
          <w:trHeight w:val="274" w:hRule="atLeast"/>
        </w:trPr>
        <w:tc>
          <w:tcPr>
            <w:tcW w:w="392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三、国有资本经营预算财政拨款收入</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3</w:t>
            </w:r>
          </w:p>
        </w:tc>
        <w:tc>
          <w:tcPr>
            <w:tcW w:w="2533"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0.00</w:t>
            </w:r>
            <w:r>
              <w:rPr>
                <w:rFonts w:hint="eastAsia" w:ascii="仿宋" w:hAnsi="仿宋" w:eastAsia="仿宋" w:cs="宋体"/>
                <w:kern w:val="0"/>
                <w:sz w:val="22"/>
              </w:rPr>
              <w:t>　</w:t>
            </w:r>
          </w:p>
        </w:tc>
        <w:tc>
          <w:tcPr>
            <w:tcW w:w="316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三、科学技术支出</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16</w:t>
            </w:r>
          </w:p>
        </w:tc>
        <w:tc>
          <w:tcPr>
            <w:tcW w:w="2422"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0.83</w:t>
            </w:r>
            <w:r>
              <w:rPr>
                <w:rFonts w:hint="eastAsia" w:ascii="仿宋" w:hAnsi="仿宋" w:eastAsia="仿宋" w:cs="宋体"/>
                <w:kern w:val="0"/>
                <w:sz w:val="22"/>
              </w:rPr>
              <w:t>　</w:t>
            </w:r>
          </w:p>
        </w:tc>
      </w:tr>
      <w:tr>
        <w:tblPrEx>
          <w:tblCellMar>
            <w:top w:w="0" w:type="dxa"/>
            <w:left w:w="108" w:type="dxa"/>
            <w:bottom w:w="0" w:type="dxa"/>
            <w:right w:w="108" w:type="dxa"/>
          </w:tblCellMar>
        </w:tblPrEx>
        <w:trPr>
          <w:trHeight w:val="274" w:hRule="atLeast"/>
        </w:trPr>
        <w:tc>
          <w:tcPr>
            <w:tcW w:w="3920"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四、上级补助收入</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4</w:t>
            </w:r>
          </w:p>
        </w:tc>
        <w:tc>
          <w:tcPr>
            <w:tcW w:w="2533"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0.00</w:t>
            </w:r>
            <w:r>
              <w:rPr>
                <w:rFonts w:hint="eastAsia" w:ascii="仿宋" w:hAnsi="仿宋" w:eastAsia="仿宋" w:cs="宋体"/>
                <w:kern w:val="0"/>
                <w:sz w:val="22"/>
              </w:rPr>
              <w:t>　</w:t>
            </w:r>
          </w:p>
        </w:tc>
        <w:tc>
          <w:tcPr>
            <w:tcW w:w="316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四、社会保障和就业支出</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17</w:t>
            </w:r>
          </w:p>
        </w:tc>
        <w:tc>
          <w:tcPr>
            <w:tcW w:w="2422"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1321.15</w:t>
            </w:r>
            <w:r>
              <w:rPr>
                <w:rFonts w:hint="eastAsia" w:ascii="仿宋" w:hAnsi="仿宋" w:eastAsia="仿宋" w:cs="宋体"/>
                <w:kern w:val="0"/>
                <w:sz w:val="22"/>
              </w:rPr>
              <w:t>　</w:t>
            </w:r>
          </w:p>
        </w:tc>
      </w:tr>
      <w:tr>
        <w:tblPrEx>
          <w:tblCellMar>
            <w:top w:w="0" w:type="dxa"/>
            <w:left w:w="108" w:type="dxa"/>
            <w:bottom w:w="0" w:type="dxa"/>
            <w:right w:w="108" w:type="dxa"/>
          </w:tblCellMar>
        </w:tblPrEx>
        <w:trPr>
          <w:trHeight w:val="274" w:hRule="atLeast"/>
        </w:trPr>
        <w:tc>
          <w:tcPr>
            <w:tcW w:w="3920"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五、事业收入</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5</w:t>
            </w:r>
          </w:p>
        </w:tc>
        <w:tc>
          <w:tcPr>
            <w:tcW w:w="2533"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6295.27</w:t>
            </w:r>
            <w:r>
              <w:rPr>
                <w:rFonts w:hint="eastAsia" w:ascii="仿宋" w:hAnsi="仿宋" w:eastAsia="仿宋" w:cs="宋体"/>
                <w:kern w:val="0"/>
                <w:sz w:val="22"/>
              </w:rPr>
              <w:t>　</w:t>
            </w:r>
          </w:p>
        </w:tc>
        <w:tc>
          <w:tcPr>
            <w:tcW w:w="316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宋体"/>
                <w:kern w:val="0"/>
                <w:sz w:val="22"/>
                <w:lang w:eastAsia="zh-CN"/>
              </w:rPr>
            </w:pPr>
            <w:r>
              <w:rPr>
                <w:rFonts w:hint="eastAsia" w:ascii="仿宋" w:hAnsi="仿宋" w:eastAsia="仿宋" w:cs="宋体"/>
                <w:kern w:val="0"/>
                <w:sz w:val="22"/>
              </w:rPr>
              <w:t>五、</w:t>
            </w:r>
            <w:r>
              <w:rPr>
                <w:rFonts w:hint="eastAsia" w:ascii="仿宋" w:hAnsi="仿宋" w:eastAsia="仿宋" w:cs="宋体"/>
                <w:kern w:val="0"/>
                <w:sz w:val="22"/>
                <w:lang w:eastAsia="zh-CN"/>
              </w:rPr>
              <w:t>卫生健康支出</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18</w:t>
            </w:r>
          </w:p>
        </w:tc>
        <w:tc>
          <w:tcPr>
            <w:tcW w:w="2422"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32.00</w:t>
            </w:r>
            <w:r>
              <w:rPr>
                <w:rFonts w:hint="eastAsia" w:ascii="仿宋" w:hAnsi="仿宋" w:eastAsia="仿宋" w:cs="宋体"/>
                <w:kern w:val="0"/>
                <w:sz w:val="22"/>
              </w:rPr>
              <w:t>　</w:t>
            </w:r>
          </w:p>
        </w:tc>
      </w:tr>
      <w:tr>
        <w:tblPrEx>
          <w:tblCellMar>
            <w:top w:w="0" w:type="dxa"/>
            <w:left w:w="108" w:type="dxa"/>
            <w:bottom w:w="0" w:type="dxa"/>
            <w:right w:w="108" w:type="dxa"/>
          </w:tblCellMar>
        </w:tblPrEx>
        <w:trPr>
          <w:trHeight w:val="274" w:hRule="atLeast"/>
        </w:trPr>
        <w:tc>
          <w:tcPr>
            <w:tcW w:w="3920"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六、经营收入</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6</w:t>
            </w:r>
          </w:p>
        </w:tc>
        <w:tc>
          <w:tcPr>
            <w:tcW w:w="2533"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1036.77</w:t>
            </w:r>
            <w:r>
              <w:rPr>
                <w:rFonts w:hint="eastAsia" w:ascii="仿宋" w:hAnsi="仿宋" w:eastAsia="仿宋" w:cs="宋体"/>
                <w:kern w:val="0"/>
                <w:sz w:val="22"/>
              </w:rPr>
              <w:t>　</w:t>
            </w:r>
          </w:p>
        </w:tc>
        <w:tc>
          <w:tcPr>
            <w:tcW w:w="316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宋体"/>
                <w:kern w:val="0"/>
                <w:sz w:val="22"/>
                <w:lang w:eastAsia="zh-CN"/>
              </w:rPr>
            </w:pPr>
            <w:r>
              <w:rPr>
                <w:rFonts w:hint="eastAsia" w:ascii="仿宋" w:hAnsi="仿宋" w:eastAsia="仿宋" w:cs="宋体"/>
                <w:kern w:val="0"/>
                <w:sz w:val="22"/>
              </w:rPr>
              <w:t>六、</w:t>
            </w:r>
            <w:r>
              <w:rPr>
                <w:rFonts w:hint="eastAsia" w:ascii="仿宋" w:hAnsi="仿宋" w:eastAsia="仿宋" w:cs="宋体"/>
                <w:kern w:val="0"/>
                <w:sz w:val="22"/>
                <w:lang w:eastAsia="zh-CN"/>
              </w:rPr>
              <w:t>节能环保支出</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19</w:t>
            </w:r>
          </w:p>
        </w:tc>
        <w:tc>
          <w:tcPr>
            <w:tcW w:w="2422"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176.58</w:t>
            </w:r>
            <w:r>
              <w:rPr>
                <w:rFonts w:hint="eastAsia" w:ascii="仿宋" w:hAnsi="仿宋" w:eastAsia="仿宋" w:cs="宋体"/>
                <w:kern w:val="0"/>
                <w:sz w:val="22"/>
              </w:rPr>
              <w:t>　</w:t>
            </w:r>
          </w:p>
        </w:tc>
      </w:tr>
      <w:tr>
        <w:tblPrEx>
          <w:tblCellMar>
            <w:top w:w="0" w:type="dxa"/>
            <w:left w:w="108" w:type="dxa"/>
            <w:bottom w:w="0" w:type="dxa"/>
            <w:right w:w="108" w:type="dxa"/>
          </w:tblCellMar>
        </w:tblPrEx>
        <w:trPr>
          <w:trHeight w:val="274" w:hRule="atLeast"/>
        </w:trPr>
        <w:tc>
          <w:tcPr>
            <w:tcW w:w="3920"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七、附属单位上缴收入</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7</w:t>
            </w:r>
          </w:p>
        </w:tc>
        <w:tc>
          <w:tcPr>
            <w:tcW w:w="2533"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0.00</w:t>
            </w:r>
            <w:r>
              <w:rPr>
                <w:rFonts w:hint="eastAsia" w:ascii="仿宋" w:hAnsi="仿宋" w:eastAsia="仿宋" w:cs="宋体"/>
                <w:kern w:val="0"/>
                <w:sz w:val="22"/>
              </w:rPr>
              <w:t>　</w:t>
            </w:r>
          </w:p>
        </w:tc>
        <w:tc>
          <w:tcPr>
            <w:tcW w:w="31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宋体"/>
                <w:kern w:val="0"/>
                <w:sz w:val="22"/>
                <w:lang w:eastAsia="zh-CN"/>
              </w:rPr>
            </w:pPr>
            <w:r>
              <w:rPr>
                <w:rFonts w:hint="eastAsia" w:ascii="仿宋" w:hAnsi="仿宋" w:eastAsia="仿宋" w:cs="宋体"/>
                <w:kern w:val="0"/>
                <w:sz w:val="22"/>
              </w:rPr>
              <w:t>七、</w:t>
            </w:r>
            <w:r>
              <w:rPr>
                <w:rFonts w:hint="eastAsia" w:ascii="仿宋" w:hAnsi="仿宋" w:eastAsia="仿宋" w:cs="宋体"/>
                <w:kern w:val="0"/>
                <w:sz w:val="22"/>
                <w:lang w:eastAsia="zh-CN"/>
              </w:rPr>
              <w:t>农林水支出</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20</w:t>
            </w:r>
          </w:p>
        </w:tc>
        <w:tc>
          <w:tcPr>
            <w:tcW w:w="2422"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5.00</w:t>
            </w:r>
            <w:r>
              <w:rPr>
                <w:rFonts w:hint="eastAsia" w:ascii="仿宋" w:hAnsi="仿宋" w:eastAsia="仿宋" w:cs="宋体"/>
                <w:kern w:val="0"/>
                <w:sz w:val="22"/>
              </w:rPr>
              <w:t>　</w:t>
            </w:r>
          </w:p>
        </w:tc>
      </w:tr>
      <w:tr>
        <w:tblPrEx>
          <w:tblCellMar>
            <w:top w:w="0" w:type="dxa"/>
            <w:left w:w="108" w:type="dxa"/>
            <w:bottom w:w="0" w:type="dxa"/>
            <w:right w:w="108" w:type="dxa"/>
          </w:tblCellMar>
        </w:tblPrEx>
        <w:trPr>
          <w:trHeight w:val="274" w:hRule="atLeast"/>
        </w:trPr>
        <w:tc>
          <w:tcPr>
            <w:tcW w:w="3920"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八、其他收入</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8</w:t>
            </w:r>
          </w:p>
        </w:tc>
        <w:tc>
          <w:tcPr>
            <w:tcW w:w="2533"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lang w:val="en-US" w:eastAsia="zh-CN"/>
              </w:rPr>
            </w:pPr>
            <w:r>
              <w:rPr>
                <w:rFonts w:hint="eastAsia" w:ascii="仿宋" w:hAnsi="仿宋" w:eastAsia="仿宋" w:cs="宋体"/>
                <w:kern w:val="0"/>
                <w:sz w:val="22"/>
                <w:lang w:val="en-US" w:eastAsia="zh-CN"/>
              </w:rPr>
              <w:t>124.97</w:t>
            </w:r>
          </w:p>
        </w:tc>
        <w:tc>
          <w:tcPr>
            <w:tcW w:w="31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宋体"/>
                <w:kern w:val="0"/>
                <w:sz w:val="22"/>
                <w:lang w:eastAsia="zh-CN"/>
              </w:rPr>
            </w:pPr>
            <w:r>
              <w:rPr>
                <w:rFonts w:hint="eastAsia" w:ascii="仿宋" w:hAnsi="仿宋" w:eastAsia="仿宋" w:cs="宋体"/>
                <w:kern w:val="0"/>
                <w:sz w:val="22"/>
              </w:rPr>
              <w:t>八、</w:t>
            </w:r>
            <w:r>
              <w:rPr>
                <w:rFonts w:hint="eastAsia" w:ascii="仿宋" w:hAnsi="仿宋" w:eastAsia="仿宋" w:cs="宋体"/>
                <w:kern w:val="0"/>
                <w:sz w:val="22"/>
                <w:lang w:eastAsia="zh-CN"/>
              </w:rPr>
              <w:t>住房保障支出</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21</w:t>
            </w:r>
          </w:p>
        </w:tc>
        <w:tc>
          <w:tcPr>
            <w:tcW w:w="2422"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lang w:val="en-US" w:eastAsia="zh-CN"/>
              </w:rPr>
            </w:pPr>
            <w:r>
              <w:rPr>
                <w:rFonts w:hint="eastAsia" w:ascii="仿宋" w:hAnsi="仿宋" w:eastAsia="仿宋" w:cs="宋体"/>
                <w:kern w:val="0"/>
                <w:sz w:val="22"/>
                <w:lang w:val="en-US" w:eastAsia="zh-CN"/>
              </w:rPr>
              <w:t>744.00</w:t>
            </w:r>
          </w:p>
        </w:tc>
      </w:tr>
      <w:tr>
        <w:tblPrEx>
          <w:tblCellMar>
            <w:top w:w="0" w:type="dxa"/>
            <w:left w:w="108" w:type="dxa"/>
            <w:bottom w:w="0" w:type="dxa"/>
            <w:right w:w="108" w:type="dxa"/>
          </w:tblCellMar>
        </w:tblPrEx>
        <w:trPr>
          <w:trHeight w:val="274" w:hRule="atLeast"/>
        </w:trPr>
        <w:tc>
          <w:tcPr>
            <w:tcW w:w="392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rPr>
              <w:t>　</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9</w:t>
            </w:r>
          </w:p>
        </w:tc>
        <w:tc>
          <w:tcPr>
            <w:tcW w:w="2533"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rPr>
              <w:t>　</w:t>
            </w:r>
          </w:p>
        </w:tc>
        <w:tc>
          <w:tcPr>
            <w:tcW w:w="31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九、城乡社区支出　</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22</w:t>
            </w:r>
          </w:p>
        </w:tc>
        <w:tc>
          <w:tcPr>
            <w:tcW w:w="2422"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lang w:val="en-US" w:eastAsia="zh-CN"/>
              </w:rPr>
            </w:pPr>
            <w:r>
              <w:rPr>
                <w:rFonts w:hint="eastAsia" w:ascii="仿宋" w:hAnsi="仿宋" w:eastAsia="仿宋" w:cs="宋体"/>
                <w:kern w:val="0"/>
                <w:sz w:val="22"/>
              </w:rPr>
              <w:t>　</w:t>
            </w:r>
            <w:r>
              <w:rPr>
                <w:rFonts w:hint="eastAsia" w:ascii="仿宋" w:hAnsi="仿宋" w:eastAsia="仿宋" w:cs="宋体"/>
                <w:kern w:val="0"/>
                <w:sz w:val="22"/>
                <w:lang w:val="en-US" w:eastAsia="zh-CN"/>
              </w:rPr>
              <w:t>0.00</w:t>
            </w:r>
          </w:p>
        </w:tc>
      </w:tr>
      <w:tr>
        <w:tblPrEx>
          <w:tblCellMar>
            <w:top w:w="0" w:type="dxa"/>
            <w:left w:w="108" w:type="dxa"/>
            <w:bottom w:w="0" w:type="dxa"/>
            <w:right w:w="108" w:type="dxa"/>
          </w:tblCellMar>
        </w:tblPrEx>
        <w:trPr>
          <w:trHeight w:val="274" w:hRule="atLeast"/>
        </w:trPr>
        <w:tc>
          <w:tcPr>
            <w:tcW w:w="392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b/>
                <w:bCs/>
                <w:kern w:val="0"/>
                <w:sz w:val="22"/>
              </w:rPr>
            </w:pPr>
            <w:r>
              <w:rPr>
                <w:rFonts w:hint="eastAsia" w:ascii="仿宋" w:hAnsi="仿宋" w:eastAsia="仿宋" w:cs="宋体"/>
                <w:b/>
                <w:bCs/>
                <w:kern w:val="0"/>
                <w:sz w:val="22"/>
              </w:rPr>
              <w:t>本年收入合计</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10</w:t>
            </w:r>
          </w:p>
        </w:tc>
        <w:tc>
          <w:tcPr>
            <w:tcW w:w="2533"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21684.14</w:t>
            </w:r>
            <w:r>
              <w:rPr>
                <w:rFonts w:hint="eastAsia" w:ascii="仿宋" w:hAnsi="仿宋" w:eastAsia="仿宋" w:cs="宋体"/>
                <w:kern w:val="0"/>
                <w:sz w:val="22"/>
              </w:rPr>
              <w:t>　</w:t>
            </w:r>
          </w:p>
        </w:tc>
        <w:tc>
          <w:tcPr>
            <w:tcW w:w="31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b/>
                <w:bCs/>
                <w:kern w:val="0"/>
                <w:sz w:val="22"/>
              </w:rPr>
            </w:pPr>
            <w:r>
              <w:rPr>
                <w:rFonts w:hint="eastAsia" w:ascii="仿宋" w:hAnsi="仿宋" w:eastAsia="仿宋" w:cs="宋体"/>
                <w:b/>
                <w:bCs/>
                <w:kern w:val="0"/>
                <w:sz w:val="22"/>
              </w:rPr>
              <w:t>本年支出合计</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23</w:t>
            </w:r>
          </w:p>
        </w:tc>
        <w:tc>
          <w:tcPr>
            <w:tcW w:w="2422"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lang w:val="en-US" w:eastAsia="zh-CN"/>
              </w:rPr>
            </w:pPr>
            <w:r>
              <w:rPr>
                <w:rFonts w:hint="eastAsia" w:ascii="仿宋" w:hAnsi="仿宋" w:eastAsia="仿宋" w:cs="宋体"/>
                <w:kern w:val="0"/>
                <w:sz w:val="22"/>
                <w:lang w:val="en-US" w:eastAsia="zh-CN"/>
              </w:rPr>
              <w:t>20108.25</w:t>
            </w:r>
          </w:p>
        </w:tc>
      </w:tr>
      <w:tr>
        <w:tblPrEx>
          <w:tblCellMar>
            <w:top w:w="0" w:type="dxa"/>
            <w:left w:w="108" w:type="dxa"/>
            <w:bottom w:w="0" w:type="dxa"/>
            <w:right w:w="108" w:type="dxa"/>
          </w:tblCellMar>
        </w:tblPrEx>
        <w:trPr>
          <w:trHeight w:val="274" w:hRule="atLeast"/>
        </w:trPr>
        <w:tc>
          <w:tcPr>
            <w:tcW w:w="392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 xml:space="preserve">         使用非财政拨款结余</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11</w:t>
            </w:r>
          </w:p>
        </w:tc>
        <w:tc>
          <w:tcPr>
            <w:tcW w:w="2533"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0.00</w:t>
            </w:r>
            <w:r>
              <w:rPr>
                <w:rFonts w:hint="eastAsia" w:ascii="仿宋" w:hAnsi="仿宋" w:eastAsia="仿宋" w:cs="宋体"/>
                <w:kern w:val="0"/>
                <w:sz w:val="22"/>
              </w:rPr>
              <w:t>　</w:t>
            </w:r>
          </w:p>
        </w:tc>
        <w:tc>
          <w:tcPr>
            <w:tcW w:w="31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 xml:space="preserve">                结余分配</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24</w:t>
            </w:r>
          </w:p>
        </w:tc>
        <w:tc>
          <w:tcPr>
            <w:tcW w:w="2422"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lang w:val="en-US" w:eastAsia="zh-CN"/>
              </w:rPr>
            </w:pPr>
            <w:r>
              <w:rPr>
                <w:rFonts w:hint="eastAsia" w:ascii="仿宋" w:hAnsi="仿宋" w:eastAsia="仿宋" w:cs="宋体"/>
                <w:kern w:val="0"/>
                <w:sz w:val="22"/>
                <w:lang w:val="en-US" w:eastAsia="zh-CN"/>
              </w:rPr>
              <w:t>0.00</w:t>
            </w:r>
          </w:p>
        </w:tc>
      </w:tr>
      <w:tr>
        <w:tblPrEx>
          <w:tblCellMar>
            <w:top w:w="0" w:type="dxa"/>
            <w:left w:w="108" w:type="dxa"/>
            <w:bottom w:w="0" w:type="dxa"/>
            <w:right w:w="108" w:type="dxa"/>
          </w:tblCellMar>
        </w:tblPrEx>
        <w:trPr>
          <w:trHeight w:val="274" w:hRule="atLeast"/>
        </w:trPr>
        <w:tc>
          <w:tcPr>
            <w:tcW w:w="392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 xml:space="preserve">         年初结转和结余</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12</w:t>
            </w:r>
          </w:p>
        </w:tc>
        <w:tc>
          <w:tcPr>
            <w:tcW w:w="2533"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830.15</w:t>
            </w:r>
            <w:r>
              <w:rPr>
                <w:rFonts w:hint="eastAsia" w:ascii="仿宋" w:hAnsi="仿宋" w:eastAsia="仿宋" w:cs="宋体"/>
                <w:kern w:val="0"/>
                <w:sz w:val="22"/>
              </w:rPr>
              <w:t>　</w:t>
            </w:r>
          </w:p>
        </w:tc>
        <w:tc>
          <w:tcPr>
            <w:tcW w:w="31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 xml:space="preserve">            年末结转和结余</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25</w:t>
            </w:r>
          </w:p>
        </w:tc>
        <w:tc>
          <w:tcPr>
            <w:tcW w:w="2422"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lang w:val="en-US" w:eastAsia="zh-CN"/>
              </w:rPr>
            </w:pPr>
            <w:r>
              <w:rPr>
                <w:rFonts w:hint="eastAsia" w:ascii="仿宋" w:hAnsi="仿宋" w:eastAsia="仿宋" w:cs="宋体"/>
                <w:kern w:val="0"/>
                <w:sz w:val="22"/>
                <w:lang w:val="en-US" w:eastAsia="zh-CN"/>
              </w:rPr>
              <w:t>2406.04</w:t>
            </w:r>
          </w:p>
        </w:tc>
      </w:tr>
      <w:tr>
        <w:tblPrEx>
          <w:tblCellMar>
            <w:top w:w="0" w:type="dxa"/>
            <w:left w:w="108" w:type="dxa"/>
            <w:bottom w:w="0" w:type="dxa"/>
            <w:right w:w="108" w:type="dxa"/>
          </w:tblCellMar>
        </w:tblPrEx>
        <w:trPr>
          <w:trHeight w:val="274" w:hRule="atLeast"/>
        </w:trPr>
        <w:tc>
          <w:tcPr>
            <w:tcW w:w="3920" w:type="dxa"/>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b/>
                <w:bCs/>
                <w:kern w:val="0"/>
                <w:sz w:val="22"/>
              </w:rPr>
            </w:pPr>
            <w:r>
              <w:rPr>
                <w:rFonts w:hint="eastAsia" w:ascii="仿宋" w:hAnsi="仿宋" w:eastAsia="仿宋" w:cs="宋体"/>
                <w:b/>
                <w:bCs/>
                <w:kern w:val="0"/>
                <w:sz w:val="22"/>
              </w:rPr>
              <w:t>总计</w:t>
            </w:r>
          </w:p>
        </w:tc>
        <w:tc>
          <w:tcPr>
            <w:tcW w:w="754"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13</w:t>
            </w:r>
          </w:p>
        </w:tc>
        <w:tc>
          <w:tcPr>
            <w:tcW w:w="2533"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rPr>
            </w:pPr>
            <w:r>
              <w:rPr>
                <w:rFonts w:hint="eastAsia" w:ascii="仿宋" w:hAnsi="仿宋" w:eastAsia="仿宋" w:cs="宋体"/>
                <w:kern w:val="0"/>
                <w:sz w:val="22"/>
                <w:lang w:val="en-US" w:eastAsia="zh-CN"/>
              </w:rPr>
              <w:t>22514.29</w:t>
            </w:r>
            <w:r>
              <w:rPr>
                <w:rFonts w:hint="eastAsia" w:ascii="仿宋" w:hAnsi="仿宋" w:eastAsia="仿宋" w:cs="宋体"/>
                <w:kern w:val="0"/>
                <w:sz w:val="22"/>
              </w:rPr>
              <w:t>　</w:t>
            </w:r>
          </w:p>
        </w:tc>
        <w:tc>
          <w:tcPr>
            <w:tcW w:w="3163"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b/>
                <w:bCs/>
                <w:kern w:val="0"/>
                <w:sz w:val="22"/>
              </w:rPr>
            </w:pPr>
            <w:r>
              <w:rPr>
                <w:rFonts w:hint="eastAsia" w:ascii="仿宋" w:hAnsi="仿宋" w:eastAsia="仿宋" w:cs="宋体"/>
                <w:b/>
                <w:bCs/>
                <w:kern w:val="0"/>
                <w:sz w:val="22"/>
              </w:rPr>
              <w:t>总计</w:t>
            </w:r>
          </w:p>
        </w:tc>
        <w:tc>
          <w:tcPr>
            <w:tcW w:w="837"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kern w:val="0"/>
                <w:sz w:val="22"/>
              </w:rPr>
            </w:pPr>
            <w:r>
              <w:rPr>
                <w:rFonts w:hint="eastAsia" w:ascii="仿宋" w:hAnsi="仿宋" w:eastAsia="仿宋" w:cs="宋体"/>
                <w:kern w:val="0"/>
                <w:sz w:val="22"/>
              </w:rPr>
              <w:t>26</w:t>
            </w:r>
          </w:p>
        </w:tc>
        <w:tc>
          <w:tcPr>
            <w:tcW w:w="2422"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宋体"/>
                <w:kern w:val="0"/>
                <w:sz w:val="22"/>
                <w:lang w:val="en-US" w:eastAsia="zh-CN"/>
              </w:rPr>
            </w:pPr>
            <w:r>
              <w:rPr>
                <w:rFonts w:hint="eastAsia" w:ascii="仿宋" w:hAnsi="仿宋" w:eastAsia="仿宋" w:cs="宋体"/>
                <w:kern w:val="0"/>
                <w:sz w:val="22"/>
                <w:lang w:val="en-US" w:eastAsia="zh-CN"/>
              </w:rPr>
              <w:t>22514.29</w:t>
            </w:r>
          </w:p>
        </w:tc>
      </w:tr>
      <w:tr>
        <w:tblPrEx>
          <w:tblCellMar>
            <w:top w:w="0" w:type="dxa"/>
            <w:left w:w="108" w:type="dxa"/>
            <w:bottom w:w="0" w:type="dxa"/>
            <w:right w:w="108" w:type="dxa"/>
          </w:tblCellMar>
        </w:tblPrEx>
        <w:trPr>
          <w:trHeight w:val="823" w:hRule="atLeast"/>
        </w:trPr>
        <w:tc>
          <w:tcPr>
            <w:tcW w:w="13629" w:type="dxa"/>
            <w:gridSpan w:val="11"/>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仿宋" w:hAnsi="仿宋" w:eastAsia="仿宋" w:cs="宋体"/>
                <w:kern w:val="0"/>
                <w:sz w:val="22"/>
                <w:lang w:eastAsia="zh-CN"/>
              </w:rPr>
            </w:pPr>
            <w:r>
              <w:rPr>
                <w:rFonts w:hint="eastAsia" w:ascii="仿宋" w:hAnsi="仿宋" w:eastAsia="仿宋" w:cs="宋体"/>
                <w:kern w:val="0"/>
                <w:sz w:val="22"/>
              </w:rPr>
              <w:t>注：1.本表反映部门本年度的总收支和年末结转结余情况。</w:t>
            </w:r>
          </w:p>
          <w:p>
            <w:pPr>
              <w:keepNext w:val="0"/>
              <w:keepLines w:val="0"/>
              <w:widowControl/>
              <w:suppressLineNumbers w:val="0"/>
              <w:spacing w:before="0" w:beforeAutospacing="0" w:after="0" w:afterAutospacing="0"/>
              <w:ind w:left="0" w:right="0"/>
              <w:jc w:val="left"/>
              <w:rPr>
                <w:rFonts w:hint="default" w:ascii="仿宋" w:hAnsi="仿宋" w:eastAsia="仿宋" w:cs="宋体"/>
                <w:kern w:val="0"/>
                <w:sz w:val="22"/>
              </w:rPr>
            </w:pPr>
            <w:r>
              <w:rPr>
                <w:rFonts w:hint="eastAsia" w:ascii="仿宋" w:hAnsi="仿宋" w:eastAsia="仿宋" w:cs="宋体"/>
                <w:kern w:val="0"/>
                <w:sz w:val="22"/>
              </w:rPr>
              <w:t xml:space="preserve"> </w:t>
            </w:r>
            <w:r>
              <w:rPr>
                <w:rFonts w:hint="default" w:ascii="仿宋" w:hAnsi="仿宋" w:eastAsia="仿宋" w:cs="宋体"/>
                <w:kern w:val="0"/>
                <w:sz w:val="22"/>
              </w:rPr>
              <w:t xml:space="preserve">   </w:t>
            </w:r>
            <w:r>
              <w:rPr>
                <w:rFonts w:hint="eastAsia" w:ascii="仿宋" w:hAnsi="仿宋" w:eastAsia="仿宋" w:cs="宋体"/>
                <w:kern w:val="0"/>
                <w:sz w:val="22"/>
              </w:rPr>
              <w:t>2.本套报表金额单位转换时可能存在尾数误差。</w:t>
            </w:r>
          </w:p>
        </w:tc>
      </w:tr>
    </w:tbl>
    <w:p>
      <w:pPr>
        <w:jc w:val="center"/>
        <w:rPr>
          <w:rFonts w:ascii="黑体" w:hAnsi="黑体" w:eastAsia="黑体"/>
          <w:sz w:val="28"/>
          <w:szCs w:val="28"/>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425" w:num="1"/>
          <w:docGrid w:type="linesAndChars" w:linePitch="312" w:charSpace="0"/>
        </w:sectPr>
      </w:pPr>
    </w:p>
    <w:tbl>
      <w:tblPr>
        <w:tblStyle w:val="10"/>
        <w:tblW w:w="15523" w:type="dxa"/>
        <w:tblInd w:w="-2" w:type="dxa"/>
        <w:tblLayout w:type="fixed"/>
        <w:tblCellMar>
          <w:top w:w="0" w:type="dxa"/>
          <w:left w:w="0" w:type="dxa"/>
          <w:bottom w:w="0" w:type="dxa"/>
          <w:right w:w="0" w:type="dxa"/>
        </w:tblCellMar>
      </w:tblPr>
      <w:tblGrid>
        <w:gridCol w:w="2"/>
        <w:gridCol w:w="90"/>
        <w:gridCol w:w="923"/>
        <w:gridCol w:w="16"/>
        <w:gridCol w:w="169"/>
        <w:gridCol w:w="364"/>
        <w:gridCol w:w="2028"/>
        <w:gridCol w:w="436"/>
        <w:gridCol w:w="122"/>
        <w:gridCol w:w="81"/>
        <w:gridCol w:w="90"/>
        <w:gridCol w:w="1291"/>
        <w:gridCol w:w="255"/>
        <w:gridCol w:w="114"/>
        <w:gridCol w:w="215"/>
        <w:gridCol w:w="1447"/>
        <w:gridCol w:w="149"/>
        <w:gridCol w:w="110"/>
        <w:gridCol w:w="615"/>
        <w:gridCol w:w="465"/>
        <w:gridCol w:w="167"/>
        <w:gridCol w:w="8"/>
        <w:gridCol w:w="432"/>
        <w:gridCol w:w="959"/>
        <w:gridCol w:w="205"/>
        <w:gridCol w:w="409"/>
        <w:gridCol w:w="85"/>
        <w:gridCol w:w="867"/>
        <w:gridCol w:w="235"/>
        <w:gridCol w:w="207"/>
        <w:gridCol w:w="366"/>
        <w:gridCol w:w="806"/>
        <w:gridCol w:w="222"/>
        <w:gridCol w:w="45"/>
        <w:gridCol w:w="951"/>
        <w:gridCol w:w="316"/>
        <w:gridCol w:w="22"/>
        <w:gridCol w:w="239"/>
      </w:tblGrid>
      <w:tr>
        <w:tblPrEx>
          <w:tblCellMar>
            <w:top w:w="0" w:type="dxa"/>
            <w:left w:w="0" w:type="dxa"/>
            <w:bottom w:w="0" w:type="dxa"/>
            <w:right w:w="0" w:type="dxa"/>
          </w:tblCellMar>
        </w:tblPrEx>
        <w:trPr>
          <w:gridBefore w:val="1"/>
          <w:gridAfter w:val="2"/>
          <w:wBefore w:w="2" w:type="dxa"/>
          <w:wAfter w:w="261" w:type="dxa"/>
          <w:trHeight w:val="786" w:hRule="atLeast"/>
        </w:trPr>
        <w:tc>
          <w:tcPr>
            <w:tcW w:w="15260" w:type="dxa"/>
            <w:gridSpan w:val="35"/>
            <w:tcBorders>
              <w:top w:val="nil"/>
              <w:left w:val="nil"/>
              <w:bottom w:val="nil"/>
              <w:right w:val="nil"/>
            </w:tcBorders>
            <w:shd w:val="clear" w:color="auto" w:fill="auto"/>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二、收入决算表（一）</w:t>
            </w:r>
          </w:p>
        </w:tc>
      </w:tr>
      <w:tr>
        <w:tblPrEx>
          <w:tblCellMar>
            <w:top w:w="0" w:type="dxa"/>
            <w:left w:w="0" w:type="dxa"/>
            <w:bottom w:w="0" w:type="dxa"/>
            <w:right w:w="0" w:type="dxa"/>
          </w:tblCellMar>
        </w:tblPrEx>
        <w:trPr>
          <w:gridBefore w:val="1"/>
          <w:gridAfter w:val="2"/>
          <w:wBefore w:w="2" w:type="dxa"/>
          <w:wAfter w:w="261" w:type="dxa"/>
          <w:trHeight w:val="402" w:hRule="atLeast"/>
        </w:trPr>
        <w:tc>
          <w:tcPr>
            <w:tcW w:w="90" w:type="dxa"/>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939"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3200" w:type="dxa"/>
            <w:gridSpan w:val="6"/>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750"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811"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365" w:type="dxa"/>
            <w:gridSpan w:val="5"/>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596"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596"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646" w:type="dxa"/>
            <w:gridSpan w:val="5"/>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267"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公开02表</w:t>
            </w:r>
          </w:p>
        </w:tc>
      </w:tr>
      <w:tr>
        <w:tblPrEx>
          <w:tblCellMar>
            <w:top w:w="0" w:type="dxa"/>
            <w:left w:w="0" w:type="dxa"/>
            <w:bottom w:w="0" w:type="dxa"/>
            <w:right w:w="0" w:type="dxa"/>
          </w:tblCellMar>
        </w:tblPrEx>
        <w:trPr>
          <w:gridBefore w:val="1"/>
          <w:gridAfter w:val="2"/>
          <w:wBefore w:w="2" w:type="dxa"/>
          <w:wAfter w:w="261" w:type="dxa"/>
          <w:trHeight w:val="402" w:hRule="atLeast"/>
        </w:trPr>
        <w:tc>
          <w:tcPr>
            <w:tcW w:w="4229" w:type="dxa"/>
            <w:gridSpan w:val="9"/>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tabs>
                <w:tab w:val="left" w:pos="369"/>
                <w:tab w:val="right" w:pos="4539"/>
              </w:tabs>
              <w:spacing w:before="0" w:beforeAutospacing="0" w:after="0" w:afterAutospacing="0"/>
              <w:ind w:left="0" w:right="0"/>
              <w:jc w:val="lef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lang w:eastAsia="zh-CN"/>
                <w14:textFill>
                  <w14:solidFill>
                    <w14:schemeClr w14:val="tx1"/>
                  </w14:solidFill>
                </w14:textFill>
              </w:rPr>
              <w:tab/>
            </w:r>
            <w:r>
              <w:rPr>
                <w:rFonts w:hint="eastAsia" w:ascii="仿宋" w:hAnsi="仿宋" w:eastAsia="仿宋" w:cs="宋体"/>
                <w:color w:val="000000"/>
                <w:kern w:val="0"/>
                <w:sz w:val="22"/>
              </w:rPr>
              <w:t>部门：长沙环境保护职业技术学院</w:t>
            </w:r>
            <w:r>
              <w:rPr>
                <w:rFonts w:hint="eastAsia" w:ascii="仿宋" w:hAnsi="仿宋" w:eastAsia="仿宋" w:cs="仿宋"/>
                <w:color w:val="000000" w:themeColor="text1"/>
                <w:sz w:val="22"/>
                <w:szCs w:val="22"/>
                <w:lang w:eastAsia="zh-CN"/>
                <w14:textFill>
                  <w14:solidFill>
                    <w14:schemeClr w14:val="tx1"/>
                  </w14:solidFill>
                </w14:textFill>
              </w:rPr>
              <w:tab/>
            </w:r>
            <w:r>
              <w:rPr>
                <w:rFonts w:hint="eastAsia" w:ascii="仿宋" w:hAnsi="仿宋" w:eastAsia="仿宋" w:cs="仿宋"/>
                <w:color w:val="000000" w:themeColor="text1"/>
                <w:sz w:val="22"/>
                <w:szCs w:val="22"/>
                <w14:textFill>
                  <w14:solidFill>
                    <w14:schemeClr w14:val="tx1"/>
                  </w14:solidFill>
                </w14:textFill>
              </w:rPr>
              <w:t>　</w:t>
            </w:r>
          </w:p>
        </w:tc>
        <w:tc>
          <w:tcPr>
            <w:tcW w:w="1750"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811"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365" w:type="dxa"/>
            <w:gridSpan w:val="5"/>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596"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596"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646" w:type="dxa"/>
            <w:gridSpan w:val="5"/>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267"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单位：万元</w:t>
            </w:r>
          </w:p>
        </w:tc>
      </w:tr>
      <w:tr>
        <w:tblPrEx>
          <w:tblCellMar>
            <w:top w:w="0" w:type="dxa"/>
            <w:left w:w="0" w:type="dxa"/>
            <w:bottom w:w="0" w:type="dxa"/>
            <w:right w:w="0" w:type="dxa"/>
          </w:tblCellMar>
        </w:tblPrEx>
        <w:trPr>
          <w:gridBefore w:val="1"/>
          <w:gridAfter w:val="2"/>
          <w:wBefore w:w="2" w:type="dxa"/>
          <w:wAfter w:w="261" w:type="dxa"/>
          <w:trHeight w:val="414" w:hRule="atLeast"/>
        </w:trPr>
        <w:tc>
          <w:tcPr>
            <w:tcW w:w="4229" w:type="dxa"/>
            <w:gridSpan w:val="9"/>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项    目</w:t>
            </w:r>
          </w:p>
        </w:tc>
        <w:tc>
          <w:tcPr>
            <w:tcW w:w="1750" w:type="dxa"/>
            <w:gridSpan w:val="4"/>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本年收入合计</w:t>
            </w:r>
          </w:p>
        </w:tc>
        <w:tc>
          <w:tcPr>
            <w:tcW w:w="1811" w:type="dxa"/>
            <w:gridSpan w:val="3"/>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财政拨款收入</w:t>
            </w:r>
          </w:p>
        </w:tc>
        <w:tc>
          <w:tcPr>
            <w:tcW w:w="1365" w:type="dxa"/>
            <w:gridSpan w:val="5"/>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上级补助收入</w:t>
            </w:r>
          </w:p>
        </w:tc>
        <w:tc>
          <w:tcPr>
            <w:tcW w:w="1596" w:type="dxa"/>
            <w:gridSpan w:val="3"/>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事业收入</w:t>
            </w:r>
          </w:p>
        </w:tc>
        <w:tc>
          <w:tcPr>
            <w:tcW w:w="1596" w:type="dxa"/>
            <w:gridSpan w:val="4"/>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经营收入</w:t>
            </w:r>
          </w:p>
        </w:tc>
        <w:tc>
          <w:tcPr>
            <w:tcW w:w="1646" w:type="dxa"/>
            <w:gridSpan w:val="5"/>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附属单位</w:t>
            </w:r>
          </w:p>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上缴收入</w:t>
            </w:r>
          </w:p>
        </w:tc>
        <w:tc>
          <w:tcPr>
            <w:tcW w:w="1267"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其他收入</w:t>
            </w:r>
          </w:p>
        </w:tc>
      </w:tr>
      <w:tr>
        <w:tblPrEx>
          <w:tblCellMar>
            <w:top w:w="0" w:type="dxa"/>
            <w:left w:w="0" w:type="dxa"/>
            <w:bottom w:w="0" w:type="dxa"/>
            <w:right w:w="0" w:type="dxa"/>
          </w:tblCellMar>
        </w:tblPrEx>
        <w:trPr>
          <w:gridBefore w:val="1"/>
          <w:gridAfter w:val="2"/>
          <w:wBefore w:w="2" w:type="dxa"/>
          <w:wAfter w:w="261" w:type="dxa"/>
          <w:trHeight w:val="414" w:hRule="atLeast"/>
        </w:trPr>
        <w:tc>
          <w:tcPr>
            <w:tcW w:w="1029" w:type="dxa"/>
            <w:gridSpan w:val="3"/>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功能分类科目编码</w:t>
            </w:r>
          </w:p>
        </w:tc>
        <w:tc>
          <w:tcPr>
            <w:tcW w:w="3200" w:type="dxa"/>
            <w:gridSpan w:val="6"/>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科目名称</w:t>
            </w:r>
          </w:p>
        </w:tc>
        <w:tc>
          <w:tcPr>
            <w:tcW w:w="175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81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365"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596"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5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646"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26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r>
      <w:tr>
        <w:tblPrEx>
          <w:tblCellMar>
            <w:top w:w="0" w:type="dxa"/>
            <w:left w:w="0" w:type="dxa"/>
            <w:bottom w:w="0" w:type="dxa"/>
            <w:right w:w="0" w:type="dxa"/>
          </w:tblCellMar>
        </w:tblPrEx>
        <w:trPr>
          <w:gridBefore w:val="1"/>
          <w:gridAfter w:val="2"/>
          <w:wBefore w:w="2" w:type="dxa"/>
          <w:wAfter w:w="261" w:type="dxa"/>
          <w:trHeight w:val="396" w:hRule="atLeast"/>
        </w:trPr>
        <w:tc>
          <w:tcPr>
            <w:tcW w:w="1029"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3200" w:type="dxa"/>
            <w:gridSpan w:val="6"/>
            <w:vMerge w:val="continue"/>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750"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811"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365"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596"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59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646"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267"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r>
      <w:tr>
        <w:tblPrEx>
          <w:tblCellMar>
            <w:top w:w="0" w:type="dxa"/>
            <w:left w:w="0" w:type="dxa"/>
            <w:bottom w:w="0" w:type="dxa"/>
            <w:right w:w="0" w:type="dxa"/>
          </w:tblCellMar>
        </w:tblPrEx>
        <w:trPr>
          <w:gridBefore w:val="1"/>
          <w:gridAfter w:val="2"/>
          <w:wBefore w:w="2" w:type="dxa"/>
          <w:wAfter w:w="261" w:type="dxa"/>
          <w:trHeight w:val="489" w:hRule="atLeast"/>
        </w:trPr>
        <w:tc>
          <w:tcPr>
            <w:tcW w:w="4229" w:type="dxa"/>
            <w:gridSpan w:val="9"/>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栏次</w:t>
            </w:r>
          </w:p>
        </w:tc>
        <w:tc>
          <w:tcPr>
            <w:tcW w:w="1750"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1</w:t>
            </w:r>
          </w:p>
        </w:tc>
        <w:tc>
          <w:tcPr>
            <w:tcW w:w="1811" w:type="dxa"/>
            <w:gridSpan w:val="3"/>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2</w:t>
            </w:r>
          </w:p>
        </w:tc>
        <w:tc>
          <w:tcPr>
            <w:tcW w:w="1365" w:type="dxa"/>
            <w:gridSpan w:val="5"/>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3</w:t>
            </w:r>
          </w:p>
        </w:tc>
        <w:tc>
          <w:tcPr>
            <w:tcW w:w="1596" w:type="dxa"/>
            <w:gridSpan w:val="3"/>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4</w:t>
            </w:r>
          </w:p>
        </w:tc>
        <w:tc>
          <w:tcPr>
            <w:tcW w:w="1596"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5</w:t>
            </w:r>
          </w:p>
        </w:tc>
        <w:tc>
          <w:tcPr>
            <w:tcW w:w="1646" w:type="dxa"/>
            <w:gridSpan w:val="5"/>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6</w:t>
            </w:r>
          </w:p>
        </w:tc>
        <w:tc>
          <w:tcPr>
            <w:tcW w:w="1267"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7</w:t>
            </w:r>
          </w:p>
        </w:tc>
      </w:tr>
      <w:tr>
        <w:tblPrEx>
          <w:tblCellMar>
            <w:top w:w="0" w:type="dxa"/>
            <w:left w:w="0" w:type="dxa"/>
            <w:bottom w:w="0" w:type="dxa"/>
            <w:right w:w="0" w:type="dxa"/>
          </w:tblCellMar>
        </w:tblPrEx>
        <w:trPr>
          <w:gridBefore w:val="1"/>
          <w:gridAfter w:val="2"/>
          <w:wBefore w:w="2" w:type="dxa"/>
          <w:wAfter w:w="261" w:type="dxa"/>
          <w:trHeight w:val="474" w:hRule="atLeast"/>
        </w:trPr>
        <w:tc>
          <w:tcPr>
            <w:tcW w:w="4229" w:type="dxa"/>
            <w:gridSpan w:val="9"/>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合计</w:t>
            </w:r>
          </w:p>
        </w:tc>
        <w:tc>
          <w:tcPr>
            <w:tcW w:w="1750"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21684.14</w:t>
            </w:r>
          </w:p>
        </w:tc>
        <w:tc>
          <w:tcPr>
            <w:tcW w:w="1811"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14227.13</w:t>
            </w:r>
          </w:p>
        </w:tc>
        <w:tc>
          <w:tcPr>
            <w:tcW w:w="1365"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0.00</w:t>
            </w:r>
          </w:p>
        </w:tc>
        <w:tc>
          <w:tcPr>
            <w:tcW w:w="15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6295.27</w:t>
            </w:r>
          </w:p>
        </w:tc>
        <w:tc>
          <w:tcPr>
            <w:tcW w:w="159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1036.77</w:t>
            </w:r>
          </w:p>
        </w:tc>
        <w:tc>
          <w:tcPr>
            <w:tcW w:w="1646"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0.00</w:t>
            </w:r>
          </w:p>
        </w:tc>
        <w:tc>
          <w:tcPr>
            <w:tcW w:w="126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124.97</w:t>
            </w:r>
          </w:p>
        </w:tc>
      </w:tr>
      <w:tr>
        <w:tblPrEx>
          <w:tblCellMar>
            <w:top w:w="0" w:type="dxa"/>
            <w:left w:w="0" w:type="dxa"/>
            <w:bottom w:w="0" w:type="dxa"/>
            <w:right w:w="0" w:type="dxa"/>
          </w:tblCellMar>
        </w:tblPrEx>
        <w:trPr>
          <w:gridBefore w:val="1"/>
          <w:gridAfter w:val="2"/>
          <w:wBefore w:w="2" w:type="dxa"/>
          <w:wAfter w:w="261" w:type="dxa"/>
          <w:trHeight w:val="414" w:hRule="atLeast"/>
        </w:trPr>
        <w:tc>
          <w:tcPr>
            <w:tcW w:w="102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201</w:t>
            </w:r>
          </w:p>
        </w:tc>
        <w:tc>
          <w:tcPr>
            <w:tcW w:w="3200"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一般公共服务支出</w:t>
            </w:r>
          </w:p>
        </w:tc>
        <w:tc>
          <w:tcPr>
            <w:tcW w:w="1750"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811"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365"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46"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6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2"/>
          <w:wBefore w:w="2" w:type="dxa"/>
          <w:wAfter w:w="261" w:type="dxa"/>
          <w:trHeight w:val="414" w:hRule="atLeast"/>
        </w:trPr>
        <w:tc>
          <w:tcPr>
            <w:tcW w:w="102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20106</w:t>
            </w:r>
          </w:p>
        </w:tc>
        <w:tc>
          <w:tcPr>
            <w:tcW w:w="3200"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财政事务</w:t>
            </w:r>
          </w:p>
        </w:tc>
        <w:tc>
          <w:tcPr>
            <w:tcW w:w="1750"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811"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365"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46"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6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2"/>
          <w:wBefore w:w="2" w:type="dxa"/>
          <w:wAfter w:w="261" w:type="dxa"/>
          <w:trHeight w:val="414" w:hRule="atLeast"/>
        </w:trPr>
        <w:tc>
          <w:tcPr>
            <w:tcW w:w="102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2010699</w:t>
            </w:r>
          </w:p>
        </w:tc>
        <w:tc>
          <w:tcPr>
            <w:tcW w:w="3200"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其他财政事务支出</w:t>
            </w:r>
          </w:p>
        </w:tc>
        <w:tc>
          <w:tcPr>
            <w:tcW w:w="1750"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811"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365"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46"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6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2"/>
          <w:wBefore w:w="2" w:type="dxa"/>
          <w:wAfter w:w="261" w:type="dxa"/>
          <w:trHeight w:val="414" w:hRule="atLeast"/>
        </w:trPr>
        <w:tc>
          <w:tcPr>
            <w:tcW w:w="102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205</w:t>
            </w:r>
          </w:p>
        </w:tc>
        <w:tc>
          <w:tcPr>
            <w:tcW w:w="3200"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教育支出</w:t>
            </w:r>
          </w:p>
        </w:tc>
        <w:tc>
          <w:tcPr>
            <w:tcW w:w="1750"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19407.54</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811"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11950.53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365"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6295.27</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59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1036.77</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46"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6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124.97</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CellMar>
            <w:top w:w="0" w:type="dxa"/>
            <w:left w:w="0" w:type="dxa"/>
            <w:bottom w:w="0" w:type="dxa"/>
            <w:right w:w="0" w:type="dxa"/>
          </w:tblCellMar>
        </w:tblPrEx>
        <w:trPr>
          <w:gridBefore w:val="1"/>
          <w:gridAfter w:val="2"/>
          <w:wBefore w:w="2" w:type="dxa"/>
          <w:wAfter w:w="261" w:type="dxa"/>
          <w:trHeight w:val="414" w:hRule="atLeast"/>
        </w:trPr>
        <w:tc>
          <w:tcPr>
            <w:tcW w:w="102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20503</w:t>
            </w:r>
          </w:p>
        </w:tc>
        <w:tc>
          <w:tcPr>
            <w:tcW w:w="3200"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职业教育</w:t>
            </w:r>
          </w:p>
        </w:tc>
        <w:tc>
          <w:tcPr>
            <w:tcW w:w="1750"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19407.54</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811"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11950.53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365"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6295.27</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59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1036.77</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46"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6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124.97</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CellMar>
            <w:top w:w="0" w:type="dxa"/>
            <w:left w:w="0" w:type="dxa"/>
            <w:bottom w:w="0" w:type="dxa"/>
            <w:right w:w="0" w:type="dxa"/>
          </w:tblCellMar>
        </w:tblPrEx>
        <w:trPr>
          <w:gridBefore w:val="1"/>
          <w:gridAfter w:val="2"/>
          <w:wBefore w:w="2" w:type="dxa"/>
          <w:wAfter w:w="261" w:type="dxa"/>
          <w:trHeight w:val="414" w:hRule="atLeast"/>
        </w:trPr>
        <w:tc>
          <w:tcPr>
            <w:tcW w:w="102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2050305</w:t>
            </w:r>
          </w:p>
        </w:tc>
        <w:tc>
          <w:tcPr>
            <w:tcW w:w="3200"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高等职业教育</w:t>
            </w:r>
          </w:p>
        </w:tc>
        <w:tc>
          <w:tcPr>
            <w:tcW w:w="1750"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19407.54</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811"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11950.53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365"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6295.27</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59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1036.77</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46"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6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124.97</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CellMar>
            <w:top w:w="0" w:type="dxa"/>
            <w:left w:w="0" w:type="dxa"/>
            <w:bottom w:w="0" w:type="dxa"/>
            <w:right w:w="0" w:type="dxa"/>
          </w:tblCellMar>
        </w:tblPrEx>
        <w:trPr>
          <w:gridBefore w:val="1"/>
          <w:gridAfter w:val="2"/>
          <w:wBefore w:w="2" w:type="dxa"/>
          <w:wAfter w:w="261" w:type="dxa"/>
          <w:trHeight w:val="414" w:hRule="atLeast"/>
        </w:trPr>
        <w:tc>
          <w:tcPr>
            <w:tcW w:w="102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206</w:t>
            </w:r>
          </w:p>
        </w:tc>
        <w:tc>
          <w:tcPr>
            <w:tcW w:w="3200"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科学技术支出</w:t>
            </w:r>
          </w:p>
        </w:tc>
        <w:tc>
          <w:tcPr>
            <w:tcW w:w="1750"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18.60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811"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18.60</w:t>
            </w:r>
          </w:p>
        </w:tc>
        <w:tc>
          <w:tcPr>
            <w:tcW w:w="1365"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46"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6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2"/>
          <w:wBefore w:w="2" w:type="dxa"/>
          <w:wAfter w:w="261" w:type="dxa"/>
          <w:trHeight w:val="414" w:hRule="atLeast"/>
        </w:trPr>
        <w:tc>
          <w:tcPr>
            <w:tcW w:w="102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20606</w:t>
            </w:r>
          </w:p>
        </w:tc>
        <w:tc>
          <w:tcPr>
            <w:tcW w:w="3200"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社会科学</w:t>
            </w:r>
          </w:p>
        </w:tc>
        <w:tc>
          <w:tcPr>
            <w:tcW w:w="1750"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3.60</w:t>
            </w:r>
          </w:p>
        </w:tc>
        <w:tc>
          <w:tcPr>
            <w:tcW w:w="1811"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3.60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365"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46"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6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2"/>
          <w:wBefore w:w="2" w:type="dxa"/>
          <w:wAfter w:w="261" w:type="dxa"/>
          <w:trHeight w:val="414" w:hRule="atLeast"/>
        </w:trPr>
        <w:tc>
          <w:tcPr>
            <w:tcW w:w="102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2060699</w:t>
            </w:r>
          </w:p>
        </w:tc>
        <w:tc>
          <w:tcPr>
            <w:tcW w:w="3200"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其他社会科学支出</w:t>
            </w:r>
          </w:p>
        </w:tc>
        <w:tc>
          <w:tcPr>
            <w:tcW w:w="1750"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3.60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811"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3.60</w:t>
            </w:r>
          </w:p>
        </w:tc>
        <w:tc>
          <w:tcPr>
            <w:tcW w:w="1365"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46"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6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2"/>
          <w:wBefore w:w="2" w:type="dxa"/>
          <w:wAfter w:w="261" w:type="dxa"/>
          <w:trHeight w:val="414" w:hRule="atLeast"/>
        </w:trPr>
        <w:tc>
          <w:tcPr>
            <w:tcW w:w="102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20607</w:t>
            </w:r>
          </w:p>
        </w:tc>
        <w:tc>
          <w:tcPr>
            <w:tcW w:w="3200"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科学技术普及</w:t>
            </w:r>
          </w:p>
        </w:tc>
        <w:tc>
          <w:tcPr>
            <w:tcW w:w="1750"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15.00</w:t>
            </w:r>
          </w:p>
        </w:tc>
        <w:tc>
          <w:tcPr>
            <w:tcW w:w="1811"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15.00</w:t>
            </w:r>
          </w:p>
        </w:tc>
        <w:tc>
          <w:tcPr>
            <w:tcW w:w="1365"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46"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6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2"/>
          <w:wBefore w:w="2" w:type="dxa"/>
          <w:wAfter w:w="261" w:type="dxa"/>
          <w:trHeight w:val="414" w:hRule="atLeast"/>
        </w:trPr>
        <w:tc>
          <w:tcPr>
            <w:tcW w:w="102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2060799</w:t>
            </w:r>
          </w:p>
        </w:tc>
        <w:tc>
          <w:tcPr>
            <w:tcW w:w="3200"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  其他科学技术普及支出</w:t>
            </w:r>
          </w:p>
        </w:tc>
        <w:tc>
          <w:tcPr>
            <w:tcW w:w="1750"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15.00</w:t>
            </w:r>
          </w:p>
        </w:tc>
        <w:tc>
          <w:tcPr>
            <w:tcW w:w="1811"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15.00</w:t>
            </w:r>
          </w:p>
        </w:tc>
        <w:tc>
          <w:tcPr>
            <w:tcW w:w="1365"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9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46" w:type="dxa"/>
            <w:gridSpan w:val="5"/>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67"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90" w:hRule="atLeast"/>
        </w:trPr>
        <w:tc>
          <w:tcPr>
            <w:tcW w:w="14944" w:type="dxa"/>
            <w:gridSpan w:val="34"/>
            <w:tcBorders>
              <w:top w:val="nil"/>
              <w:left w:val="nil"/>
              <w:bottom w:val="nil"/>
              <w:right w:val="nil"/>
            </w:tcBorders>
            <w:shd w:val="clear" w:color="auto" w:fill="auto"/>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黑体" w:hAnsi="黑体" w:eastAsia="黑体" w:cs="黑体"/>
                <w:color w:val="000000" w:themeColor="text1"/>
                <w:kern w:val="2"/>
                <w:sz w:val="32"/>
                <w:szCs w:val="32"/>
                <w:lang w:val="en-US" w:eastAsia="zh-CN" w:bidi="ar-SA"/>
                <w14:textFill>
                  <w14:solidFill>
                    <w14:schemeClr w14:val="tx1"/>
                  </w14:solidFill>
                </w14:textFill>
              </w:rPr>
            </w:pPr>
          </w:p>
          <w:p>
            <w:pPr>
              <w:keepNext w:val="0"/>
              <w:keepLines w:val="0"/>
              <w:suppressLineNumbers w:val="0"/>
              <w:spacing w:before="0" w:beforeAutospacing="0" w:after="0" w:afterAutospacing="0"/>
              <w:ind w:left="0" w:right="0"/>
              <w:jc w:val="center"/>
              <w:rPr>
                <w:rFonts w:hint="eastAsia" w:ascii="黑体" w:hAnsi="黑体" w:eastAsia="黑体" w:cs="黑体"/>
                <w:color w:val="000000" w:themeColor="text1"/>
                <w:kern w:val="2"/>
                <w:sz w:val="32"/>
                <w:szCs w:val="32"/>
                <w:lang w:val="en-US" w:eastAsia="zh-CN" w:bidi="ar-SA"/>
                <w14:textFill>
                  <w14:solidFill>
                    <w14:schemeClr w14:val="tx1"/>
                  </w14:solidFill>
                </w14:textFill>
              </w:rPr>
            </w:pPr>
          </w:p>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br w:type="page"/>
            </w:r>
            <w:r>
              <w:rPr>
                <w:rFonts w:hint="eastAsia" w:ascii="黑体" w:hAnsi="黑体" w:eastAsia="黑体" w:cs="黑体"/>
                <w:color w:val="000000" w:themeColor="text1"/>
                <w:kern w:val="2"/>
                <w:sz w:val="32"/>
                <w:szCs w:val="32"/>
                <w:lang w:val="en-US" w:eastAsia="zh-CN" w:bidi="ar-SA"/>
                <w14:textFill>
                  <w14:solidFill>
                    <w14:schemeClr w14:val="tx1"/>
                  </w14:solidFill>
                </w14:textFill>
              </w:rPr>
              <w:t>二、收入决算表（二）</w:t>
            </w:r>
          </w:p>
        </w:tc>
      </w:tr>
      <w:tr>
        <w:tblPrEx>
          <w:tblCellMar>
            <w:top w:w="0" w:type="dxa"/>
            <w:left w:w="0" w:type="dxa"/>
            <w:bottom w:w="0" w:type="dxa"/>
            <w:right w:w="0" w:type="dxa"/>
          </w:tblCellMar>
        </w:tblPrEx>
        <w:trPr>
          <w:gridBefore w:val="1"/>
          <w:gridAfter w:val="3"/>
          <w:wBefore w:w="2" w:type="dxa"/>
          <w:wAfter w:w="577" w:type="dxa"/>
          <w:trHeight w:val="90" w:hRule="atLeast"/>
        </w:trPr>
        <w:tc>
          <w:tcPr>
            <w:tcW w:w="90" w:type="dxa"/>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923" w:type="dxa"/>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3135" w:type="dxa"/>
            <w:gridSpan w:val="6"/>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717"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776"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339"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566"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566"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614"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218"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公开02表</w:t>
            </w:r>
          </w:p>
        </w:tc>
      </w:tr>
      <w:tr>
        <w:tblPrEx>
          <w:tblCellMar>
            <w:top w:w="0" w:type="dxa"/>
            <w:left w:w="0" w:type="dxa"/>
            <w:bottom w:w="0" w:type="dxa"/>
            <w:right w:w="0" w:type="dxa"/>
          </w:tblCellMar>
        </w:tblPrEx>
        <w:trPr>
          <w:gridBefore w:val="1"/>
          <w:gridAfter w:val="3"/>
          <w:wBefore w:w="2" w:type="dxa"/>
          <w:wAfter w:w="577" w:type="dxa"/>
          <w:trHeight w:val="90" w:hRule="atLeast"/>
        </w:trPr>
        <w:tc>
          <w:tcPr>
            <w:tcW w:w="4148" w:type="dxa"/>
            <w:gridSpan w:val="8"/>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717"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776"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339"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566"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566"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614"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　</w:t>
            </w:r>
          </w:p>
        </w:tc>
        <w:tc>
          <w:tcPr>
            <w:tcW w:w="1218"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单位：万元</w:t>
            </w:r>
          </w:p>
        </w:tc>
      </w:tr>
      <w:tr>
        <w:tblPrEx>
          <w:tblCellMar>
            <w:top w:w="0" w:type="dxa"/>
            <w:left w:w="0" w:type="dxa"/>
            <w:bottom w:w="0" w:type="dxa"/>
            <w:right w:w="0" w:type="dxa"/>
          </w:tblCellMar>
        </w:tblPrEx>
        <w:trPr>
          <w:gridBefore w:val="1"/>
          <w:gridAfter w:val="3"/>
          <w:wBefore w:w="2" w:type="dxa"/>
          <w:wAfter w:w="577" w:type="dxa"/>
          <w:trHeight w:val="542" w:hRule="atLeast"/>
        </w:trPr>
        <w:tc>
          <w:tcPr>
            <w:tcW w:w="4148" w:type="dxa"/>
            <w:gridSpan w:val="8"/>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项    目</w:t>
            </w:r>
          </w:p>
        </w:tc>
        <w:tc>
          <w:tcPr>
            <w:tcW w:w="1717" w:type="dxa"/>
            <w:gridSpan w:val="4"/>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本年收入合计</w:t>
            </w:r>
          </w:p>
        </w:tc>
        <w:tc>
          <w:tcPr>
            <w:tcW w:w="1776" w:type="dxa"/>
            <w:gridSpan w:val="3"/>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财政拨款收入</w:t>
            </w:r>
          </w:p>
        </w:tc>
        <w:tc>
          <w:tcPr>
            <w:tcW w:w="1339" w:type="dxa"/>
            <w:gridSpan w:val="4"/>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上级</w:t>
            </w:r>
          </w:p>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补助收入</w:t>
            </w:r>
          </w:p>
        </w:tc>
        <w:tc>
          <w:tcPr>
            <w:tcW w:w="1566" w:type="dxa"/>
            <w:gridSpan w:val="4"/>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事业收入</w:t>
            </w:r>
          </w:p>
        </w:tc>
        <w:tc>
          <w:tcPr>
            <w:tcW w:w="1566" w:type="dxa"/>
            <w:gridSpan w:val="4"/>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经营收入</w:t>
            </w:r>
          </w:p>
        </w:tc>
        <w:tc>
          <w:tcPr>
            <w:tcW w:w="1614" w:type="dxa"/>
            <w:gridSpan w:val="4"/>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附属单位</w:t>
            </w:r>
          </w:p>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上缴收入</w:t>
            </w:r>
          </w:p>
        </w:tc>
        <w:tc>
          <w:tcPr>
            <w:tcW w:w="1218" w:type="dxa"/>
            <w:gridSpan w:val="3"/>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其他收入</w:t>
            </w:r>
          </w:p>
        </w:tc>
      </w:tr>
      <w:tr>
        <w:tblPrEx>
          <w:tblCellMar>
            <w:top w:w="0" w:type="dxa"/>
            <w:left w:w="0" w:type="dxa"/>
            <w:bottom w:w="0" w:type="dxa"/>
            <w:right w:w="0" w:type="dxa"/>
          </w:tblCellMar>
        </w:tblPrEx>
        <w:trPr>
          <w:gridBefore w:val="1"/>
          <w:gridAfter w:val="3"/>
          <w:wBefore w:w="2" w:type="dxa"/>
          <w:wAfter w:w="577" w:type="dxa"/>
          <w:trHeight w:val="312" w:hRule="atLeast"/>
        </w:trPr>
        <w:tc>
          <w:tcPr>
            <w:tcW w:w="1013"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功能分类科目编码</w:t>
            </w:r>
          </w:p>
        </w:tc>
        <w:tc>
          <w:tcPr>
            <w:tcW w:w="3135" w:type="dxa"/>
            <w:gridSpan w:val="6"/>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科目名称</w:t>
            </w:r>
          </w:p>
        </w:tc>
        <w:tc>
          <w:tcPr>
            <w:tcW w:w="1717"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776"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33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56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56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61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21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r>
      <w:tr>
        <w:tblPrEx>
          <w:tblCellMar>
            <w:top w:w="0" w:type="dxa"/>
            <w:left w:w="0" w:type="dxa"/>
            <w:bottom w:w="0" w:type="dxa"/>
            <w:right w:w="0" w:type="dxa"/>
          </w:tblCellMar>
        </w:tblPrEx>
        <w:trPr>
          <w:gridBefore w:val="1"/>
          <w:gridAfter w:val="3"/>
          <w:wBefore w:w="2" w:type="dxa"/>
          <w:wAfter w:w="577" w:type="dxa"/>
          <w:trHeight w:val="312" w:hRule="atLeast"/>
        </w:trPr>
        <w:tc>
          <w:tcPr>
            <w:tcW w:w="1013"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3135" w:type="dxa"/>
            <w:gridSpan w:val="6"/>
            <w:vMerge w:val="continue"/>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717"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776"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339"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56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566"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614"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c>
          <w:tcPr>
            <w:tcW w:w="121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仿宋" w:hAnsi="仿宋" w:eastAsia="仿宋" w:cs="仿宋"/>
                <w:color w:val="000000" w:themeColor="text1"/>
                <w:sz w:val="22"/>
                <w:szCs w:val="22"/>
                <w14:textFill>
                  <w14:solidFill>
                    <w14:schemeClr w14:val="tx1"/>
                  </w14:solidFill>
                </w14:textFill>
              </w:rPr>
            </w:pPr>
          </w:p>
        </w:tc>
      </w:tr>
      <w:tr>
        <w:tblPrEx>
          <w:tblCellMar>
            <w:top w:w="0" w:type="dxa"/>
            <w:left w:w="0" w:type="dxa"/>
            <w:bottom w:w="0" w:type="dxa"/>
            <w:right w:w="0" w:type="dxa"/>
          </w:tblCellMar>
        </w:tblPrEx>
        <w:trPr>
          <w:gridBefore w:val="1"/>
          <w:gridAfter w:val="3"/>
          <w:wBefore w:w="2" w:type="dxa"/>
          <w:wAfter w:w="577" w:type="dxa"/>
          <w:trHeight w:val="454" w:hRule="atLeast"/>
        </w:trPr>
        <w:tc>
          <w:tcPr>
            <w:tcW w:w="4148" w:type="dxa"/>
            <w:gridSpan w:val="8"/>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栏次</w:t>
            </w:r>
          </w:p>
        </w:tc>
        <w:tc>
          <w:tcPr>
            <w:tcW w:w="1717"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1</w:t>
            </w:r>
          </w:p>
        </w:tc>
        <w:tc>
          <w:tcPr>
            <w:tcW w:w="1776" w:type="dxa"/>
            <w:gridSpan w:val="3"/>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2</w:t>
            </w:r>
          </w:p>
        </w:tc>
        <w:tc>
          <w:tcPr>
            <w:tcW w:w="1339"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3</w:t>
            </w:r>
          </w:p>
        </w:tc>
        <w:tc>
          <w:tcPr>
            <w:tcW w:w="1566"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4</w:t>
            </w:r>
          </w:p>
        </w:tc>
        <w:tc>
          <w:tcPr>
            <w:tcW w:w="1566"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5</w:t>
            </w:r>
          </w:p>
        </w:tc>
        <w:tc>
          <w:tcPr>
            <w:tcW w:w="1614" w:type="dxa"/>
            <w:gridSpan w:val="4"/>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6</w:t>
            </w:r>
          </w:p>
        </w:tc>
        <w:tc>
          <w:tcPr>
            <w:tcW w:w="1218" w:type="dxa"/>
            <w:gridSpan w:val="3"/>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7</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208</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社会保障和就业支出</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1327.40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sz w:val="22"/>
                <w:szCs w:val="22"/>
                <w:lang w:val="en-US" w:eastAsia="zh-CN"/>
                <w14:textFill>
                  <w14:solidFill>
                    <w14:schemeClr w14:val="tx1"/>
                  </w14:solidFill>
                </w14:textFill>
              </w:rPr>
            </w:pPr>
            <w:r>
              <w:rPr>
                <w:rFonts w:hint="eastAsia" w:ascii="仿宋" w:hAnsi="仿宋" w:eastAsia="仿宋" w:cs="仿宋"/>
                <w:color w:val="000000" w:themeColor="text1"/>
                <w:sz w:val="22"/>
                <w:szCs w:val="22"/>
                <w:lang w:val="en-US" w:eastAsia="zh-CN"/>
                <w14:textFill>
                  <w14:solidFill>
                    <w14:schemeClr w14:val="tx1"/>
                  </w14:solidFill>
                </w14:textFill>
              </w:rPr>
              <w:t>1327.40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2"/>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2080</w:t>
            </w:r>
            <w:r>
              <w:rPr>
                <w:rFonts w:hint="eastAsia" w:ascii="仿宋" w:hAnsi="仿宋" w:eastAsia="仿宋" w:cs="仿宋"/>
                <w:color w:val="000000" w:themeColor="text1"/>
                <w:kern w:val="0"/>
                <w:sz w:val="22"/>
                <w:szCs w:val="22"/>
                <w:lang w:val="en-US" w:eastAsia="zh-CN" w:bidi="ar"/>
                <w14:textFill>
                  <w14:solidFill>
                    <w14:schemeClr w14:val="tx1"/>
                  </w14:solidFill>
                </w14:textFill>
              </w:rPr>
              <w:t>1</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2"/>
                <w:sz w:val="22"/>
                <w:szCs w:val="22"/>
                <w:lang w:val="en-US" w:eastAsia="zh-CN" w:bidi="ar-SA"/>
                <w14:textFill>
                  <w14:solidFill>
                    <w14:schemeClr w14:val="tx1"/>
                  </w14:solidFill>
                </w14:textFill>
              </w:rPr>
            </w:pPr>
            <w:r>
              <w:rPr>
                <w:rFonts w:hint="eastAsia" w:ascii="仿宋" w:hAnsi="仿宋" w:eastAsia="仿宋" w:cs="仿宋"/>
                <w:color w:val="000000" w:themeColor="text1"/>
                <w:kern w:val="2"/>
                <w:sz w:val="22"/>
                <w:szCs w:val="22"/>
                <w:lang w:val="en-US" w:eastAsia="zh-CN" w:bidi="ar-SA"/>
                <w14:textFill>
                  <w14:solidFill>
                    <w14:schemeClr w14:val="tx1"/>
                  </w14:solidFill>
                </w14:textFill>
              </w:rPr>
              <w:t>人力资源和社会保障管理事务</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2"/>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2"/>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2"/>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2"/>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2"/>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2"/>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2"/>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2080</w:t>
            </w:r>
            <w:r>
              <w:rPr>
                <w:rFonts w:hint="eastAsia" w:ascii="仿宋" w:hAnsi="仿宋" w:eastAsia="仿宋" w:cs="仿宋"/>
                <w:color w:val="000000" w:themeColor="text1"/>
                <w:kern w:val="0"/>
                <w:sz w:val="22"/>
                <w:szCs w:val="22"/>
                <w:lang w:val="en-US" w:eastAsia="zh-CN" w:bidi="ar"/>
                <w14:textFill>
                  <w14:solidFill>
                    <w14:schemeClr w14:val="tx1"/>
                  </w14:solidFill>
                </w14:textFill>
              </w:rPr>
              <w:t>199</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w:t>
            </w:r>
            <w:r>
              <w:rPr>
                <w:rFonts w:hint="eastAsia" w:ascii="仿宋" w:hAnsi="仿宋" w:eastAsia="仿宋" w:cs="仿宋"/>
                <w:color w:val="000000" w:themeColor="text1"/>
                <w:kern w:val="0"/>
                <w:sz w:val="22"/>
                <w:szCs w:val="22"/>
                <w:lang w:eastAsia="zh-CN" w:bidi="ar"/>
                <w14:textFill>
                  <w14:solidFill>
                    <w14:schemeClr w14:val="tx1"/>
                  </w14:solidFill>
                </w14:textFill>
              </w:rPr>
              <w:t>其他人力资源和社会保障管理事务支出</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13.00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20805</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行政事业单位养老支出</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2080505</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机关事业单位基本养老保险缴费支出</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20807</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就业补助</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19.40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19.40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2080799</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其他就业补助支出</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19.40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19.40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210</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卫生健康支出</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21011</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行政事业单位医疗</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2101102</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事业单位医疗</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211</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节能环保支出</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152.60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152.60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21103</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污染防治</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152.60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152.60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2110302</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firstLine="440" w:firstLineChars="20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水体</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152.60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152.60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221</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住房保障支出</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744.00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744.00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22102</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住房改革支出</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744.00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744.00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p>
        </w:tc>
      </w:tr>
      <w:tr>
        <w:tblPrEx>
          <w:tblCellMar>
            <w:top w:w="0" w:type="dxa"/>
            <w:left w:w="0" w:type="dxa"/>
            <w:bottom w:w="0" w:type="dxa"/>
            <w:right w:w="0" w:type="dxa"/>
          </w:tblCellMar>
        </w:tblPrEx>
        <w:trPr>
          <w:gridBefore w:val="1"/>
          <w:gridAfter w:val="3"/>
          <w:wBefore w:w="2" w:type="dxa"/>
          <w:wAfter w:w="577" w:type="dxa"/>
          <w:trHeight w:val="397" w:hRule="atLeast"/>
        </w:trPr>
        <w:tc>
          <w:tcPr>
            <w:tcW w:w="1013"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2210201</w:t>
            </w:r>
          </w:p>
        </w:tc>
        <w:tc>
          <w:tcPr>
            <w:tcW w:w="3135" w:type="dxa"/>
            <w:gridSpan w:val="6"/>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  住房公积金</w:t>
            </w:r>
          </w:p>
        </w:tc>
        <w:tc>
          <w:tcPr>
            <w:tcW w:w="1717"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744.00</w:t>
            </w:r>
          </w:p>
        </w:tc>
        <w:tc>
          <w:tcPr>
            <w:tcW w:w="1776"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744.00</w:t>
            </w:r>
          </w:p>
        </w:tc>
        <w:tc>
          <w:tcPr>
            <w:tcW w:w="1339"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566"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14" w:type="dxa"/>
            <w:gridSpan w:val="4"/>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218" w:type="dxa"/>
            <w:gridSpan w:val="3"/>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p>
        </w:tc>
      </w:tr>
      <w:tr>
        <w:tblPrEx>
          <w:tblCellMar>
            <w:top w:w="0" w:type="dxa"/>
            <w:left w:w="0" w:type="dxa"/>
            <w:bottom w:w="0" w:type="dxa"/>
            <w:right w:w="0" w:type="dxa"/>
          </w:tblCellMar>
        </w:tblPrEx>
        <w:trPr>
          <w:gridBefore w:val="1"/>
          <w:gridAfter w:val="3"/>
          <w:wBefore w:w="2" w:type="dxa"/>
          <w:wAfter w:w="577" w:type="dxa"/>
          <w:trHeight w:val="90" w:hRule="atLeast"/>
        </w:trPr>
        <w:tc>
          <w:tcPr>
            <w:tcW w:w="14944" w:type="dxa"/>
            <w:gridSpan w:val="34"/>
            <w:tcBorders>
              <w:top w:val="nil"/>
              <w:left w:val="nil"/>
              <w:bottom w:val="nil"/>
              <w:right w:val="nil"/>
            </w:tcBorders>
            <w:shd w:val="clear" w:color="auto" w:fill="auto"/>
            <w:tcMar>
              <w:top w:w="15" w:type="dxa"/>
              <w:left w:w="15" w:type="dxa"/>
              <w:bottom w:w="0" w:type="dxa"/>
              <w:right w:w="15" w:type="dxa"/>
            </w:tcMar>
            <w:vAlign w:val="center"/>
          </w:tcPr>
          <w:p>
            <w:pPr>
              <w:keepNext w:val="0"/>
              <w:keepLines w:val="0"/>
              <w:suppressLineNumbers w:val="0"/>
              <w:spacing w:before="0" w:beforeAutospacing="0" w:after="0" w:afterAutospacing="0"/>
              <w:ind w:left="0" w:right="0"/>
              <w:rPr>
                <w:rFonts w:hint="eastAsia" w:ascii="仿宋" w:hAnsi="仿宋" w:eastAsia="仿宋" w:cs="仿宋"/>
                <w:color w:val="558ED5" w:themeColor="text2" w:themeTint="99"/>
                <w:sz w:val="22"/>
                <w:szCs w:val="22"/>
                <w14:textFill>
                  <w14:solidFill>
                    <w14:schemeClr w14:val="tx2">
                      <w14:lumMod w14:val="60000"/>
                      <w14:lumOff w14:val="40000"/>
                    </w14:schemeClr>
                  </w14:solidFill>
                </w14:textFill>
              </w:rPr>
            </w:pPr>
          </w:p>
        </w:tc>
      </w:tr>
      <w:tr>
        <w:tblPrEx>
          <w:tblCellMar>
            <w:top w:w="0" w:type="dxa"/>
            <w:left w:w="108" w:type="dxa"/>
            <w:bottom w:w="0" w:type="dxa"/>
            <w:right w:w="108" w:type="dxa"/>
          </w:tblCellMar>
        </w:tblPrEx>
        <w:trPr>
          <w:gridAfter w:val="1"/>
          <w:wAfter w:w="239" w:type="dxa"/>
          <w:trHeight w:val="432" w:hRule="atLeast"/>
        </w:trPr>
        <w:tc>
          <w:tcPr>
            <w:tcW w:w="15284" w:type="dxa"/>
            <w:gridSpan w:val="37"/>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华文中宋" w:hAnsi="华文中宋" w:eastAsia="华文中宋" w:cs="宋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三、支出决算表（一）</w:t>
            </w:r>
          </w:p>
        </w:tc>
      </w:tr>
      <w:tr>
        <w:tblPrEx>
          <w:tblCellMar>
            <w:top w:w="0" w:type="dxa"/>
            <w:left w:w="108" w:type="dxa"/>
            <w:bottom w:w="0" w:type="dxa"/>
            <w:right w:w="108" w:type="dxa"/>
          </w:tblCellMar>
        </w:tblPrEx>
        <w:trPr>
          <w:gridAfter w:val="1"/>
          <w:wAfter w:w="239" w:type="dxa"/>
          <w:trHeight w:val="343" w:hRule="atLeast"/>
        </w:trPr>
        <w:tc>
          <w:tcPr>
            <w:tcW w:w="4321" w:type="dxa"/>
            <w:gridSpan w:val="11"/>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themeColor="text1"/>
                <w:kern w:val="0"/>
                <w:sz w:val="24"/>
                <w:szCs w:val="24"/>
                <w14:textFill>
                  <w14:solidFill>
                    <w14:schemeClr w14:val="tx1"/>
                  </w14:solidFill>
                </w14:textFill>
              </w:rPr>
            </w:pPr>
            <w:r>
              <w:rPr>
                <w:rFonts w:hint="eastAsia" w:ascii="仿宋" w:hAnsi="仿宋" w:eastAsia="仿宋" w:cs="宋体"/>
                <w:color w:val="000000"/>
                <w:kern w:val="0"/>
                <w:sz w:val="22"/>
              </w:rPr>
              <w:t>部门：长沙环境保护职业技术学院</w:t>
            </w:r>
            <w:r>
              <w:rPr>
                <w:rFonts w:hint="eastAsia" w:ascii="宋体" w:hAnsi="宋体" w:eastAsia="宋体" w:cs="宋体"/>
                <w:color w:val="000000" w:themeColor="text1"/>
                <w:kern w:val="0"/>
                <w:sz w:val="24"/>
                <w:szCs w:val="24"/>
                <w14:textFill>
                  <w14:solidFill>
                    <w14:schemeClr w14:val="tx1"/>
                  </w14:solidFill>
                </w14:textFill>
              </w:rPr>
              <w:t>　　</w:t>
            </w:r>
          </w:p>
        </w:tc>
        <w:tc>
          <w:tcPr>
            <w:tcW w:w="1875"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c>
          <w:tcPr>
            <w:tcW w:w="1706" w:type="dxa"/>
            <w:gridSpan w:val="3"/>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c>
          <w:tcPr>
            <w:tcW w:w="1687" w:type="dxa"/>
            <w:gridSpan w:val="5"/>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c>
          <w:tcPr>
            <w:tcW w:w="1658"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c>
          <w:tcPr>
            <w:tcW w:w="1675"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c>
          <w:tcPr>
            <w:tcW w:w="2362" w:type="dxa"/>
            <w:gridSpan w:val="6"/>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公开03表</w:t>
            </w:r>
          </w:p>
        </w:tc>
      </w:tr>
      <w:tr>
        <w:tblPrEx>
          <w:tblCellMar>
            <w:top w:w="0" w:type="dxa"/>
            <w:left w:w="108" w:type="dxa"/>
            <w:bottom w:w="0" w:type="dxa"/>
            <w:right w:w="108" w:type="dxa"/>
          </w:tblCellMar>
        </w:tblPrEx>
        <w:trPr>
          <w:gridAfter w:val="1"/>
          <w:wAfter w:w="239" w:type="dxa"/>
          <w:trHeight w:val="90" w:hRule="atLeast"/>
        </w:trPr>
        <w:tc>
          <w:tcPr>
            <w:tcW w:w="1200" w:type="dxa"/>
            <w:gridSpan w:val="5"/>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themeColor="text1"/>
                <w:kern w:val="0"/>
                <w:sz w:val="20"/>
                <w:szCs w:val="20"/>
                <w14:textFill>
                  <w14:solidFill>
                    <w14:schemeClr w14:val="tx1"/>
                  </w14:solidFill>
                </w14:textFill>
              </w:rPr>
            </w:pPr>
          </w:p>
        </w:tc>
        <w:tc>
          <w:tcPr>
            <w:tcW w:w="364" w:type="dxa"/>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c>
          <w:tcPr>
            <w:tcW w:w="2757" w:type="dxa"/>
            <w:gridSpan w:val="5"/>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c>
          <w:tcPr>
            <w:tcW w:w="1875"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c>
          <w:tcPr>
            <w:tcW w:w="1706" w:type="dxa"/>
            <w:gridSpan w:val="3"/>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c>
          <w:tcPr>
            <w:tcW w:w="1687" w:type="dxa"/>
            <w:gridSpan w:val="5"/>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　</w:t>
            </w:r>
          </w:p>
        </w:tc>
        <w:tc>
          <w:tcPr>
            <w:tcW w:w="1658"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c>
          <w:tcPr>
            <w:tcW w:w="1675"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　</w:t>
            </w:r>
          </w:p>
        </w:tc>
        <w:tc>
          <w:tcPr>
            <w:tcW w:w="2362" w:type="dxa"/>
            <w:gridSpan w:val="6"/>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单位：万元</w:t>
            </w:r>
          </w:p>
        </w:tc>
      </w:tr>
      <w:tr>
        <w:tblPrEx>
          <w:tblCellMar>
            <w:top w:w="0" w:type="dxa"/>
            <w:left w:w="108" w:type="dxa"/>
            <w:bottom w:w="0" w:type="dxa"/>
            <w:right w:w="108" w:type="dxa"/>
          </w:tblCellMar>
        </w:tblPrEx>
        <w:trPr>
          <w:gridAfter w:val="1"/>
          <w:wAfter w:w="239" w:type="dxa"/>
          <w:trHeight w:val="503" w:hRule="atLeast"/>
        </w:trPr>
        <w:tc>
          <w:tcPr>
            <w:tcW w:w="4321" w:type="dxa"/>
            <w:gridSpan w:val="11"/>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项    目</w:t>
            </w:r>
          </w:p>
        </w:tc>
        <w:tc>
          <w:tcPr>
            <w:tcW w:w="1875" w:type="dxa"/>
            <w:gridSpan w:val="4"/>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本年支出合计</w:t>
            </w:r>
          </w:p>
        </w:tc>
        <w:tc>
          <w:tcPr>
            <w:tcW w:w="1706"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基本支出</w:t>
            </w:r>
          </w:p>
        </w:tc>
        <w:tc>
          <w:tcPr>
            <w:tcW w:w="1687" w:type="dxa"/>
            <w:gridSpan w:val="5"/>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项目支出</w:t>
            </w:r>
          </w:p>
        </w:tc>
        <w:tc>
          <w:tcPr>
            <w:tcW w:w="1658" w:type="dxa"/>
            <w:gridSpan w:val="4"/>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上缴上级支出</w:t>
            </w:r>
          </w:p>
        </w:tc>
        <w:tc>
          <w:tcPr>
            <w:tcW w:w="1675" w:type="dxa"/>
            <w:gridSpan w:val="4"/>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经营支出</w:t>
            </w:r>
          </w:p>
        </w:tc>
        <w:tc>
          <w:tcPr>
            <w:tcW w:w="2362" w:type="dxa"/>
            <w:gridSpan w:val="6"/>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对附属单位</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补助支出</w:t>
            </w:r>
          </w:p>
        </w:tc>
      </w:tr>
      <w:tr>
        <w:tblPrEx>
          <w:tblCellMar>
            <w:top w:w="0" w:type="dxa"/>
            <w:left w:w="108" w:type="dxa"/>
            <w:bottom w:w="0" w:type="dxa"/>
            <w:right w:w="108" w:type="dxa"/>
          </w:tblCellMar>
        </w:tblPrEx>
        <w:trPr>
          <w:gridAfter w:val="1"/>
          <w:wAfter w:w="239" w:type="dxa"/>
          <w:trHeight w:val="503" w:hRule="atLeast"/>
        </w:trPr>
        <w:tc>
          <w:tcPr>
            <w:tcW w:w="1564" w:type="dxa"/>
            <w:gridSpan w:val="6"/>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功能分类</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科目编码</w:t>
            </w:r>
          </w:p>
        </w:tc>
        <w:tc>
          <w:tcPr>
            <w:tcW w:w="2757" w:type="dxa"/>
            <w:gridSpan w:val="5"/>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科目名称</w:t>
            </w:r>
          </w:p>
        </w:tc>
        <w:tc>
          <w:tcPr>
            <w:tcW w:w="1875"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706"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87"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58"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75"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2362" w:type="dxa"/>
            <w:gridSpan w:val="6"/>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r>
      <w:tr>
        <w:tblPrEx>
          <w:tblCellMar>
            <w:top w:w="0" w:type="dxa"/>
            <w:left w:w="108" w:type="dxa"/>
            <w:bottom w:w="0" w:type="dxa"/>
            <w:right w:w="108" w:type="dxa"/>
          </w:tblCellMar>
        </w:tblPrEx>
        <w:trPr>
          <w:gridAfter w:val="1"/>
          <w:wAfter w:w="239" w:type="dxa"/>
          <w:trHeight w:val="312" w:hRule="atLeast"/>
        </w:trPr>
        <w:tc>
          <w:tcPr>
            <w:tcW w:w="1564" w:type="dxa"/>
            <w:gridSpan w:val="6"/>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2757" w:type="dxa"/>
            <w:gridSpan w:val="5"/>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875"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706"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87"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58"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75"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2362" w:type="dxa"/>
            <w:gridSpan w:val="6"/>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r>
      <w:tr>
        <w:tblPrEx>
          <w:tblCellMar>
            <w:top w:w="0" w:type="dxa"/>
            <w:left w:w="108" w:type="dxa"/>
            <w:bottom w:w="0" w:type="dxa"/>
            <w:right w:w="108" w:type="dxa"/>
          </w:tblCellMar>
        </w:tblPrEx>
        <w:trPr>
          <w:gridAfter w:val="1"/>
          <w:wAfter w:w="239" w:type="dxa"/>
          <w:trHeight w:val="503" w:hRule="atLeast"/>
        </w:trPr>
        <w:tc>
          <w:tcPr>
            <w:tcW w:w="4321" w:type="dxa"/>
            <w:gridSpan w:val="11"/>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栏次</w:t>
            </w:r>
          </w:p>
        </w:tc>
        <w:tc>
          <w:tcPr>
            <w:tcW w:w="1875" w:type="dxa"/>
            <w:gridSpan w:val="4"/>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c>
          <w:tcPr>
            <w:tcW w:w="1706"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w:t>
            </w:r>
          </w:p>
        </w:tc>
        <w:tc>
          <w:tcPr>
            <w:tcW w:w="168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w:t>
            </w:r>
          </w:p>
        </w:tc>
        <w:tc>
          <w:tcPr>
            <w:tcW w:w="1658" w:type="dxa"/>
            <w:gridSpan w:val="4"/>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4</w:t>
            </w:r>
          </w:p>
        </w:tc>
        <w:tc>
          <w:tcPr>
            <w:tcW w:w="1675" w:type="dxa"/>
            <w:gridSpan w:val="4"/>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5</w:t>
            </w:r>
          </w:p>
        </w:tc>
        <w:tc>
          <w:tcPr>
            <w:tcW w:w="2362" w:type="dxa"/>
            <w:gridSpan w:val="6"/>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6</w:t>
            </w:r>
          </w:p>
        </w:tc>
      </w:tr>
      <w:tr>
        <w:tblPrEx>
          <w:tblCellMar>
            <w:top w:w="0" w:type="dxa"/>
            <w:left w:w="108" w:type="dxa"/>
            <w:bottom w:w="0" w:type="dxa"/>
            <w:right w:w="108" w:type="dxa"/>
          </w:tblCellMar>
        </w:tblPrEx>
        <w:trPr>
          <w:gridAfter w:val="1"/>
          <w:wAfter w:w="239" w:type="dxa"/>
          <w:trHeight w:val="376" w:hRule="atLeast"/>
        </w:trPr>
        <w:tc>
          <w:tcPr>
            <w:tcW w:w="4321" w:type="dxa"/>
            <w:gridSpan w:val="11"/>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合计</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20108.25</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12244.32</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6950.81</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913.12</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201</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一般公共服务支出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2.50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2.50</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20106</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财政事务</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1.70</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1.70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2010699</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其他财政事务支出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1.</w:t>
            </w:r>
            <w:r>
              <w:rPr>
                <w:rFonts w:hint="eastAsia" w:ascii="仿宋" w:hAnsi="仿宋" w:eastAsia="仿宋" w:cs="仿宋"/>
                <w:color w:val="000000" w:themeColor="text1"/>
                <w:kern w:val="0"/>
                <w:sz w:val="22"/>
                <w:szCs w:val="22"/>
                <w:lang w:val="en-US" w:eastAsia="zh-CN" w:bidi="ar"/>
                <w14:textFill>
                  <w14:solidFill>
                    <w14:schemeClr w14:val="tx1"/>
                  </w14:solidFill>
                </w14:textFill>
              </w:rPr>
              <w:t>70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1.</w:t>
            </w:r>
            <w:r>
              <w:rPr>
                <w:rFonts w:hint="eastAsia" w:ascii="仿宋" w:hAnsi="仿宋" w:eastAsia="仿宋" w:cs="仿宋"/>
                <w:color w:val="000000" w:themeColor="text1"/>
                <w:kern w:val="0"/>
                <w:sz w:val="22"/>
                <w:szCs w:val="22"/>
                <w:lang w:val="en-US" w:eastAsia="zh-CN" w:bidi="ar"/>
                <w14:textFill>
                  <w14:solidFill>
                    <w14:schemeClr w14:val="tx1"/>
                  </w14:solidFill>
                </w14:textFill>
              </w:rPr>
              <w:t>70</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201</w:t>
            </w:r>
            <w:r>
              <w:rPr>
                <w:rFonts w:hint="eastAsia" w:ascii="仿宋" w:hAnsi="仿宋" w:eastAsia="仿宋" w:cs="仿宋"/>
                <w:color w:val="000000" w:themeColor="text1"/>
                <w:kern w:val="0"/>
                <w:sz w:val="22"/>
                <w:szCs w:val="22"/>
                <w:lang w:val="en-US" w:eastAsia="zh-CN" w:bidi="ar"/>
                <w14:textFill>
                  <w14:solidFill>
                    <w14:schemeClr w14:val="tx1"/>
                  </w14:solidFill>
                </w14:textFill>
              </w:rPr>
              <w:t>32</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14:textFill>
                  <w14:solidFill>
                    <w14:schemeClr w14:val="tx1"/>
                  </w14:solidFill>
                </w14:textFill>
              </w:rPr>
            </w:pPr>
            <w:r>
              <w:rPr>
                <w:rFonts w:hint="eastAsia" w:ascii="仿宋" w:hAnsi="仿宋" w:eastAsia="仿宋" w:cs="仿宋"/>
                <w:color w:val="000000" w:themeColor="text1"/>
                <w:kern w:val="0"/>
                <w:sz w:val="22"/>
                <w:szCs w:val="22"/>
                <w:lang w:eastAsia="zh-CN"/>
                <w14:textFill>
                  <w14:solidFill>
                    <w14:schemeClr w14:val="tx1"/>
                  </w14:solidFill>
                </w14:textFill>
              </w:rPr>
              <w:t>组织事务</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0.81</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0.81</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w:t>
            </w:r>
            <w:r>
              <w:rPr>
                <w:rFonts w:hint="eastAsia" w:ascii="仿宋" w:hAnsi="仿宋" w:eastAsia="仿宋" w:cs="仿宋"/>
                <w:color w:val="000000" w:themeColor="text1"/>
                <w:kern w:val="0"/>
                <w:sz w:val="22"/>
                <w:szCs w:val="22"/>
                <w:lang w:val="en-US" w:eastAsia="zh-CN" w:bidi="ar"/>
                <w14:textFill>
                  <w14:solidFill>
                    <w14:schemeClr w14:val="tx1"/>
                  </w14:solidFill>
                </w14:textFill>
              </w:rPr>
              <w:t>13299</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w:t>
            </w:r>
            <w:r>
              <w:rPr>
                <w:rFonts w:hint="eastAsia" w:ascii="仿宋" w:hAnsi="仿宋" w:eastAsia="仿宋" w:cs="仿宋"/>
                <w:color w:val="000000" w:themeColor="text1"/>
                <w:kern w:val="0"/>
                <w:sz w:val="22"/>
                <w:szCs w:val="22"/>
                <w:lang w:eastAsia="zh-CN" w:bidi="ar"/>
                <w14:textFill>
                  <w14:solidFill>
                    <w14:schemeClr w14:val="tx1"/>
                  </w14:solidFill>
                </w14:textFill>
              </w:rPr>
              <w:t>其他组织事务支出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0.81</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0.81</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205</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教育支出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17826.19</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10173.32</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6739.75</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913.12</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20503</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职业教育</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17826.19</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10173.32</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6739.75</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913.12</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2050302</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中等职业教育</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11.12</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11.12</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2050305</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高等职业教育</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17815.07</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10173.32</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6728.63</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913.12</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206</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科学技术支出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20607</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科学技术普及</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2060799</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  其他科学技术普及支出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678" w:hRule="atLeast"/>
        </w:trPr>
        <w:tc>
          <w:tcPr>
            <w:tcW w:w="15284" w:type="dxa"/>
            <w:gridSpan w:val="37"/>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注：</w:t>
            </w:r>
            <w:r>
              <w:rPr>
                <w:rFonts w:hint="eastAsia" w:ascii="仿宋" w:hAnsi="仿宋" w:eastAsia="仿宋" w:cs="仿宋"/>
                <w:color w:val="000000" w:themeColor="text1"/>
                <w:kern w:val="0"/>
                <w:sz w:val="22"/>
                <w:szCs w:val="22"/>
                <w:lang w:val="en-US" w:eastAsia="zh-CN"/>
                <w14:textFill>
                  <w14:solidFill>
                    <w14:schemeClr w14:val="tx1"/>
                  </w14:solidFill>
                </w14:textFill>
              </w:rPr>
              <w:t>1.</w:t>
            </w:r>
            <w:r>
              <w:rPr>
                <w:rFonts w:hint="eastAsia" w:ascii="仿宋" w:hAnsi="仿宋" w:eastAsia="仿宋" w:cs="仿宋"/>
                <w:color w:val="000000" w:themeColor="text1"/>
                <w:kern w:val="0"/>
                <w:sz w:val="22"/>
                <w:szCs w:val="22"/>
                <w14:textFill>
                  <w14:solidFill>
                    <w14:schemeClr w14:val="tx1"/>
                  </w14:solidFill>
                </w14:textFill>
              </w:rPr>
              <w:t>本表反映部门本年度各项支出情况。</w:t>
            </w:r>
          </w:p>
        </w:tc>
      </w:tr>
      <w:tr>
        <w:tblPrEx>
          <w:tblCellMar>
            <w:top w:w="0" w:type="dxa"/>
            <w:left w:w="108" w:type="dxa"/>
            <w:bottom w:w="0" w:type="dxa"/>
            <w:right w:w="108" w:type="dxa"/>
          </w:tblCellMar>
        </w:tblPrEx>
        <w:trPr>
          <w:gridAfter w:val="1"/>
          <w:wAfter w:w="239" w:type="dxa"/>
          <w:trHeight w:val="672" w:hRule="atLeast"/>
        </w:trPr>
        <w:tc>
          <w:tcPr>
            <w:tcW w:w="15284" w:type="dxa"/>
            <w:gridSpan w:val="37"/>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firstLine="440" w:firstLineChars="200"/>
              <w:jc w:val="both"/>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仿宋" w:hAnsi="仿宋" w:eastAsia="仿宋" w:cs="宋体"/>
                <w:kern w:val="0"/>
                <w:sz w:val="22"/>
                <w:lang w:val="en-US" w:eastAsia="zh-CN"/>
              </w:rPr>
              <w:t>2.</w:t>
            </w:r>
            <w:r>
              <w:rPr>
                <w:rFonts w:hint="eastAsia" w:ascii="仿宋" w:hAnsi="仿宋" w:eastAsia="仿宋" w:cs="宋体"/>
                <w:kern w:val="0"/>
                <w:sz w:val="22"/>
              </w:rPr>
              <w:t>本套报表金额单位转换时可能存在尾数误差。</w:t>
            </w:r>
          </w:p>
          <w:p>
            <w:pPr>
              <w:keepNext w:val="0"/>
              <w:keepLines w:val="0"/>
              <w:widowControl/>
              <w:suppressLineNumbers w:val="0"/>
              <w:spacing w:before="0" w:beforeAutospacing="0" w:after="0" w:afterAutospacing="0"/>
              <w:ind w:left="0" w:right="0"/>
              <w:jc w:val="center"/>
              <w:rPr>
                <w:rFonts w:hint="eastAsia" w:ascii="黑体" w:hAnsi="黑体" w:eastAsia="黑体" w:cs="黑体"/>
                <w:color w:val="000000" w:themeColor="text1"/>
                <w:kern w:val="2"/>
                <w:sz w:val="32"/>
                <w:szCs w:val="32"/>
                <w:lang w:val="en-US" w:eastAsia="zh-CN" w:bidi="ar-SA"/>
                <w14:textFill>
                  <w14:solidFill>
                    <w14:schemeClr w14:val="tx1"/>
                  </w14:solidFill>
                </w14:textFill>
              </w:rPr>
            </w:pPr>
          </w:p>
          <w:p>
            <w:pPr>
              <w:keepNext w:val="0"/>
              <w:keepLines w:val="0"/>
              <w:widowControl/>
              <w:suppressLineNumbers w:val="0"/>
              <w:spacing w:before="0" w:beforeAutospacing="0" w:after="0" w:afterAutospacing="0"/>
              <w:ind w:left="0" w:right="0"/>
              <w:jc w:val="center"/>
              <w:rPr>
                <w:rFonts w:hint="default" w:ascii="华文中宋" w:hAnsi="华文中宋" w:eastAsia="华文中宋" w:cs="宋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三、支出决算表（二）</w:t>
            </w:r>
          </w:p>
        </w:tc>
      </w:tr>
      <w:tr>
        <w:tblPrEx>
          <w:tblCellMar>
            <w:top w:w="0" w:type="dxa"/>
            <w:left w:w="108" w:type="dxa"/>
            <w:bottom w:w="0" w:type="dxa"/>
            <w:right w:w="108" w:type="dxa"/>
          </w:tblCellMar>
        </w:tblPrEx>
        <w:trPr>
          <w:gridAfter w:val="1"/>
          <w:wAfter w:w="239" w:type="dxa"/>
          <w:trHeight w:val="336" w:hRule="atLeast"/>
        </w:trPr>
        <w:tc>
          <w:tcPr>
            <w:tcW w:w="1200" w:type="dxa"/>
            <w:gridSpan w:val="5"/>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364" w:type="dxa"/>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757" w:type="dxa"/>
            <w:gridSpan w:val="5"/>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875"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706" w:type="dxa"/>
            <w:gridSpan w:val="3"/>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687" w:type="dxa"/>
            <w:gridSpan w:val="5"/>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658"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675"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362" w:type="dxa"/>
            <w:gridSpan w:val="6"/>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公开03表</w:t>
            </w:r>
          </w:p>
        </w:tc>
      </w:tr>
      <w:tr>
        <w:tblPrEx>
          <w:tblCellMar>
            <w:top w:w="0" w:type="dxa"/>
            <w:left w:w="108" w:type="dxa"/>
            <w:bottom w:w="0" w:type="dxa"/>
            <w:right w:w="108" w:type="dxa"/>
          </w:tblCellMar>
        </w:tblPrEx>
        <w:trPr>
          <w:gridAfter w:val="1"/>
          <w:wAfter w:w="239" w:type="dxa"/>
          <w:trHeight w:val="336" w:hRule="atLeast"/>
        </w:trPr>
        <w:tc>
          <w:tcPr>
            <w:tcW w:w="1200" w:type="dxa"/>
            <w:gridSpan w:val="5"/>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64" w:type="dxa"/>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757" w:type="dxa"/>
            <w:gridSpan w:val="5"/>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875"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706" w:type="dxa"/>
            <w:gridSpan w:val="3"/>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687" w:type="dxa"/>
            <w:gridSpan w:val="5"/>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658"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675"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362" w:type="dxa"/>
            <w:gridSpan w:val="6"/>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单位：万元</w:t>
            </w:r>
          </w:p>
        </w:tc>
      </w:tr>
      <w:tr>
        <w:tblPrEx>
          <w:tblCellMar>
            <w:top w:w="0" w:type="dxa"/>
            <w:left w:w="108" w:type="dxa"/>
            <w:bottom w:w="0" w:type="dxa"/>
            <w:right w:w="108" w:type="dxa"/>
          </w:tblCellMar>
        </w:tblPrEx>
        <w:trPr>
          <w:gridAfter w:val="1"/>
          <w:wAfter w:w="239" w:type="dxa"/>
          <w:trHeight w:val="503" w:hRule="atLeast"/>
        </w:trPr>
        <w:tc>
          <w:tcPr>
            <w:tcW w:w="4321" w:type="dxa"/>
            <w:gridSpan w:val="11"/>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项    目</w:t>
            </w:r>
          </w:p>
        </w:tc>
        <w:tc>
          <w:tcPr>
            <w:tcW w:w="1875" w:type="dxa"/>
            <w:gridSpan w:val="4"/>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本年支出合计</w:t>
            </w:r>
          </w:p>
        </w:tc>
        <w:tc>
          <w:tcPr>
            <w:tcW w:w="1706"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基本支出</w:t>
            </w:r>
          </w:p>
        </w:tc>
        <w:tc>
          <w:tcPr>
            <w:tcW w:w="1687" w:type="dxa"/>
            <w:gridSpan w:val="5"/>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项目支出</w:t>
            </w:r>
          </w:p>
        </w:tc>
        <w:tc>
          <w:tcPr>
            <w:tcW w:w="1658" w:type="dxa"/>
            <w:gridSpan w:val="4"/>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上缴上级支出</w:t>
            </w:r>
          </w:p>
        </w:tc>
        <w:tc>
          <w:tcPr>
            <w:tcW w:w="1675" w:type="dxa"/>
            <w:gridSpan w:val="4"/>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经营支出</w:t>
            </w:r>
          </w:p>
        </w:tc>
        <w:tc>
          <w:tcPr>
            <w:tcW w:w="2362" w:type="dxa"/>
            <w:gridSpan w:val="6"/>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对附属单位补助支出</w:t>
            </w:r>
          </w:p>
        </w:tc>
      </w:tr>
      <w:tr>
        <w:tblPrEx>
          <w:tblCellMar>
            <w:top w:w="0" w:type="dxa"/>
            <w:left w:w="108" w:type="dxa"/>
            <w:bottom w:w="0" w:type="dxa"/>
            <w:right w:w="108" w:type="dxa"/>
          </w:tblCellMar>
        </w:tblPrEx>
        <w:trPr>
          <w:gridAfter w:val="1"/>
          <w:wAfter w:w="239" w:type="dxa"/>
          <w:trHeight w:val="503" w:hRule="atLeast"/>
        </w:trPr>
        <w:tc>
          <w:tcPr>
            <w:tcW w:w="1564" w:type="dxa"/>
            <w:gridSpan w:val="6"/>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功能分类科目编码</w:t>
            </w:r>
          </w:p>
        </w:tc>
        <w:tc>
          <w:tcPr>
            <w:tcW w:w="2757" w:type="dxa"/>
            <w:gridSpan w:val="5"/>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科目名称</w:t>
            </w:r>
          </w:p>
        </w:tc>
        <w:tc>
          <w:tcPr>
            <w:tcW w:w="1875"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706"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87"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58"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75"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2362" w:type="dxa"/>
            <w:gridSpan w:val="6"/>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r>
      <w:tr>
        <w:tblPrEx>
          <w:tblCellMar>
            <w:top w:w="0" w:type="dxa"/>
            <w:left w:w="108" w:type="dxa"/>
            <w:bottom w:w="0" w:type="dxa"/>
            <w:right w:w="108" w:type="dxa"/>
          </w:tblCellMar>
        </w:tblPrEx>
        <w:trPr>
          <w:gridAfter w:val="1"/>
          <w:wAfter w:w="239" w:type="dxa"/>
          <w:trHeight w:val="312" w:hRule="atLeast"/>
        </w:trPr>
        <w:tc>
          <w:tcPr>
            <w:tcW w:w="1564" w:type="dxa"/>
            <w:gridSpan w:val="6"/>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2757" w:type="dxa"/>
            <w:gridSpan w:val="5"/>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875"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706"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87" w:type="dxa"/>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58"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75"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2362" w:type="dxa"/>
            <w:gridSpan w:val="6"/>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r>
      <w:tr>
        <w:tblPrEx>
          <w:tblCellMar>
            <w:top w:w="0" w:type="dxa"/>
            <w:left w:w="108" w:type="dxa"/>
            <w:bottom w:w="0" w:type="dxa"/>
            <w:right w:w="108" w:type="dxa"/>
          </w:tblCellMar>
        </w:tblPrEx>
        <w:trPr>
          <w:gridAfter w:val="1"/>
          <w:wAfter w:w="239" w:type="dxa"/>
          <w:trHeight w:val="503" w:hRule="atLeast"/>
        </w:trPr>
        <w:tc>
          <w:tcPr>
            <w:tcW w:w="4321" w:type="dxa"/>
            <w:gridSpan w:val="11"/>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栏次</w:t>
            </w:r>
          </w:p>
        </w:tc>
        <w:tc>
          <w:tcPr>
            <w:tcW w:w="1875" w:type="dxa"/>
            <w:gridSpan w:val="4"/>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c>
          <w:tcPr>
            <w:tcW w:w="1706"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w:t>
            </w:r>
          </w:p>
        </w:tc>
        <w:tc>
          <w:tcPr>
            <w:tcW w:w="168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w:t>
            </w:r>
          </w:p>
        </w:tc>
        <w:tc>
          <w:tcPr>
            <w:tcW w:w="1658" w:type="dxa"/>
            <w:gridSpan w:val="4"/>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4</w:t>
            </w:r>
          </w:p>
        </w:tc>
        <w:tc>
          <w:tcPr>
            <w:tcW w:w="1675" w:type="dxa"/>
            <w:gridSpan w:val="4"/>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5</w:t>
            </w:r>
          </w:p>
        </w:tc>
        <w:tc>
          <w:tcPr>
            <w:tcW w:w="2362" w:type="dxa"/>
            <w:gridSpan w:val="6"/>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6</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208</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社会保障和就业支出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1321.15</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26.15</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2080</w:t>
            </w:r>
            <w:r>
              <w:rPr>
                <w:rFonts w:hint="eastAsia" w:ascii="仿宋" w:hAnsi="仿宋" w:eastAsia="仿宋" w:cs="仿宋"/>
                <w:color w:val="000000" w:themeColor="text1"/>
                <w:kern w:val="0"/>
                <w:sz w:val="22"/>
                <w:szCs w:val="22"/>
                <w:lang w:val="en-US" w:eastAsia="zh-CN" w:bidi="ar"/>
                <w14:textFill>
                  <w14:solidFill>
                    <w14:schemeClr w14:val="tx1"/>
                  </w14:solidFill>
                </w14:textFill>
              </w:rPr>
              <w:t>1</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2"/>
                <w:sz w:val="22"/>
                <w:szCs w:val="22"/>
                <w:lang w:val="en-US" w:eastAsia="zh-CN" w:bidi="ar-SA"/>
                <w14:textFill>
                  <w14:solidFill>
                    <w14:schemeClr w14:val="tx1"/>
                  </w14:solidFill>
                </w14:textFill>
              </w:rPr>
              <w:t>人力资源和社会保障管理事务</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12.18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12.18</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2080</w:t>
            </w:r>
            <w:r>
              <w:rPr>
                <w:rFonts w:hint="eastAsia" w:ascii="仿宋" w:hAnsi="仿宋" w:eastAsia="仿宋" w:cs="仿宋"/>
                <w:color w:val="000000" w:themeColor="text1"/>
                <w:kern w:val="0"/>
                <w:sz w:val="22"/>
                <w:szCs w:val="22"/>
                <w:lang w:val="en-US" w:eastAsia="zh-CN" w:bidi="ar"/>
                <w14:textFill>
                  <w14:solidFill>
                    <w14:schemeClr w14:val="tx1"/>
                  </w14:solidFill>
                </w14:textFill>
              </w:rPr>
              <w:t>199</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w:t>
            </w:r>
            <w:r>
              <w:rPr>
                <w:rFonts w:hint="eastAsia" w:ascii="仿宋" w:hAnsi="仿宋" w:eastAsia="仿宋" w:cs="仿宋"/>
                <w:color w:val="000000" w:themeColor="text1"/>
                <w:kern w:val="0"/>
                <w:sz w:val="22"/>
                <w:szCs w:val="22"/>
                <w:lang w:eastAsia="zh-CN" w:bidi="ar"/>
                <w14:textFill>
                  <w14:solidFill>
                    <w14:schemeClr w14:val="tx1"/>
                  </w14:solidFill>
                </w14:textFill>
              </w:rPr>
              <w:t>其他人力资源和社会保障管理事务支出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12.18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12.18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20805</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行政事业单位养老支出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0.00</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2080505</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机关事业单位基本养老保险缴费支出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0.00</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20807</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就业补助</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13.97</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13.97</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0.00</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2080799</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其他就业补助支出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13.97</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13.97</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0.00</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210</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卫生健康支出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21011</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行政事业单位医疗</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2101102</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事业单位医疗</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211</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节能环保支出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176.58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176.58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21103</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污染防治</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156.58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156.58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2110302</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水体</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152.30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152.30</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2110399</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其他污染防治支出</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4.28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4.28</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21110</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bidi="ar"/>
                <w14:textFill>
                  <w14:solidFill>
                    <w14:schemeClr w14:val="tx1"/>
                  </w14:solidFill>
                </w14:textFill>
              </w:rPr>
            </w:pPr>
            <w:r>
              <w:rPr>
                <w:rFonts w:hint="eastAsia" w:ascii="仿宋" w:hAnsi="仿宋" w:eastAsia="仿宋" w:cs="仿宋"/>
                <w:color w:val="000000" w:themeColor="text1"/>
                <w:kern w:val="0"/>
                <w:sz w:val="22"/>
                <w:szCs w:val="22"/>
                <w:lang w:eastAsia="zh-CN" w:bidi="ar"/>
                <w14:textFill>
                  <w14:solidFill>
                    <w14:schemeClr w14:val="tx1"/>
                  </w14:solidFill>
                </w14:textFill>
              </w:rPr>
              <w:t>能源节约利用</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20.00</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20.00</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376" w:hRule="atLeast"/>
        </w:trPr>
        <w:tc>
          <w:tcPr>
            <w:tcW w:w="1564"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2111001</w:t>
            </w:r>
          </w:p>
        </w:tc>
        <w:tc>
          <w:tcPr>
            <w:tcW w:w="2757" w:type="dxa"/>
            <w:gridSpan w:val="5"/>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  能源节约利用</w:t>
            </w:r>
          </w:p>
        </w:tc>
        <w:tc>
          <w:tcPr>
            <w:tcW w:w="18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20.00</w:t>
            </w:r>
          </w:p>
        </w:tc>
        <w:tc>
          <w:tcPr>
            <w:tcW w:w="1706" w:type="dxa"/>
            <w:gridSpan w:val="3"/>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p>
        </w:tc>
        <w:tc>
          <w:tcPr>
            <w:tcW w:w="1687" w:type="dxa"/>
            <w:gridSpan w:val="5"/>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20.00</w:t>
            </w:r>
          </w:p>
        </w:tc>
        <w:tc>
          <w:tcPr>
            <w:tcW w:w="1658"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675" w:type="dxa"/>
            <w:gridSpan w:val="4"/>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2362" w:type="dxa"/>
            <w:gridSpan w:val="6"/>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CellMar>
            <w:top w:w="0" w:type="dxa"/>
            <w:left w:w="108" w:type="dxa"/>
            <w:bottom w:w="0" w:type="dxa"/>
            <w:right w:w="108" w:type="dxa"/>
          </w:tblCellMar>
        </w:tblPrEx>
        <w:trPr>
          <w:gridAfter w:val="1"/>
          <w:wAfter w:w="239" w:type="dxa"/>
          <w:trHeight w:val="678" w:hRule="atLeast"/>
        </w:trPr>
        <w:tc>
          <w:tcPr>
            <w:tcW w:w="15284" w:type="dxa"/>
            <w:gridSpan w:val="37"/>
            <w:tcBorders>
              <w:top w:val="nil"/>
              <w:left w:val="nil"/>
              <w:bottom w:val="nil"/>
              <w:right w:val="nil"/>
            </w:tcBorders>
            <w:shd w:val="clear" w:color="auto" w:fill="auto"/>
            <w:vAlign w:val="center"/>
          </w:tcPr>
          <w:tbl>
            <w:tblPr>
              <w:tblStyle w:val="10"/>
              <w:tblW w:w="14888"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01"/>
              <w:gridCol w:w="239"/>
              <w:gridCol w:w="2885"/>
              <w:gridCol w:w="1876"/>
              <w:gridCol w:w="1707"/>
              <w:gridCol w:w="1688"/>
              <w:gridCol w:w="1659"/>
              <w:gridCol w:w="1676"/>
              <w:gridCol w:w="19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14888" w:type="dxa"/>
                  <w:gridSpan w:val="9"/>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华文中宋" w:hAnsi="华文中宋" w:eastAsia="华文中宋" w:cs="宋体"/>
                      <w:color w:val="000000" w:themeColor="text1"/>
                      <w:kern w:val="0"/>
                      <w:sz w:val="32"/>
                      <w:szCs w:val="32"/>
                      <w14:textFill>
                        <w14:solidFill>
                          <w14:schemeClr w14:val="tx1"/>
                        </w14:solidFill>
                      </w14:textFill>
                    </w:rPr>
                  </w:pPr>
                  <w:r>
                    <w:rPr>
                      <w:rFonts w:hint="eastAsia" w:ascii="黑体" w:hAnsi="宋体" w:eastAsia="黑体" w:cs="黑体"/>
                      <w:color w:val="000000" w:themeColor="text1"/>
                      <w:kern w:val="2"/>
                      <w:sz w:val="32"/>
                      <w:szCs w:val="32"/>
                      <w:lang w:val="en-US" w:eastAsia="zh-CN" w:bidi="ar"/>
                      <w14:textFill>
                        <w14:solidFill>
                          <w14:schemeClr w14:val="tx1"/>
                        </w14:solidFill>
                      </w14:textFill>
                    </w:rPr>
                    <w:t>三、支出决算表（三）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201"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239"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2885"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1876"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1707"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1688"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1659"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1676"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1957"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lang w:val="en-US" w:eastAsia="zh-CN" w:bidi="ar"/>
                      <w14:textFill>
                        <w14:solidFill>
                          <w14:schemeClr w14:val="tx1"/>
                        </w14:solidFill>
                      </w14:textFill>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1201"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000000" w:themeColor="text1"/>
                      <w:kern w:val="0"/>
                      <w:sz w:val="20"/>
                      <w:szCs w:val="20"/>
                      <w14:textFill>
                        <w14:solidFill>
                          <w14:schemeClr w14:val="tx1"/>
                        </w14:solidFill>
                      </w14:textFill>
                    </w:rPr>
                  </w:pPr>
                </w:p>
              </w:tc>
              <w:tc>
                <w:tcPr>
                  <w:tcW w:w="239"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2885"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1876"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1707"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1688"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lang w:val="en-US" w:eastAsia="zh-CN" w:bidi="ar"/>
                      <w14:textFill>
                        <w14:solidFill>
                          <w14:schemeClr w14:val="tx1"/>
                        </w14:solidFill>
                      </w14:textFill>
                    </w:rPr>
                    <w:t>　</w:t>
                  </w:r>
                </w:p>
              </w:tc>
              <w:tc>
                <w:tcPr>
                  <w:tcW w:w="1659"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1676" w:type="dxa"/>
                  <w:tcBorders>
                    <w:top w:val="nil"/>
                    <w:left w:val="nil"/>
                    <w:bottom w:val="nil"/>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w:t>
                  </w:r>
                </w:p>
              </w:tc>
              <w:tc>
                <w:tcPr>
                  <w:tcW w:w="1957" w:type="dxa"/>
                  <w:tcBorders>
                    <w:top w:val="nil"/>
                    <w:left w:val="nil"/>
                    <w:bottom w:val="single" w:color="auto" w:sz="4" w:space="0"/>
                    <w:right w:val="nil"/>
                  </w:tcBorders>
                  <w:shd w:val="clear" w:color="auto" w:fill="FFFFFF"/>
                  <w:noWrap/>
                  <w:vAlign w:val="center"/>
                </w:tcPr>
                <w:p>
                  <w:pPr>
                    <w:keepNext w:val="0"/>
                    <w:keepLines w:val="0"/>
                    <w:widowControl/>
                    <w:suppressLineNumbers w:val="0"/>
                    <w:spacing w:before="0" w:beforeAutospacing="0" w:after="0" w:afterAutospacing="0"/>
                    <w:ind w:left="0" w:right="0"/>
                    <w:jc w:val="right"/>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lang w:val="en-US" w:eastAsia="zh-CN" w:bidi="ar"/>
                      <w14:textFill>
                        <w14:solidFill>
                          <w14:schemeClr w14:val="tx1"/>
                        </w14:solidFill>
                      </w14:textFill>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432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项    目</w:t>
                  </w:r>
                </w:p>
              </w:tc>
              <w:tc>
                <w:tcPr>
                  <w:tcW w:w="1876" w:type="dxa"/>
                  <w:vMerge w:val="restart"/>
                  <w:tcBorders>
                    <w:top w:val="single" w:color="auto" w:sz="4" w:space="0"/>
                    <w:left w:val="nil"/>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本年支出合计</w:t>
                  </w:r>
                </w:p>
              </w:tc>
              <w:tc>
                <w:tcPr>
                  <w:tcW w:w="1707" w:type="dxa"/>
                  <w:vMerge w:val="restart"/>
                  <w:tcBorders>
                    <w:top w:val="single" w:color="auto" w:sz="4" w:space="0"/>
                    <w:left w:val="nil"/>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基本支出</w:t>
                  </w:r>
                </w:p>
              </w:tc>
              <w:tc>
                <w:tcPr>
                  <w:tcW w:w="1688" w:type="dxa"/>
                  <w:vMerge w:val="restart"/>
                  <w:tcBorders>
                    <w:top w:val="single" w:color="auto" w:sz="4" w:space="0"/>
                    <w:left w:val="nil"/>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项目支出</w:t>
                  </w:r>
                </w:p>
              </w:tc>
              <w:tc>
                <w:tcPr>
                  <w:tcW w:w="1659" w:type="dxa"/>
                  <w:vMerge w:val="restart"/>
                  <w:tcBorders>
                    <w:top w:val="single" w:color="auto" w:sz="4" w:space="0"/>
                    <w:left w:val="nil"/>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上缴上级支出</w:t>
                  </w:r>
                </w:p>
              </w:tc>
              <w:tc>
                <w:tcPr>
                  <w:tcW w:w="1676" w:type="dxa"/>
                  <w:vMerge w:val="restart"/>
                  <w:tcBorders>
                    <w:top w:val="single" w:color="auto" w:sz="4" w:space="0"/>
                    <w:left w:val="nil"/>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经营支出</w:t>
                  </w:r>
                </w:p>
              </w:tc>
              <w:tc>
                <w:tcPr>
                  <w:tcW w:w="1957" w:type="dxa"/>
                  <w:vMerge w:val="restart"/>
                  <w:tcBorders>
                    <w:top w:val="single" w:color="auto" w:sz="4" w:space="0"/>
                    <w:left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对附属单位</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功能分类</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科目编码</w:t>
                  </w:r>
                </w:p>
              </w:tc>
              <w:tc>
                <w:tcPr>
                  <w:tcW w:w="2885"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科目名称</w:t>
                  </w:r>
                </w:p>
              </w:tc>
              <w:tc>
                <w:tcPr>
                  <w:tcW w:w="1876" w:type="dxa"/>
                  <w:vMerge w:val="continue"/>
                  <w:tcBorders>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707" w:type="dxa"/>
                  <w:vMerge w:val="continue"/>
                  <w:tcBorders>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p>
              </w:tc>
              <w:tc>
                <w:tcPr>
                  <w:tcW w:w="1688" w:type="dxa"/>
                  <w:vMerge w:val="continue"/>
                  <w:tcBorders>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59" w:type="dxa"/>
                  <w:vMerge w:val="continue"/>
                  <w:tcBorders>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676" w:type="dxa"/>
                  <w:vMerge w:val="continue"/>
                  <w:tcBorders>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957" w:type="dxa"/>
                  <w:vMerge w:val="continue"/>
                  <w:tcBorders>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325" w:type="dxa"/>
                  <w:gridSpan w:val="3"/>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栏次</w:t>
                  </w:r>
                </w:p>
              </w:tc>
              <w:tc>
                <w:tcPr>
                  <w:tcW w:w="187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w:t>
                  </w:r>
                </w:p>
              </w:tc>
              <w:tc>
                <w:tcPr>
                  <w:tcW w:w="1707"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w:t>
                  </w:r>
                </w:p>
              </w:tc>
              <w:tc>
                <w:tcPr>
                  <w:tcW w:w="1688"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w:t>
                  </w:r>
                </w:p>
              </w:tc>
              <w:tc>
                <w:tcPr>
                  <w:tcW w:w="1659"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4</w:t>
                  </w:r>
                </w:p>
              </w:tc>
              <w:tc>
                <w:tcPr>
                  <w:tcW w:w="1676"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w:t>
                  </w:r>
                </w:p>
              </w:tc>
              <w:tc>
                <w:tcPr>
                  <w:tcW w:w="1957" w:type="dxa"/>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440" w:type="dxa"/>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213</w:t>
                  </w:r>
                </w:p>
              </w:tc>
              <w:tc>
                <w:tcPr>
                  <w:tcW w:w="2885"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 农林水支出</w:t>
                  </w:r>
                </w:p>
              </w:tc>
              <w:tc>
                <w:tcPr>
                  <w:tcW w:w="1876"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5.00 </w:t>
                  </w:r>
                </w:p>
              </w:tc>
              <w:tc>
                <w:tcPr>
                  <w:tcW w:w="170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68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5.00</w:t>
                  </w:r>
                </w:p>
              </w:tc>
              <w:tc>
                <w:tcPr>
                  <w:tcW w:w="165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676"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95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trPr>
              <w:tc>
                <w:tcPr>
                  <w:tcW w:w="1440" w:type="dxa"/>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21301</w:t>
                  </w:r>
                </w:p>
              </w:tc>
              <w:tc>
                <w:tcPr>
                  <w:tcW w:w="2885"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14:textFill>
                        <w14:solidFill>
                          <w14:schemeClr w14:val="tx1"/>
                        </w14:solidFill>
                      </w14:textFill>
                    </w:rPr>
                  </w:pPr>
                  <w:r>
                    <w:rPr>
                      <w:rFonts w:hint="eastAsia" w:ascii="仿宋" w:hAnsi="仿宋" w:eastAsia="仿宋" w:cs="仿宋"/>
                      <w:color w:val="000000" w:themeColor="text1"/>
                      <w:kern w:val="0"/>
                      <w:sz w:val="22"/>
                      <w:szCs w:val="22"/>
                      <w:lang w:eastAsia="zh-CN"/>
                      <w14:textFill>
                        <w14:solidFill>
                          <w14:schemeClr w14:val="tx1"/>
                        </w14:solidFill>
                      </w14:textFill>
                    </w:rPr>
                    <w:t>农业农村</w:t>
                  </w:r>
                </w:p>
              </w:tc>
              <w:tc>
                <w:tcPr>
                  <w:tcW w:w="1876"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5.00 </w:t>
                  </w:r>
                </w:p>
              </w:tc>
              <w:tc>
                <w:tcPr>
                  <w:tcW w:w="170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68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5.00</w:t>
                  </w:r>
                </w:p>
              </w:tc>
              <w:tc>
                <w:tcPr>
                  <w:tcW w:w="165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676"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95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440" w:type="dxa"/>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2130111</w:t>
                  </w:r>
                </w:p>
              </w:tc>
              <w:tc>
                <w:tcPr>
                  <w:tcW w:w="2885"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14:textFill>
                        <w14:solidFill>
                          <w14:schemeClr w14:val="tx1"/>
                        </w14:solidFill>
                      </w14:textFill>
                    </w:rPr>
                  </w:pPr>
                  <w:r>
                    <w:rPr>
                      <w:rFonts w:hint="eastAsia" w:ascii="仿宋" w:hAnsi="仿宋" w:eastAsia="仿宋" w:cs="仿宋"/>
                      <w:color w:val="000000" w:themeColor="text1"/>
                      <w:kern w:val="0"/>
                      <w:sz w:val="22"/>
                      <w:szCs w:val="22"/>
                      <w:lang w:eastAsia="zh-CN"/>
                      <w14:textFill>
                        <w14:solidFill>
                          <w14:schemeClr w14:val="tx1"/>
                        </w14:solidFill>
                      </w14:textFill>
                    </w:rPr>
                    <w:t>统计监测与信息服务</w:t>
                  </w:r>
                </w:p>
              </w:tc>
              <w:tc>
                <w:tcPr>
                  <w:tcW w:w="1876"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5.00 </w:t>
                  </w:r>
                </w:p>
              </w:tc>
              <w:tc>
                <w:tcPr>
                  <w:tcW w:w="170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68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5.00</w:t>
                  </w:r>
                </w:p>
              </w:tc>
              <w:tc>
                <w:tcPr>
                  <w:tcW w:w="165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676"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95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440" w:type="dxa"/>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221</w:t>
                  </w:r>
                </w:p>
              </w:tc>
              <w:tc>
                <w:tcPr>
                  <w:tcW w:w="2885"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14:textFill>
                        <w14:solidFill>
                          <w14:schemeClr w14:val="tx1"/>
                        </w14:solidFill>
                      </w14:textFill>
                    </w:rPr>
                  </w:pPr>
                  <w:r>
                    <w:rPr>
                      <w:rFonts w:hint="eastAsia" w:ascii="仿宋" w:hAnsi="仿宋" w:eastAsia="仿宋" w:cs="仿宋"/>
                      <w:color w:val="000000" w:themeColor="text1"/>
                      <w:kern w:val="0"/>
                      <w:sz w:val="22"/>
                      <w:szCs w:val="22"/>
                      <w:lang w:eastAsia="zh-CN"/>
                      <w14:textFill>
                        <w14:solidFill>
                          <w14:schemeClr w14:val="tx1"/>
                        </w14:solidFill>
                      </w14:textFill>
                    </w:rPr>
                    <w:t>住房保障支出</w:t>
                  </w:r>
                </w:p>
              </w:tc>
              <w:tc>
                <w:tcPr>
                  <w:tcW w:w="1876"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744.00 </w:t>
                  </w:r>
                </w:p>
              </w:tc>
              <w:tc>
                <w:tcPr>
                  <w:tcW w:w="170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744.00 </w:t>
                  </w:r>
                </w:p>
              </w:tc>
              <w:tc>
                <w:tcPr>
                  <w:tcW w:w="168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65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676"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95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440" w:type="dxa"/>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22102</w:t>
                  </w:r>
                </w:p>
              </w:tc>
              <w:tc>
                <w:tcPr>
                  <w:tcW w:w="2885"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eastAsia="zh-CN"/>
                      <w14:textFill>
                        <w14:solidFill>
                          <w14:schemeClr w14:val="tx1"/>
                        </w14:solidFill>
                      </w14:textFill>
                    </w:rPr>
                  </w:pPr>
                  <w:r>
                    <w:rPr>
                      <w:rFonts w:hint="eastAsia" w:ascii="仿宋" w:hAnsi="仿宋" w:eastAsia="仿宋" w:cs="仿宋"/>
                      <w:color w:val="000000" w:themeColor="text1"/>
                      <w:kern w:val="0"/>
                      <w:sz w:val="22"/>
                      <w:szCs w:val="22"/>
                      <w:lang w:eastAsia="zh-CN"/>
                      <w14:textFill>
                        <w14:solidFill>
                          <w14:schemeClr w14:val="tx1"/>
                        </w14:solidFill>
                      </w14:textFill>
                    </w:rPr>
                    <w:t>住房改革支出</w:t>
                  </w:r>
                </w:p>
              </w:tc>
              <w:tc>
                <w:tcPr>
                  <w:tcW w:w="1876"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744.00 </w:t>
                  </w:r>
                </w:p>
              </w:tc>
              <w:tc>
                <w:tcPr>
                  <w:tcW w:w="170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744.00 </w:t>
                  </w:r>
                </w:p>
              </w:tc>
              <w:tc>
                <w:tcPr>
                  <w:tcW w:w="168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65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676"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95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trPr>
              <w:tc>
                <w:tcPr>
                  <w:tcW w:w="1440" w:type="dxa"/>
                  <w:gridSpan w:val="2"/>
                  <w:tcBorders>
                    <w:top w:val="single" w:color="auto" w:sz="4" w:space="0"/>
                    <w:left w:val="single" w:color="auto" w:sz="4" w:space="0"/>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2210201</w:t>
                  </w:r>
                </w:p>
              </w:tc>
              <w:tc>
                <w:tcPr>
                  <w:tcW w:w="2885" w:type="dxa"/>
                  <w:tcBorders>
                    <w:top w:val="nil"/>
                    <w:left w:val="nil"/>
                    <w:bottom w:val="single" w:color="auto" w:sz="4" w:space="0"/>
                    <w:right w:val="single" w:color="auto" w:sz="4" w:space="0"/>
                  </w:tcBorders>
                  <w:shd w:val="clear" w:color="auto" w:fill="FFFFFF"/>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住房公积金</w:t>
                  </w:r>
                </w:p>
              </w:tc>
              <w:tc>
                <w:tcPr>
                  <w:tcW w:w="1876"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744.00 </w:t>
                  </w:r>
                </w:p>
              </w:tc>
              <w:tc>
                <w:tcPr>
                  <w:tcW w:w="1707"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744.00 </w:t>
                  </w:r>
                </w:p>
              </w:tc>
              <w:tc>
                <w:tcPr>
                  <w:tcW w:w="1688"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65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676"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c>
                <w:tcPr>
                  <w:tcW w:w="1957"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14888"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注：1.本表反映部门本年度各项支出情况。</w:t>
                  </w:r>
                </w:p>
              </w:tc>
            </w:tr>
          </w:tbl>
          <w:p>
            <w:pPr>
              <w:keepNext w:val="0"/>
              <w:keepLines w:val="0"/>
              <w:widowControl w:val="0"/>
              <w:suppressLineNumbers w:val="0"/>
              <w:spacing w:before="0" w:beforeAutospacing="0" w:after="0" w:afterAutospacing="0"/>
              <w:ind w:left="0" w:right="0" w:firstLine="440" w:firstLineChars="200"/>
              <w:jc w:val="both"/>
              <w:rPr>
                <w:rFonts w:hint="default" w:ascii="Calibri" w:hAnsi="Calibri" w:eastAsia="宋体" w:cs="Times New Roman"/>
                <w:color w:val="000000" w:themeColor="text1"/>
                <w:kern w:val="2"/>
                <w:sz w:val="21"/>
                <w:szCs w:val="21"/>
                <w14:textFill>
                  <w14:solidFill>
                    <w14:schemeClr w14:val="tx1"/>
                  </w14:solidFill>
                </w14:textFill>
              </w:rPr>
            </w:pPr>
            <w:r>
              <w:rPr>
                <w:rFonts w:hint="eastAsia" w:ascii="仿宋" w:hAnsi="仿宋" w:eastAsia="仿宋" w:cs="宋体"/>
                <w:kern w:val="0"/>
                <w:sz w:val="22"/>
                <w:lang w:val="en-US" w:eastAsia="zh-CN"/>
              </w:rPr>
              <w:t>2.</w:t>
            </w:r>
            <w:r>
              <w:rPr>
                <w:rFonts w:hint="eastAsia" w:ascii="仿宋" w:hAnsi="仿宋" w:eastAsia="仿宋" w:cs="宋体"/>
                <w:kern w:val="0"/>
                <w:sz w:val="22"/>
              </w:rPr>
              <w:t>本套报表金额单位转换时可能存在尾数误差。</w:t>
            </w: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r>
      <w:tr>
        <w:tblPrEx>
          <w:tblCellMar>
            <w:top w:w="0" w:type="dxa"/>
            <w:left w:w="108" w:type="dxa"/>
            <w:bottom w:w="0" w:type="dxa"/>
            <w:right w:w="108" w:type="dxa"/>
          </w:tblCellMar>
        </w:tblPrEx>
        <w:trPr>
          <w:trHeight w:val="360" w:hRule="atLeast"/>
        </w:trPr>
        <w:tc>
          <w:tcPr>
            <w:tcW w:w="15523" w:type="dxa"/>
            <w:gridSpan w:val="38"/>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黑体" w:hAnsi="黑体" w:eastAsia="黑体" w:cs="黑体"/>
                <w:color w:val="000000" w:themeColor="text1"/>
                <w:kern w:val="2"/>
                <w:sz w:val="32"/>
                <w:szCs w:val="32"/>
                <w:lang w:val="en-US" w:eastAsia="zh-CN" w:bidi="ar-SA"/>
                <w14:textFill>
                  <w14:solidFill>
                    <w14:schemeClr w14:val="tx1"/>
                  </w14:solidFill>
                </w14:textFill>
              </w:rPr>
            </w:pPr>
            <w:bookmarkStart w:id="0" w:name="RANGE!A1:F16"/>
          </w:p>
          <w:p>
            <w:pPr>
              <w:keepNext w:val="0"/>
              <w:keepLines w:val="0"/>
              <w:widowControl/>
              <w:suppressLineNumbers w:val="0"/>
              <w:spacing w:before="0" w:beforeAutospacing="0" w:after="0" w:afterAutospacing="0"/>
              <w:ind w:left="0" w:right="0"/>
              <w:jc w:val="center"/>
              <w:rPr>
                <w:rFonts w:hint="default" w:ascii="华文中宋" w:hAnsi="华文中宋" w:eastAsia="华文中宋" w:cs="宋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四、财政拨款收入支出决算总表</w:t>
            </w:r>
          </w:p>
        </w:tc>
      </w:tr>
      <w:tr>
        <w:tblPrEx>
          <w:tblCellMar>
            <w:top w:w="0" w:type="dxa"/>
            <w:left w:w="108" w:type="dxa"/>
            <w:bottom w:w="0" w:type="dxa"/>
            <w:right w:w="108" w:type="dxa"/>
          </w:tblCellMar>
        </w:tblPrEx>
        <w:trPr>
          <w:trHeight w:val="199" w:hRule="atLeast"/>
        </w:trPr>
        <w:tc>
          <w:tcPr>
            <w:tcW w:w="3592" w:type="dxa"/>
            <w:gridSpan w:val="7"/>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436" w:type="dxa"/>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84"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3537" w:type="dxa"/>
            <w:gridSpan w:val="9"/>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440" w:type="dxa"/>
            <w:gridSpan w:val="2"/>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3"/>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3"/>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公开04表</w:t>
            </w:r>
          </w:p>
        </w:tc>
      </w:tr>
      <w:tr>
        <w:tblPrEx>
          <w:tblCellMar>
            <w:top w:w="0" w:type="dxa"/>
            <w:left w:w="108" w:type="dxa"/>
            <w:bottom w:w="0" w:type="dxa"/>
            <w:right w:w="108" w:type="dxa"/>
          </w:tblCellMar>
        </w:tblPrEx>
        <w:trPr>
          <w:trHeight w:val="392" w:hRule="atLeast"/>
        </w:trPr>
        <w:tc>
          <w:tcPr>
            <w:tcW w:w="5612" w:type="dxa"/>
            <w:gridSpan w:val="12"/>
            <w:tcBorders>
              <w:top w:val="nil"/>
              <w:left w:val="nil"/>
              <w:bottom w:val="nil"/>
              <w:right w:val="nil"/>
            </w:tcBorders>
            <w:shd w:val="clear" w:color="000000" w:fill="FFFFFF"/>
            <w:noWrap/>
            <w:vAlign w:val="center"/>
          </w:tcPr>
          <w:p>
            <w:pPr>
              <w:keepNext w:val="0"/>
              <w:keepLines w:val="0"/>
              <w:widowControl/>
              <w:suppressLineNumbers w:val="0"/>
              <w:tabs>
                <w:tab w:val="left" w:pos="766"/>
                <w:tab w:val="right" w:pos="5736"/>
              </w:tabs>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宋体"/>
                <w:color w:val="000000"/>
                <w:kern w:val="0"/>
                <w:sz w:val="22"/>
              </w:rPr>
              <w:t>部门：长沙环境保护职业技术学院</w:t>
            </w:r>
            <w:r>
              <w:rPr>
                <w:rFonts w:hint="eastAsia" w:ascii="仿宋" w:hAnsi="仿宋" w:eastAsia="仿宋" w:cs="仿宋"/>
                <w:color w:val="000000" w:themeColor="text1"/>
                <w:kern w:val="0"/>
                <w:sz w:val="22"/>
                <w:szCs w:val="22"/>
                <w14:textFill>
                  <w14:solidFill>
                    <w14:schemeClr w14:val="tx1"/>
                  </w14:solidFill>
                </w14:textFill>
              </w:rPr>
              <w:t>　</w:t>
            </w:r>
          </w:p>
        </w:tc>
        <w:tc>
          <w:tcPr>
            <w:tcW w:w="3537" w:type="dxa"/>
            <w:gridSpan w:val="9"/>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p>
        </w:tc>
        <w:tc>
          <w:tcPr>
            <w:tcW w:w="440" w:type="dxa"/>
            <w:gridSpan w:val="2"/>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3"/>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3"/>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单位：万元</w:t>
            </w:r>
          </w:p>
        </w:tc>
      </w:tr>
      <w:tr>
        <w:tblPrEx>
          <w:tblCellMar>
            <w:top w:w="0" w:type="dxa"/>
            <w:left w:w="108" w:type="dxa"/>
            <w:bottom w:w="0" w:type="dxa"/>
            <w:right w:w="108" w:type="dxa"/>
          </w:tblCellMar>
        </w:tblPrEx>
        <w:trPr>
          <w:trHeight w:val="402" w:hRule="atLeast"/>
        </w:trPr>
        <w:tc>
          <w:tcPr>
            <w:tcW w:w="5612" w:type="dxa"/>
            <w:gridSpan w:val="12"/>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收入</w:t>
            </w:r>
          </w:p>
        </w:tc>
        <w:tc>
          <w:tcPr>
            <w:tcW w:w="9911" w:type="dxa"/>
            <w:gridSpan w:val="26"/>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支出</w:t>
            </w:r>
          </w:p>
        </w:tc>
      </w:tr>
      <w:tr>
        <w:tblPrEx>
          <w:tblCellMar>
            <w:top w:w="0" w:type="dxa"/>
            <w:left w:w="108" w:type="dxa"/>
            <w:bottom w:w="0" w:type="dxa"/>
            <w:right w:w="108" w:type="dxa"/>
          </w:tblCellMar>
        </w:tblPrEx>
        <w:trPr>
          <w:trHeight w:val="630"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项    目</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行次</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金额</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项    目</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行次</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合计</w:t>
            </w:r>
          </w:p>
        </w:tc>
        <w:tc>
          <w:tcPr>
            <w:tcW w:w="1394"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一般公共预算财政拨款</w:t>
            </w:r>
          </w:p>
        </w:tc>
        <w:tc>
          <w:tcPr>
            <w:tcW w:w="1394"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政府性基金预算财政拨款</w:t>
            </w:r>
          </w:p>
        </w:tc>
        <w:tc>
          <w:tcPr>
            <w:tcW w:w="1573" w:type="dxa"/>
            <w:gridSpan w:val="5"/>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国有资本经营预算财政拨款</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栏    次</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栏    次</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4</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5</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14227.13</w:t>
            </w: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一、一般公共服务支出</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15</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2.50</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2.50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二、教育支出</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16</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10653.18</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10653.18</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三、科学技术支出</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17</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0.83</w:t>
            </w: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0.83</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4</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四、社会保障和就业支出</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18</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1321.15</w:t>
            </w: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1321.15</w:t>
            </w: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5</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eastAsia" w:ascii="仿宋" w:hAnsi="仿宋" w:eastAsia="仿宋" w:cs="仿宋"/>
                <w:color w:val="000000" w:themeColor="text1"/>
                <w:kern w:val="0"/>
                <w:sz w:val="22"/>
                <w:szCs w:val="22"/>
                <w:lang w:eastAsia="zh-CN"/>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五、</w:t>
            </w:r>
            <w:r>
              <w:rPr>
                <w:rFonts w:hint="eastAsia" w:ascii="仿宋" w:hAnsi="仿宋" w:eastAsia="仿宋" w:cs="仿宋"/>
                <w:color w:val="000000" w:themeColor="text1"/>
                <w:kern w:val="0"/>
                <w:sz w:val="22"/>
                <w:szCs w:val="22"/>
                <w:lang w:eastAsia="zh-CN"/>
                <w14:textFill>
                  <w14:solidFill>
                    <w14:schemeClr w14:val="tx1"/>
                  </w14:solidFill>
                </w14:textFill>
              </w:rPr>
              <w:t>卫生健康支出</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19</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32.00</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32.00</w:t>
            </w: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6</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六、节能环保支出</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20</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176.58</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176.58</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7</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lang w:eastAsia="zh-CN"/>
                <w14:textFill>
                  <w14:solidFill>
                    <w14:schemeClr w14:val="tx1"/>
                  </w14:solidFill>
                </w14:textFill>
              </w:rPr>
            </w:pPr>
            <w:r>
              <w:rPr>
                <w:rFonts w:hint="eastAsia" w:ascii="仿宋" w:hAnsi="仿宋" w:eastAsia="仿宋" w:cs="仿宋"/>
                <w:color w:val="000000" w:themeColor="text1"/>
                <w:kern w:val="0"/>
                <w:sz w:val="22"/>
                <w:szCs w:val="22"/>
                <w:lang w:eastAsia="zh-CN"/>
                <w14:textFill>
                  <w14:solidFill>
                    <w14:schemeClr w14:val="tx1"/>
                  </w14:solidFill>
                </w14:textFill>
              </w:rPr>
              <w:t>七、农林水支出</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21</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5.00</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5.00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8</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lang w:eastAsia="zh-CN"/>
                <w14:textFill>
                  <w14:solidFill>
                    <w14:schemeClr w14:val="tx1"/>
                  </w14:solidFill>
                </w14:textFill>
              </w:rPr>
            </w:pPr>
            <w:r>
              <w:rPr>
                <w:rFonts w:hint="eastAsia" w:ascii="仿宋" w:hAnsi="仿宋" w:eastAsia="仿宋" w:cs="仿宋"/>
                <w:color w:val="000000" w:themeColor="text1"/>
                <w:kern w:val="0"/>
                <w:sz w:val="22"/>
                <w:szCs w:val="22"/>
                <w:lang w:eastAsia="zh-CN"/>
                <w14:textFill>
                  <w14:solidFill>
                    <w14:schemeClr w14:val="tx1"/>
                  </w14:solidFill>
                </w14:textFill>
              </w:rPr>
              <w:t>八、住房保障支出</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22</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744.00</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744.00</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000000" w:themeColor="text1"/>
                <w:kern w:val="0"/>
                <w:sz w:val="22"/>
                <w:szCs w:val="22"/>
                <w14:textFill>
                  <w14:solidFill>
                    <w14:schemeClr w14:val="tx1"/>
                  </w14:solidFill>
                </w14:textFill>
              </w:rPr>
            </w:pPr>
            <w:r>
              <w:rPr>
                <w:rFonts w:hint="eastAsia" w:ascii="仿宋" w:hAnsi="仿宋" w:eastAsia="仿宋" w:cs="仿宋"/>
                <w:b/>
                <w:bCs/>
                <w:color w:val="000000" w:themeColor="text1"/>
                <w:kern w:val="0"/>
                <w:sz w:val="22"/>
                <w:szCs w:val="22"/>
                <w14:textFill>
                  <w14:solidFill>
                    <w14:schemeClr w14:val="tx1"/>
                  </w14:solidFill>
                </w14:textFill>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9</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14227.13</w:t>
            </w: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000000" w:themeColor="text1"/>
                <w:kern w:val="0"/>
                <w:sz w:val="22"/>
                <w:szCs w:val="22"/>
                <w14:textFill>
                  <w14:solidFill>
                    <w14:schemeClr w14:val="tx1"/>
                  </w14:solidFill>
                </w14:textFill>
              </w:rPr>
            </w:pPr>
            <w:r>
              <w:rPr>
                <w:rFonts w:hint="eastAsia" w:ascii="仿宋" w:hAnsi="仿宋" w:eastAsia="仿宋" w:cs="仿宋"/>
                <w:b/>
                <w:bCs/>
                <w:color w:val="000000" w:themeColor="text1"/>
                <w:kern w:val="0"/>
                <w:sz w:val="22"/>
                <w:szCs w:val="22"/>
                <w14:textFill>
                  <w14:solidFill>
                    <w14:schemeClr w14:val="tx1"/>
                  </w14:solidFill>
                </w14:textFill>
              </w:rPr>
              <w:t>本年支出合计</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23</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12935.24</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12935.24</w:t>
            </w: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b/>
                <w:bCs/>
                <w:color w:val="000000" w:themeColor="text1"/>
                <w:kern w:val="0"/>
                <w:sz w:val="22"/>
                <w:szCs w:val="22"/>
                <w14:textFill>
                  <w14:solidFill>
                    <w14:schemeClr w14:val="tx1"/>
                  </w14:solidFill>
                </w14:textFill>
              </w:rPr>
            </w:pPr>
            <w:r>
              <w:rPr>
                <w:rFonts w:hint="eastAsia" w:ascii="仿宋" w:hAnsi="仿宋" w:eastAsia="仿宋" w:cs="仿宋"/>
                <w:b/>
                <w:bCs/>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10</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1737.07</w:t>
            </w: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年末财政拨款结转和结余</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24</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3028.96</w:t>
            </w: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3028.96</w:t>
            </w: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11</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1737.07</w:t>
            </w: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25</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12</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26</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13</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072"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27</w:t>
            </w:r>
          </w:p>
        </w:tc>
        <w:tc>
          <w:tcPr>
            <w:tcW w:w="1573"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402" w:hRule="atLeast"/>
        </w:trPr>
        <w:tc>
          <w:tcPr>
            <w:tcW w:w="3592" w:type="dxa"/>
            <w:gridSpan w:val="7"/>
            <w:tcBorders>
              <w:top w:val="nil"/>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000000" w:themeColor="text1"/>
                <w:kern w:val="0"/>
                <w:sz w:val="22"/>
                <w:szCs w:val="22"/>
                <w14:textFill>
                  <w14:solidFill>
                    <w14:schemeClr w14:val="tx1"/>
                  </w14:solidFill>
                </w14:textFill>
              </w:rPr>
            </w:pPr>
            <w:r>
              <w:rPr>
                <w:rFonts w:hint="eastAsia" w:ascii="仿宋" w:hAnsi="仿宋" w:eastAsia="仿宋" w:cs="仿宋"/>
                <w:b/>
                <w:bCs/>
                <w:color w:val="000000" w:themeColor="text1"/>
                <w:kern w:val="0"/>
                <w:sz w:val="22"/>
                <w:szCs w:val="22"/>
                <w14:textFill>
                  <w14:solidFill>
                    <w14:schemeClr w14:val="tx1"/>
                  </w14:solidFill>
                </w14:textFill>
              </w:rPr>
              <w:t>总计</w:t>
            </w:r>
          </w:p>
        </w:tc>
        <w:tc>
          <w:tcPr>
            <w:tcW w:w="436"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14</w:t>
            </w:r>
          </w:p>
        </w:tc>
        <w:tc>
          <w:tcPr>
            <w:tcW w:w="1584" w:type="dxa"/>
            <w:gridSpan w:val="4"/>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15964.20</w:t>
            </w:r>
            <w:r>
              <w:rPr>
                <w:rFonts w:hint="eastAsia" w:ascii="仿宋" w:hAnsi="仿宋" w:eastAsia="仿宋" w:cs="仿宋"/>
                <w:color w:val="000000" w:themeColor="text1"/>
                <w:kern w:val="0"/>
                <w:sz w:val="22"/>
                <w:szCs w:val="22"/>
                <w14:textFill>
                  <w14:solidFill>
                    <w14:schemeClr w14:val="tx1"/>
                  </w14:solidFill>
                </w14:textFill>
              </w:rPr>
              <w:t>　</w:t>
            </w:r>
          </w:p>
        </w:tc>
        <w:tc>
          <w:tcPr>
            <w:tcW w:w="2905" w:type="dxa"/>
            <w:gridSpan w:val="7"/>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000000" w:themeColor="text1"/>
                <w:kern w:val="0"/>
                <w:sz w:val="22"/>
                <w:szCs w:val="22"/>
                <w14:textFill>
                  <w14:solidFill>
                    <w14:schemeClr w14:val="tx1"/>
                  </w14:solidFill>
                </w14:textFill>
              </w:rPr>
            </w:pPr>
            <w:r>
              <w:rPr>
                <w:rFonts w:hint="eastAsia" w:ascii="仿宋" w:hAnsi="仿宋" w:eastAsia="仿宋" w:cs="仿宋"/>
                <w:b/>
                <w:bCs/>
                <w:color w:val="000000" w:themeColor="text1"/>
                <w:kern w:val="0"/>
                <w:sz w:val="22"/>
                <w:szCs w:val="22"/>
                <w14:textFill>
                  <w14:solidFill>
                    <w14:schemeClr w14:val="tx1"/>
                  </w14:solidFill>
                </w14:textFill>
              </w:rPr>
              <w:t>总计</w:t>
            </w:r>
          </w:p>
        </w:tc>
        <w:tc>
          <w:tcPr>
            <w:tcW w:w="1072" w:type="dxa"/>
            <w:gridSpan w:val="4"/>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28</w:t>
            </w:r>
          </w:p>
        </w:tc>
        <w:tc>
          <w:tcPr>
            <w:tcW w:w="1573"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15964.20</w:t>
            </w:r>
          </w:p>
        </w:tc>
        <w:tc>
          <w:tcPr>
            <w:tcW w:w="1394" w:type="dxa"/>
            <w:gridSpan w:val="4"/>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15964.20</w:t>
            </w:r>
            <w:r>
              <w:rPr>
                <w:rFonts w:hint="eastAsia" w:ascii="仿宋" w:hAnsi="仿宋" w:eastAsia="仿宋" w:cs="仿宋"/>
                <w:color w:val="000000" w:themeColor="text1"/>
                <w:kern w:val="0"/>
                <w:sz w:val="22"/>
                <w:szCs w:val="22"/>
                <w14:textFill>
                  <w14:solidFill>
                    <w14:schemeClr w14:val="tx1"/>
                  </w14:solidFill>
                </w14:textFill>
              </w:rPr>
              <w:t>　</w:t>
            </w:r>
          </w:p>
        </w:tc>
        <w:tc>
          <w:tcPr>
            <w:tcW w:w="1394" w:type="dxa"/>
            <w:gridSpan w:val="3"/>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b/>
                <w:bCs/>
                <w:color w:val="000000" w:themeColor="text1"/>
                <w:kern w:val="0"/>
                <w:sz w:val="22"/>
                <w:szCs w:val="22"/>
                <w14:textFill>
                  <w14:solidFill>
                    <w14:schemeClr w14:val="tx1"/>
                  </w14:solidFill>
                </w14:textFill>
              </w:rPr>
            </w:pPr>
            <w:r>
              <w:rPr>
                <w:rFonts w:hint="eastAsia" w:ascii="仿宋" w:hAnsi="仿宋" w:eastAsia="仿宋" w:cs="仿宋"/>
                <w:b/>
                <w:bCs/>
                <w:color w:val="000000" w:themeColor="text1"/>
                <w:kern w:val="0"/>
                <w:sz w:val="22"/>
                <w:szCs w:val="22"/>
                <w14:textFill>
                  <w14:solidFill>
                    <w14:schemeClr w14:val="tx1"/>
                  </w14:solidFill>
                </w14:textFill>
              </w:rPr>
              <w:t>　</w:t>
            </w:r>
          </w:p>
        </w:tc>
        <w:tc>
          <w:tcPr>
            <w:tcW w:w="1573" w:type="dxa"/>
            <w:gridSpan w:val="5"/>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b/>
                <w:bCs/>
                <w:color w:val="000000" w:themeColor="text1"/>
                <w:kern w:val="0"/>
                <w:sz w:val="22"/>
                <w:szCs w:val="22"/>
                <w14:textFill>
                  <w14:solidFill>
                    <w14:schemeClr w14:val="tx1"/>
                  </w14:solidFill>
                </w14:textFill>
              </w:rPr>
            </w:pPr>
            <w:r>
              <w:rPr>
                <w:rFonts w:hint="eastAsia" w:ascii="仿宋" w:hAnsi="仿宋" w:eastAsia="仿宋" w:cs="仿宋"/>
                <w:b/>
                <w:bCs/>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585" w:hRule="atLeast"/>
        </w:trPr>
        <w:tc>
          <w:tcPr>
            <w:tcW w:w="15523" w:type="dxa"/>
            <w:gridSpan w:val="38"/>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color w:val="000000" w:themeColor="text1"/>
          <w:kern w:val="0"/>
          <w:sz w:val="36"/>
          <w:szCs w:val="36"/>
          <w14:textFill>
            <w14:solidFill>
              <w14:schemeClr w14:val="tx1"/>
            </w14:solidFill>
          </w14:textFill>
        </w:rPr>
      </w:pPr>
    </w:p>
    <w:p>
      <w:pPr>
        <w:widowControl/>
        <w:jc w:val="center"/>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五、一般公共预算财政拨款支出决算表</w:t>
      </w:r>
      <w:bookmarkEnd w:id="0"/>
      <w:r>
        <w:rPr>
          <w:rFonts w:hint="eastAsia" w:ascii="黑体" w:hAnsi="黑体" w:eastAsia="黑体" w:cs="黑体"/>
          <w:color w:val="000000" w:themeColor="text1"/>
          <w:kern w:val="2"/>
          <w:sz w:val="32"/>
          <w:szCs w:val="32"/>
          <w:lang w:val="en-US" w:eastAsia="zh-CN" w:bidi="ar-SA"/>
          <w14:textFill>
            <w14:solidFill>
              <w14:schemeClr w14:val="tx1"/>
            </w14:solidFill>
          </w14:textFill>
        </w:rPr>
        <w:t>（一）</w:t>
      </w:r>
    </w:p>
    <w:p>
      <w:pPr>
        <w:widowControl/>
        <w:spacing w:before="156" w:beforeLines="5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Times New Roman" w:hAnsi="Times New Roman" w:eastAsia="仿宋_GB2312" w:cs="Times New Roman"/>
          <w:color w:val="000000" w:themeColor="text1"/>
          <w:kern w:val="0"/>
          <w:szCs w:val="21"/>
          <w14:textFill>
            <w14:solidFill>
              <w14:schemeClr w14:val="tx1"/>
            </w14:solidFill>
          </w14:textFill>
        </w:rPr>
        <w:t xml:space="preserve">                        </w:t>
      </w:r>
      <w:r>
        <w:rPr>
          <w:rFonts w:ascii="Times New Roman" w:hAnsi="Times New Roman" w:eastAsia="仿宋_GB2312" w:cs="Times New Roman"/>
          <w:color w:val="000000" w:themeColor="text1"/>
          <w:kern w:val="0"/>
          <w:szCs w:val="21"/>
          <w14:textFill>
            <w14:solidFill>
              <w14:schemeClr w14:val="tx1"/>
            </w14:solidFill>
          </w14:textFill>
        </w:rPr>
        <w:t xml:space="preserve">                 </w:t>
      </w:r>
      <w:r>
        <w:rPr>
          <w:rFonts w:hint="eastAsia" w:ascii="Times New Roman" w:hAnsi="Times New Roman" w:eastAsia="仿宋_GB2312" w:cs="Times New Roman"/>
          <w:color w:val="000000" w:themeColor="text1"/>
          <w:kern w:val="0"/>
          <w:szCs w:val="21"/>
          <w14:textFill>
            <w14:solidFill>
              <w14:schemeClr w14:val="tx1"/>
            </w14:solidFill>
          </w14:textFill>
        </w:rPr>
        <w:t xml:space="preserve">                                          </w:t>
      </w:r>
      <w:r>
        <w:rPr>
          <w:rFonts w:ascii="Times New Roman" w:hAnsi="Times New Roman" w:eastAsia="仿宋_GB2312" w:cs="Times New Roman"/>
          <w:color w:val="000000" w:themeColor="text1"/>
          <w:kern w:val="0"/>
          <w:szCs w:val="21"/>
          <w14:textFill>
            <w14:solidFill>
              <w14:schemeClr w14:val="tx1"/>
            </w14:solidFill>
          </w14:textFill>
        </w:rPr>
        <w:t xml:space="preserve">                               </w:t>
      </w:r>
      <w:r>
        <w:rPr>
          <w:rFonts w:hint="eastAsia" w:ascii="Times New Roman" w:hAnsi="Times New Roman" w:eastAsia="仿宋_GB2312" w:cs="Times New Roman"/>
          <w:color w:val="000000" w:themeColor="text1"/>
          <w:kern w:val="0"/>
          <w:szCs w:val="21"/>
          <w:lang w:val="en-US" w:eastAsia="zh-CN"/>
          <w14:textFill>
            <w14:solidFill>
              <w14:schemeClr w14:val="tx1"/>
            </w14:solidFill>
          </w14:textFill>
        </w:rPr>
        <w:t xml:space="preserve">   </w:t>
      </w:r>
      <w:r>
        <w:rPr>
          <w:rFonts w:ascii="Times New Roman" w:hAnsi="Times New Roman" w:eastAsia="仿宋_GB2312" w:cs="Times New Roman"/>
          <w:color w:val="000000" w:themeColor="text1"/>
          <w:kern w:val="0"/>
          <w:szCs w:val="21"/>
          <w14:textFill>
            <w14:solidFill>
              <w14:schemeClr w14:val="tx1"/>
            </w14:solidFill>
          </w14:textFill>
        </w:rPr>
        <w:t xml:space="preserve">   </w:t>
      </w:r>
      <w:r>
        <w:rPr>
          <w:rFonts w:hint="eastAsia" w:ascii="Times New Roman" w:hAnsi="Times New Roman" w:eastAsia="仿宋_GB2312" w:cs="Times New Roman"/>
          <w:color w:val="000000" w:themeColor="text1"/>
          <w:kern w:val="0"/>
          <w:szCs w:val="21"/>
          <w:lang w:val="en-US" w:eastAsia="zh-CN"/>
          <w14:textFill>
            <w14:solidFill>
              <w14:schemeClr w14:val="tx1"/>
            </w14:solidFill>
          </w14:textFill>
        </w:rPr>
        <w:t xml:space="preserve">     </w:t>
      </w:r>
      <w:r>
        <w:rPr>
          <w:rFonts w:hint="eastAsia" w:ascii="仿宋" w:hAnsi="仿宋" w:eastAsia="仿宋" w:cs="仿宋"/>
          <w:color w:val="000000" w:themeColor="text1"/>
          <w:kern w:val="0"/>
          <w:sz w:val="22"/>
          <w:szCs w:val="22"/>
          <w14:textFill>
            <w14:solidFill>
              <w14:schemeClr w14:val="tx1"/>
            </w14:solidFill>
          </w14:textFill>
        </w:rPr>
        <w:t>公开05表</w:t>
      </w:r>
    </w:p>
    <w:p>
      <w:pPr>
        <w:widowControl/>
        <w:ind w:left="13420" w:hanging="13420" w:hangingChars="610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w:t>
      </w:r>
      <w:r>
        <w:rPr>
          <w:rFonts w:hint="eastAsia" w:ascii="仿宋" w:hAnsi="仿宋" w:eastAsia="仿宋" w:cs="宋体"/>
          <w:color w:val="000000"/>
          <w:kern w:val="0"/>
          <w:sz w:val="22"/>
        </w:rPr>
        <w:t>部门：长沙环境保护职业技术学院</w:t>
      </w:r>
      <w:r>
        <w:rPr>
          <w:rFonts w:hint="eastAsia" w:ascii="仿宋" w:hAnsi="仿宋" w:eastAsia="仿宋" w:cs="仿宋"/>
          <w:color w:val="000000" w:themeColor="text1"/>
          <w:kern w:val="0"/>
          <w:sz w:val="22"/>
          <w:szCs w:val="22"/>
          <w14:textFill>
            <w14:solidFill>
              <w14:schemeClr w14:val="tx1"/>
            </w14:solidFill>
          </w14:textFill>
        </w:rPr>
        <w:t xml:space="preserve">      </w:t>
      </w:r>
      <w:r>
        <w:rPr>
          <w:rFonts w:hint="eastAsia" w:ascii="仿宋" w:hAnsi="仿宋" w:eastAsia="仿宋" w:cs="仿宋"/>
          <w:color w:val="000000" w:themeColor="text1"/>
          <w:kern w:val="0"/>
          <w:sz w:val="22"/>
          <w:szCs w:val="22"/>
          <w:lang w:val="en-US" w:eastAsia="zh-CN"/>
          <w14:textFill>
            <w14:solidFill>
              <w14:schemeClr w14:val="tx1"/>
            </w14:solidFill>
          </w14:textFill>
        </w:rPr>
        <w:t xml:space="preserve">                                                                              </w:t>
      </w:r>
      <w:r>
        <w:rPr>
          <w:rFonts w:hint="eastAsia" w:ascii="仿宋" w:hAnsi="仿宋" w:eastAsia="仿宋" w:cs="仿宋"/>
          <w:color w:val="000000" w:themeColor="text1"/>
          <w:kern w:val="0"/>
          <w:sz w:val="22"/>
          <w:szCs w:val="22"/>
          <w14:textFill>
            <w14:solidFill>
              <w14:schemeClr w14:val="tx1"/>
            </w14:solidFill>
          </w14:textFill>
        </w:rPr>
        <w:t xml:space="preserve">单位：万元                                                                                                      </w:t>
      </w:r>
      <w:r>
        <w:rPr>
          <w:rFonts w:hint="eastAsia" w:ascii="仿宋" w:hAnsi="仿宋" w:eastAsia="仿宋" w:cs="仿宋"/>
          <w:color w:val="000000" w:themeColor="text1"/>
          <w:kern w:val="0"/>
          <w:sz w:val="22"/>
          <w:szCs w:val="22"/>
          <w:lang w:val="en-US" w:eastAsia="zh-CN"/>
          <w14:textFill>
            <w14:solidFill>
              <w14:schemeClr w14:val="tx1"/>
            </w14:solidFill>
          </w14:textFill>
        </w:rPr>
        <w:t xml:space="preserve">      </w:t>
      </w:r>
      <w:r>
        <w:rPr>
          <w:rFonts w:hint="eastAsia" w:ascii="仿宋" w:hAnsi="仿宋" w:eastAsia="仿宋" w:cs="仿宋"/>
          <w:color w:val="000000" w:themeColor="text1"/>
          <w:kern w:val="0"/>
          <w:sz w:val="22"/>
          <w:szCs w:val="22"/>
          <w14:textFill>
            <w14:solidFill>
              <w14:schemeClr w14:val="tx1"/>
            </w14:solidFill>
          </w14:textFill>
        </w:rPr>
        <w:t xml:space="preserve">  </w:t>
      </w:r>
    </w:p>
    <w:tbl>
      <w:tblPr>
        <w:tblStyle w:val="10"/>
        <w:tblW w:w="148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246"/>
        <w:gridCol w:w="3937"/>
        <w:gridCol w:w="3330"/>
        <w:gridCol w:w="3173"/>
        <w:gridCol w:w="31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5183" w:type="dxa"/>
            <w:gridSpan w:val="2"/>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项    目</w:t>
            </w:r>
          </w:p>
        </w:tc>
        <w:tc>
          <w:tcPr>
            <w:tcW w:w="9636" w:type="dxa"/>
            <w:gridSpan w:val="3"/>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本年支出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功能分类科目编码</w:t>
            </w:r>
          </w:p>
        </w:tc>
        <w:tc>
          <w:tcPr>
            <w:tcW w:w="3937"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科目名称</w:t>
            </w:r>
          </w:p>
        </w:tc>
        <w:tc>
          <w:tcPr>
            <w:tcW w:w="3330"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小计</w:t>
            </w:r>
          </w:p>
        </w:tc>
        <w:tc>
          <w:tcPr>
            <w:tcW w:w="3173"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基本支出</w:t>
            </w:r>
          </w:p>
        </w:tc>
        <w:tc>
          <w:tcPr>
            <w:tcW w:w="3133"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项目支出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937"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330"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173"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133"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1246"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937"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330"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173"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133"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5183" w:type="dxa"/>
            <w:gridSpan w:val="2"/>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栏次</w:t>
            </w:r>
          </w:p>
        </w:tc>
        <w:tc>
          <w:tcPr>
            <w:tcW w:w="3330"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c>
          <w:tcPr>
            <w:tcW w:w="3173"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w:t>
            </w:r>
          </w:p>
        </w:tc>
        <w:tc>
          <w:tcPr>
            <w:tcW w:w="3133"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5183" w:type="dxa"/>
            <w:gridSpan w:val="2"/>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合计</w:t>
            </w:r>
          </w:p>
        </w:tc>
        <w:tc>
          <w:tcPr>
            <w:tcW w:w="3330" w:type="dxa"/>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12935.24</w:t>
            </w:r>
          </w:p>
        </w:tc>
        <w:tc>
          <w:tcPr>
            <w:tcW w:w="317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6798.92</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3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6136.32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5"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201</w:t>
            </w:r>
          </w:p>
        </w:tc>
        <w:tc>
          <w:tcPr>
            <w:tcW w:w="393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一般公共服务支出</w:t>
            </w:r>
          </w:p>
        </w:tc>
        <w:tc>
          <w:tcPr>
            <w:tcW w:w="3330" w:type="dxa"/>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2.50</w:t>
            </w:r>
          </w:p>
        </w:tc>
        <w:tc>
          <w:tcPr>
            <w:tcW w:w="317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3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20106</w:t>
            </w:r>
          </w:p>
        </w:tc>
        <w:tc>
          <w:tcPr>
            <w:tcW w:w="393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财政事务</w:t>
            </w:r>
          </w:p>
        </w:tc>
        <w:tc>
          <w:tcPr>
            <w:tcW w:w="3330" w:type="dxa"/>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1.70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7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3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1.70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2010699</w:t>
            </w:r>
          </w:p>
        </w:tc>
        <w:tc>
          <w:tcPr>
            <w:tcW w:w="393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其他财政事务支出</w:t>
            </w:r>
          </w:p>
        </w:tc>
        <w:tc>
          <w:tcPr>
            <w:tcW w:w="3330" w:type="dxa"/>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1.70</w:t>
            </w:r>
          </w:p>
        </w:tc>
        <w:tc>
          <w:tcPr>
            <w:tcW w:w="317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3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20132</w:t>
            </w:r>
          </w:p>
        </w:tc>
        <w:tc>
          <w:tcPr>
            <w:tcW w:w="393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组织事务</w:t>
            </w:r>
          </w:p>
        </w:tc>
        <w:tc>
          <w:tcPr>
            <w:tcW w:w="3330" w:type="dxa"/>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0.81</w:t>
            </w:r>
          </w:p>
        </w:tc>
        <w:tc>
          <w:tcPr>
            <w:tcW w:w="317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3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0.81</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2013299</w:t>
            </w:r>
          </w:p>
        </w:tc>
        <w:tc>
          <w:tcPr>
            <w:tcW w:w="393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其他组织事务支出</w:t>
            </w:r>
          </w:p>
        </w:tc>
        <w:tc>
          <w:tcPr>
            <w:tcW w:w="3330" w:type="dxa"/>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0.81</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7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3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0.81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205</w:t>
            </w:r>
          </w:p>
        </w:tc>
        <w:tc>
          <w:tcPr>
            <w:tcW w:w="3937" w:type="dxa"/>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教育支出</w:t>
            </w:r>
          </w:p>
        </w:tc>
        <w:tc>
          <w:tcPr>
            <w:tcW w:w="3330"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10653.19</w:t>
            </w:r>
          </w:p>
        </w:tc>
        <w:tc>
          <w:tcPr>
            <w:tcW w:w="317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4727.93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3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5925.26</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20503</w:t>
            </w:r>
          </w:p>
        </w:tc>
        <w:tc>
          <w:tcPr>
            <w:tcW w:w="3937" w:type="dxa"/>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职业教育</w:t>
            </w:r>
          </w:p>
        </w:tc>
        <w:tc>
          <w:tcPr>
            <w:tcW w:w="3330"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10653.19</w:t>
            </w:r>
          </w:p>
        </w:tc>
        <w:tc>
          <w:tcPr>
            <w:tcW w:w="317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4727.93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3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5925.26</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2050302</w:t>
            </w:r>
          </w:p>
        </w:tc>
        <w:tc>
          <w:tcPr>
            <w:tcW w:w="3937" w:type="dxa"/>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中等职业教育</w:t>
            </w:r>
          </w:p>
        </w:tc>
        <w:tc>
          <w:tcPr>
            <w:tcW w:w="3330"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11.2</w:t>
            </w:r>
          </w:p>
        </w:tc>
        <w:tc>
          <w:tcPr>
            <w:tcW w:w="317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3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11.2</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2050305</w:t>
            </w:r>
          </w:p>
        </w:tc>
        <w:tc>
          <w:tcPr>
            <w:tcW w:w="3937" w:type="dxa"/>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  高等职业教育</w:t>
            </w:r>
          </w:p>
        </w:tc>
        <w:tc>
          <w:tcPr>
            <w:tcW w:w="3330"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10642.06</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7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4727.92</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3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5914.14</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206</w:t>
            </w:r>
          </w:p>
        </w:tc>
        <w:tc>
          <w:tcPr>
            <w:tcW w:w="393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科学技术支出</w:t>
            </w:r>
          </w:p>
        </w:tc>
        <w:tc>
          <w:tcPr>
            <w:tcW w:w="3330" w:type="dxa"/>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0.83</w:t>
            </w:r>
          </w:p>
        </w:tc>
        <w:tc>
          <w:tcPr>
            <w:tcW w:w="317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0.00</w:t>
            </w:r>
          </w:p>
        </w:tc>
        <w:tc>
          <w:tcPr>
            <w:tcW w:w="313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0.83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20607</w:t>
            </w:r>
          </w:p>
        </w:tc>
        <w:tc>
          <w:tcPr>
            <w:tcW w:w="393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科学技术普及</w:t>
            </w:r>
          </w:p>
        </w:tc>
        <w:tc>
          <w:tcPr>
            <w:tcW w:w="3330"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0.83</w:t>
            </w:r>
          </w:p>
        </w:tc>
        <w:tc>
          <w:tcPr>
            <w:tcW w:w="317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0.00</w:t>
            </w:r>
          </w:p>
        </w:tc>
        <w:tc>
          <w:tcPr>
            <w:tcW w:w="313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0.83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2060799</w:t>
            </w:r>
          </w:p>
        </w:tc>
        <w:tc>
          <w:tcPr>
            <w:tcW w:w="393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其他科学技术普及支出</w:t>
            </w:r>
          </w:p>
        </w:tc>
        <w:tc>
          <w:tcPr>
            <w:tcW w:w="3330"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0.83</w:t>
            </w:r>
          </w:p>
        </w:tc>
        <w:tc>
          <w:tcPr>
            <w:tcW w:w="317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0.00</w:t>
            </w:r>
          </w:p>
        </w:tc>
        <w:tc>
          <w:tcPr>
            <w:tcW w:w="313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0.83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208</w:t>
            </w:r>
          </w:p>
        </w:tc>
        <w:tc>
          <w:tcPr>
            <w:tcW w:w="393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b/>
                <w:bCs/>
                <w:i w:val="0"/>
                <w:iCs w:val="0"/>
                <w:color w:val="000000" w:themeColor="text1"/>
                <w:kern w:val="0"/>
                <w:sz w:val="16"/>
                <w:szCs w:val="16"/>
                <w:u w:val="none"/>
                <w:lang w:val="en-US" w:eastAsia="zh-CN" w:bidi="ar"/>
                <w14:textFill>
                  <w14:solidFill>
                    <w14:schemeClr w14:val="tx1"/>
                  </w14:solidFill>
                </w14:textFill>
              </w:rPr>
              <w:t>社会保障和就业支出</w:t>
            </w:r>
          </w:p>
        </w:tc>
        <w:tc>
          <w:tcPr>
            <w:tcW w:w="3330" w:type="dxa"/>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1321.15</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7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3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26.15</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7"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20801</w:t>
            </w:r>
          </w:p>
        </w:tc>
        <w:tc>
          <w:tcPr>
            <w:tcW w:w="393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b/>
                <w:bCs/>
                <w:i w:val="0"/>
                <w:iCs w:val="0"/>
                <w:color w:val="000000" w:themeColor="text1"/>
                <w:kern w:val="0"/>
                <w:sz w:val="16"/>
                <w:szCs w:val="16"/>
                <w:u w:val="none"/>
                <w:lang w:val="en-US" w:eastAsia="zh-CN" w:bidi="ar"/>
                <w14:textFill>
                  <w14:solidFill>
                    <w14:schemeClr w14:val="tx1"/>
                  </w14:solidFill>
                </w14:textFill>
              </w:rPr>
              <w:t>人力资源和社会保障管理事务</w:t>
            </w:r>
          </w:p>
        </w:tc>
        <w:tc>
          <w:tcPr>
            <w:tcW w:w="3330" w:type="dxa"/>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12.18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7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33"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12.18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7"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2080199</w:t>
            </w:r>
          </w:p>
        </w:tc>
        <w:tc>
          <w:tcPr>
            <w:tcW w:w="393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其他人力资源和社会保障管理事务支出</w:t>
            </w:r>
          </w:p>
        </w:tc>
        <w:tc>
          <w:tcPr>
            <w:tcW w:w="3330"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12.18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7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3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12.18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7" w:hRule="atLeast"/>
          <w:jc w:val="center"/>
        </w:trPr>
        <w:tc>
          <w:tcPr>
            <w:tcW w:w="1246"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20805</w:t>
            </w:r>
          </w:p>
        </w:tc>
        <w:tc>
          <w:tcPr>
            <w:tcW w:w="393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16"/>
                <w:szCs w:val="16"/>
                <w:u w:val="none"/>
                <w:lang w:val="en-US" w:eastAsia="zh-CN" w:bidi="ar"/>
                <w14:textFill>
                  <w14:solidFill>
                    <w14:schemeClr w14:val="tx1"/>
                  </w14:solidFill>
                </w14:textFill>
              </w:rPr>
              <w:t>行政事业单位养老支出</w:t>
            </w:r>
          </w:p>
        </w:tc>
        <w:tc>
          <w:tcPr>
            <w:tcW w:w="3330"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7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33"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bl>
    <w:p>
      <w:pPr>
        <w:widowControl/>
        <w:jc w:val="center"/>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五、一般公共预算财政拨款支出决算表（二）</w:t>
      </w:r>
    </w:p>
    <w:p>
      <w:pPr>
        <w:widowControl/>
        <w:spacing w:before="156" w:beforeLines="5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Times New Roman" w:hAnsi="Times New Roman" w:eastAsia="仿宋_GB2312" w:cs="Times New Roman"/>
          <w:color w:val="000000" w:themeColor="text1"/>
          <w:kern w:val="0"/>
          <w:szCs w:val="21"/>
          <w14:textFill>
            <w14:solidFill>
              <w14:schemeClr w14:val="tx1"/>
            </w14:solidFill>
          </w14:textFill>
        </w:rPr>
        <w:t xml:space="preserve">                        </w:t>
      </w:r>
      <w:r>
        <w:rPr>
          <w:rFonts w:ascii="Times New Roman" w:hAnsi="Times New Roman" w:eastAsia="仿宋_GB2312" w:cs="Times New Roman"/>
          <w:color w:val="000000" w:themeColor="text1"/>
          <w:kern w:val="0"/>
          <w:szCs w:val="21"/>
          <w14:textFill>
            <w14:solidFill>
              <w14:schemeClr w14:val="tx1"/>
            </w14:solidFill>
          </w14:textFill>
        </w:rPr>
        <w:t xml:space="preserve">                 </w:t>
      </w:r>
      <w:r>
        <w:rPr>
          <w:rFonts w:hint="eastAsia" w:ascii="Times New Roman" w:hAnsi="Times New Roman" w:eastAsia="仿宋_GB2312" w:cs="Times New Roman"/>
          <w:color w:val="000000" w:themeColor="text1"/>
          <w:kern w:val="0"/>
          <w:szCs w:val="21"/>
          <w14:textFill>
            <w14:solidFill>
              <w14:schemeClr w14:val="tx1"/>
            </w14:solidFill>
          </w14:textFill>
        </w:rPr>
        <w:t xml:space="preserve">                                          </w:t>
      </w:r>
      <w:r>
        <w:rPr>
          <w:rFonts w:ascii="Times New Roman" w:hAnsi="Times New Roman" w:eastAsia="仿宋_GB2312" w:cs="Times New Roman"/>
          <w:color w:val="000000" w:themeColor="text1"/>
          <w:kern w:val="0"/>
          <w:szCs w:val="21"/>
          <w14:textFill>
            <w14:solidFill>
              <w14:schemeClr w14:val="tx1"/>
            </w14:solidFill>
          </w14:textFill>
        </w:rPr>
        <w:t xml:space="preserve">                               </w:t>
      </w:r>
      <w:r>
        <w:rPr>
          <w:rFonts w:hint="eastAsia" w:ascii="Times New Roman" w:hAnsi="Times New Roman" w:eastAsia="仿宋_GB2312" w:cs="Times New Roman"/>
          <w:color w:val="000000" w:themeColor="text1"/>
          <w:kern w:val="0"/>
          <w:szCs w:val="21"/>
          <w:lang w:val="en-US" w:eastAsia="zh-CN"/>
          <w14:textFill>
            <w14:solidFill>
              <w14:schemeClr w14:val="tx1"/>
            </w14:solidFill>
          </w14:textFill>
        </w:rPr>
        <w:t xml:space="preserve">   </w:t>
      </w:r>
      <w:r>
        <w:rPr>
          <w:rFonts w:ascii="Times New Roman" w:hAnsi="Times New Roman" w:eastAsia="仿宋_GB2312" w:cs="Times New Roman"/>
          <w:color w:val="000000" w:themeColor="text1"/>
          <w:kern w:val="0"/>
          <w:szCs w:val="21"/>
          <w14:textFill>
            <w14:solidFill>
              <w14:schemeClr w14:val="tx1"/>
            </w14:solidFill>
          </w14:textFill>
        </w:rPr>
        <w:t xml:space="preserve">   </w:t>
      </w:r>
      <w:r>
        <w:rPr>
          <w:rFonts w:hint="eastAsia" w:ascii="Times New Roman" w:hAnsi="Times New Roman" w:eastAsia="仿宋_GB2312" w:cs="Times New Roman"/>
          <w:color w:val="000000" w:themeColor="text1"/>
          <w:kern w:val="0"/>
          <w:szCs w:val="21"/>
          <w:lang w:val="en-US" w:eastAsia="zh-CN"/>
          <w14:textFill>
            <w14:solidFill>
              <w14:schemeClr w14:val="tx1"/>
            </w14:solidFill>
          </w14:textFill>
        </w:rPr>
        <w:t xml:space="preserve">        </w:t>
      </w:r>
      <w:r>
        <w:rPr>
          <w:rFonts w:hint="eastAsia" w:ascii="仿宋" w:hAnsi="仿宋" w:eastAsia="仿宋" w:cs="仿宋"/>
          <w:color w:val="000000" w:themeColor="text1"/>
          <w:kern w:val="0"/>
          <w:sz w:val="22"/>
          <w:szCs w:val="22"/>
          <w14:textFill>
            <w14:solidFill>
              <w14:schemeClr w14:val="tx1"/>
            </w14:solidFill>
          </w14:textFill>
        </w:rPr>
        <w:t xml:space="preserve">  公开05表</w:t>
      </w:r>
    </w:p>
    <w:p>
      <w:pPr>
        <w:widowControl/>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w:t>
      </w:r>
      <w:r>
        <w:rPr>
          <w:rFonts w:hint="eastAsia" w:ascii="仿宋" w:hAnsi="仿宋" w:eastAsia="仿宋" w:cs="仿宋"/>
          <w:color w:val="000000" w:themeColor="text1"/>
          <w:kern w:val="0"/>
          <w:sz w:val="22"/>
          <w:szCs w:val="22"/>
          <w:lang w:val="en-US" w:eastAsia="zh-CN"/>
          <w14:textFill>
            <w14:solidFill>
              <w14:schemeClr w14:val="tx1"/>
            </w14:solidFill>
          </w14:textFill>
        </w:rPr>
        <w:t xml:space="preserve">      </w:t>
      </w:r>
      <w:r>
        <w:rPr>
          <w:rFonts w:hint="eastAsia" w:ascii="仿宋" w:hAnsi="仿宋" w:eastAsia="仿宋" w:cs="仿宋"/>
          <w:color w:val="000000" w:themeColor="text1"/>
          <w:kern w:val="0"/>
          <w:sz w:val="22"/>
          <w:szCs w:val="22"/>
          <w14:textFill>
            <w14:solidFill>
              <w14:schemeClr w14:val="tx1"/>
            </w14:solidFill>
          </w14:textFill>
        </w:rPr>
        <w:t xml:space="preserve">  单位：万元</w:t>
      </w:r>
    </w:p>
    <w:tbl>
      <w:tblPr>
        <w:tblStyle w:val="10"/>
        <w:tblW w:w="149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255"/>
        <w:gridCol w:w="3977"/>
        <w:gridCol w:w="3359"/>
        <w:gridCol w:w="3202"/>
        <w:gridCol w:w="316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5232" w:type="dxa"/>
            <w:gridSpan w:val="2"/>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项    目</w:t>
            </w:r>
          </w:p>
        </w:tc>
        <w:tc>
          <w:tcPr>
            <w:tcW w:w="9727" w:type="dxa"/>
            <w:gridSpan w:val="3"/>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本年支出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功能分类科目编码</w:t>
            </w:r>
          </w:p>
        </w:tc>
        <w:tc>
          <w:tcPr>
            <w:tcW w:w="3977"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科目名称</w:t>
            </w:r>
          </w:p>
        </w:tc>
        <w:tc>
          <w:tcPr>
            <w:tcW w:w="3359"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小计</w:t>
            </w:r>
          </w:p>
        </w:tc>
        <w:tc>
          <w:tcPr>
            <w:tcW w:w="3202"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基本支出</w:t>
            </w:r>
          </w:p>
        </w:tc>
        <w:tc>
          <w:tcPr>
            <w:tcW w:w="3166"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color w:val="000000" w:themeColor="text1"/>
                <w:kern w:val="0"/>
                <w:sz w:val="22"/>
                <w:szCs w:val="22"/>
                <w14:textFill>
                  <w14:solidFill>
                    <w14:schemeClr w14:val="tx1"/>
                  </w14:solidFill>
                </w14:textFill>
              </w:rPr>
            </w:pPr>
            <w:r>
              <w:rPr>
                <w:rFonts w:hint="eastAsia" w:ascii="仿宋" w:hAnsi="仿宋" w:eastAsia="仿宋" w:cs="仿宋"/>
                <w:b/>
                <w:color w:val="000000" w:themeColor="text1"/>
                <w:kern w:val="0"/>
                <w:sz w:val="22"/>
                <w:szCs w:val="22"/>
                <w14:textFill>
                  <w14:solidFill>
                    <w14:schemeClr w14:val="tx1"/>
                  </w14:solidFill>
                </w14:textFill>
              </w:rPr>
              <w:t>项目支出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977"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359"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202"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166"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977"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359"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202"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3166" w:type="dxa"/>
            <w:vMerge w:val="continue"/>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5232" w:type="dxa"/>
            <w:gridSpan w:val="2"/>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栏次</w:t>
            </w:r>
          </w:p>
        </w:tc>
        <w:tc>
          <w:tcPr>
            <w:tcW w:w="3359"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c>
          <w:tcPr>
            <w:tcW w:w="3202"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w:t>
            </w:r>
          </w:p>
        </w:tc>
        <w:tc>
          <w:tcPr>
            <w:tcW w:w="3166"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2080505</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机关事业单位基本养老保险缴费支出</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1295.00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20807</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就业补助</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13.97</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13.97</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2080701</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就业创业服务补贴</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13.97</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13.97</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2080799</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其他就业补助支出</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13.97</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13.97</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b/>
                <w:bCs/>
                <w:i w:val="0"/>
                <w:iCs w:val="0"/>
                <w:color w:val="000000"/>
                <w:kern w:val="0"/>
                <w:sz w:val="20"/>
                <w:szCs w:val="20"/>
                <w:u w:val="none"/>
                <w:lang w:val="en-US" w:eastAsia="zh-CN" w:bidi="ar"/>
              </w:rPr>
              <w:t>210</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b/>
                <w:bCs/>
                <w:i w:val="0"/>
                <w:iCs w:val="0"/>
                <w:color w:val="000000"/>
                <w:kern w:val="0"/>
                <w:sz w:val="20"/>
                <w:szCs w:val="20"/>
                <w:u w:val="none"/>
                <w:lang w:val="en-US" w:eastAsia="zh-CN" w:bidi="ar"/>
              </w:rPr>
              <w:t>卫生健康支出</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b/>
                <w:bCs/>
                <w:i w:val="0"/>
                <w:iCs w:val="0"/>
                <w:color w:val="000000"/>
                <w:kern w:val="0"/>
                <w:sz w:val="20"/>
                <w:szCs w:val="20"/>
                <w:u w:val="none"/>
                <w:lang w:val="en-US" w:eastAsia="zh-CN" w:bidi="ar"/>
              </w:rPr>
              <w:t>21011</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2101102</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32.00</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211</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节能环保支出</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176.58</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176.58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21103</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污染防治</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156.58</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156.58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2110302</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水体</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152.30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152.30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2110399</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其他污染防治支出</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4.28</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0.00</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4.28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21110</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能源节约利用</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20.00</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0.00</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20.00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2111001</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能源节约利用</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20.00</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0.00</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20.00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213</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农林水支出</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default"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21301</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农业农村</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2130111</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统计监测与信息服务</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SA"/>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221</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住房保障支出</w:t>
            </w:r>
          </w:p>
        </w:tc>
        <w:tc>
          <w:tcPr>
            <w:tcW w:w="3359" w:type="dxa"/>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744.00</w:t>
            </w:r>
          </w:p>
        </w:tc>
        <w:tc>
          <w:tcPr>
            <w:tcW w:w="3202"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744.00</w:t>
            </w:r>
          </w:p>
        </w:tc>
        <w:tc>
          <w:tcPr>
            <w:tcW w:w="3166" w:type="dxa"/>
            <w:shd w:val="clear" w:color="auto" w:fill="auto"/>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22102</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住房改革支出</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744.00</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744.00</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7" w:hRule="atLeast"/>
          <w:jc w:val="center"/>
        </w:trPr>
        <w:tc>
          <w:tcPr>
            <w:tcW w:w="125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2210201</w:t>
            </w:r>
          </w:p>
        </w:tc>
        <w:tc>
          <w:tcPr>
            <w:tcW w:w="397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住房公积金</w:t>
            </w:r>
          </w:p>
        </w:tc>
        <w:tc>
          <w:tcPr>
            <w:tcW w:w="3359" w:type="dxa"/>
            <w:shd w:val="clear" w:color="auto" w:fill="auto"/>
            <w:vAlign w:val="center"/>
          </w:tcPr>
          <w:p>
            <w:pPr>
              <w:keepNext w:val="0"/>
              <w:keepLines w:val="0"/>
              <w:widowControl/>
              <w:suppressLineNumbers w:val="0"/>
              <w:spacing w:before="0" w:beforeAutospacing="0" w:after="0" w:afterAutospacing="0"/>
              <w:ind w:left="0" w:leftChars="0" w:right="0" w:rightChars="0"/>
              <w:jc w:val="right"/>
              <w:textAlignment w:val="center"/>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744.00</w:t>
            </w:r>
          </w:p>
        </w:tc>
        <w:tc>
          <w:tcPr>
            <w:tcW w:w="3202"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744.00</w:t>
            </w:r>
          </w:p>
        </w:tc>
        <w:tc>
          <w:tcPr>
            <w:tcW w:w="3166" w:type="dxa"/>
            <w:shd w:val="clear" w:color="auto" w:fill="auto"/>
            <w:vAlign w:val="bottom"/>
          </w:tcPr>
          <w:p>
            <w:pPr>
              <w:keepNext w:val="0"/>
              <w:keepLines w:val="0"/>
              <w:widowControl/>
              <w:suppressLineNumbers w:val="0"/>
              <w:spacing w:before="0" w:beforeAutospacing="0" w:after="0" w:afterAutospacing="0"/>
              <w:ind w:left="0" w:leftChars="0" w:right="0" w:rightChars="0"/>
              <w:jc w:val="right"/>
              <w:textAlignment w:val="bottom"/>
              <w:rPr>
                <w:rFonts w:hint="eastAsia" w:ascii="仿宋" w:hAnsi="仿宋" w:eastAsia="仿宋" w:cs="仿宋"/>
                <w:color w:val="000000" w:themeColor="text1"/>
                <w:kern w:val="0"/>
                <w:sz w:val="22"/>
                <w:szCs w:val="22"/>
                <w:lang w:val="en-US" w:eastAsia="zh-CN" w:bidi="ar"/>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p>
        </w:tc>
      </w:tr>
    </w:tbl>
    <w:p>
      <w:pPr>
        <w:widowControl/>
        <w:numPr>
          <w:ilvl w:val="0"/>
          <w:numId w:val="2"/>
        </w:numPr>
        <w:jc w:val="center"/>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一般公共预算财政拨款基本支出决算表</w:t>
      </w:r>
    </w:p>
    <w:p>
      <w:pPr>
        <w:widowControl/>
        <w:spacing w:before="156" w:beforeLines="50"/>
        <w:ind w:firstLine="14080" w:firstLineChars="640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公开0</w:t>
      </w:r>
      <w:r>
        <w:rPr>
          <w:rFonts w:hint="eastAsia" w:ascii="仿宋" w:hAnsi="仿宋" w:eastAsia="仿宋" w:cs="仿宋"/>
          <w:color w:val="000000" w:themeColor="text1"/>
          <w:kern w:val="0"/>
          <w:sz w:val="22"/>
          <w:szCs w:val="22"/>
          <w:lang w:val="en-US" w:eastAsia="zh-CN"/>
          <w14:textFill>
            <w14:solidFill>
              <w14:schemeClr w14:val="tx1"/>
            </w14:solidFill>
          </w14:textFill>
        </w:rPr>
        <w:t>6</w:t>
      </w:r>
      <w:r>
        <w:rPr>
          <w:rFonts w:hint="eastAsia" w:ascii="仿宋" w:hAnsi="仿宋" w:eastAsia="仿宋" w:cs="仿宋"/>
          <w:color w:val="000000" w:themeColor="text1"/>
          <w:kern w:val="0"/>
          <w:sz w:val="22"/>
          <w:szCs w:val="22"/>
          <w14:textFill>
            <w14:solidFill>
              <w14:schemeClr w14:val="tx1"/>
            </w14:solidFill>
          </w14:textFill>
        </w:rPr>
        <w:t>表</w:t>
      </w:r>
    </w:p>
    <w:p>
      <w:pPr>
        <w:widowControl/>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w:t>
      </w:r>
      <w:r>
        <w:rPr>
          <w:rFonts w:hint="eastAsia" w:ascii="仿宋" w:hAnsi="仿宋" w:eastAsia="仿宋" w:cs="宋体"/>
          <w:color w:val="000000"/>
          <w:kern w:val="0"/>
          <w:sz w:val="22"/>
        </w:rPr>
        <w:t>部门：长沙环境保护职业技术学院</w:t>
      </w:r>
      <w:r>
        <w:rPr>
          <w:rFonts w:hint="eastAsia" w:ascii="仿宋" w:hAnsi="仿宋" w:eastAsia="仿宋" w:cs="仿宋"/>
          <w:color w:val="000000" w:themeColor="text1"/>
          <w:kern w:val="0"/>
          <w:sz w:val="22"/>
          <w:szCs w:val="22"/>
          <w14:textFill>
            <w14:solidFill>
              <w14:schemeClr w14:val="tx1"/>
            </w14:solidFill>
          </w14:textFill>
        </w:rPr>
        <w:t xml:space="preserve">                                                                                </w:t>
      </w:r>
      <w:r>
        <w:rPr>
          <w:rFonts w:hint="eastAsia" w:ascii="仿宋" w:hAnsi="仿宋" w:eastAsia="仿宋" w:cs="仿宋"/>
          <w:color w:val="000000" w:themeColor="text1"/>
          <w:kern w:val="0"/>
          <w:sz w:val="22"/>
          <w:szCs w:val="22"/>
          <w:lang w:val="en-US" w:eastAsia="zh-CN"/>
          <w14:textFill>
            <w14:solidFill>
              <w14:schemeClr w14:val="tx1"/>
            </w14:solidFill>
          </w14:textFill>
        </w:rPr>
        <w:t xml:space="preserve">                </w:t>
      </w:r>
      <w:r>
        <w:rPr>
          <w:rFonts w:hint="eastAsia" w:ascii="仿宋" w:hAnsi="仿宋" w:eastAsia="仿宋" w:cs="仿宋"/>
          <w:color w:val="000000" w:themeColor="text1"/>
          <w:kern w:val="0"/>
          <w:sz w:val="22"/>
          <w:szCs w:val="22"/>
          <w14:textFill>
            <w14:solidFill>
              <w14:schemeClr w14:val="tx1"/>
            </w14:solidFill>
          </w14:textFill>
        </w:rPr>
        <w:t xml:space="preserve">单位：万元                            </w:t>
      </w:r>
      <w:r>
        <w:rPr>
          <w:rFonts w:hint="eastAsia" w:ascii="仿宋" w:hAnsi="仿宋" w:eastAsia="仿宋" w:cs="仿宋"/>
          <w:color w:val="000000" w:themeColor="text1"/>
          <w:kern w:val="0"/>
          <w:sz w:val="22"/>
          <w:szCs w:val="22"/>
          <w:lang w:val="en-US" w:eastAsia="zh-CN"/>
          <w14:textFill>
            <w14:solidFill>
              <w14:schemeClr w14:val="tx1"/>
            </w14:solidFill>
          </w14:textFill>
        </w:rPr>
        <w:t xml:space="preserve">      </w:t>
      </w:r>
      <w:r>
        <w:rPr>
          <w:rFonts w:hint="eastAsia" w:ascii="仿宋" w:hAnsi="仿宋" w:eastAsia="仿宋" w:cs="仿宋"/>
          <w:color w:val="000000" w:themeColor="text1"/>
          <w:kern w:val="0"/>
          <w:sz w:val="22"/>
          <w:szCs w:val="22"/>
          <w14:textFill>
            <w14:solidFill>
              <w14:schemeClr w14:val="tx1"/>
            </w14:solidFill>
          </w14:textFill>
        </w:rPr>
        <w:t xml:space="preserve">  </w:t>
      </w:r>
      <w:r>
        <w:rPr>
          <w:rFonts w:hint="eastAsia" w:ascii="仿宋" w:hAnsi="仿宋" w:eastAsia="仿宋" w:cs="仿宋"/>
          <w:color w:val="000000" w:themeColor="text1"/>
          <w:kern w:val="0"/>
          <w:sz w:val="22"/>
          <w:szCs w:val="22"/>
          <w:lang w:val="en-US" w:eastAsia="zh-CN"/>
          <w14:textFill>
            <w14:solidFill>
              <w14:schemeClr w14:val="tx1"/>
            </w14:solidFill>
          </w14:textFill>
        </w:rPr>
        <w:t xml:space="preserve">   </w:t>
      </w:r>
    </w:p>
    <w:tbl>
      <w:tblPr>
        <w:tblStyle w:val="10"/>
        <w:tblW w:w="15380" w:type="dxa"/>
        <w:tblInd w:w="137" w:type="dxa"/>
        <w:tblLayout w:type="fixed"/>
        <w:tblCellMar>
          <w:top w:w="0" w:type="dxa"/>
          <w:left w:w="108" w:type="dxa"/>
          <w:bottom w:w="0" w:type="dxa"/>
          <w:right w:w="108" w:type="dxa"/>
        </w:tblCellMar>
      </w:tblPr>
      <w:tblGrid>
        <w:gridCol w:w="1022"/>
        <w:gridCol w:w="2941"/>
        <w:gridCol w:w="1039"/>
        <w:gridCol w:w="1025"/>
        <w:gridCol w:w="2173"/>
        <w:gridCol w:w="1079"/>
        <w:gridCol w:w="1134"/>
        <w:gridCol w:w="3803"/>
        <w:gridCol w:w="1164"/>
      </w:tblGrid>
      <w:tr>
        <w:tblPrEx>
          <w:tblCellMar>
            <w:top w:w="0" w:type="dxa"/>
            <w:left w:w="108" w:type="dxa"/>
            <w:bottom w:w="0" w:type="dxa"/>
            <w:right w:w="108" w:type="dxa"/>
          </w:tblCellMar>
        </w:tblPrEx>
        <w:trPr>
          <w:trHeight w:val="90" w:hRule="atLeast"/>
        </w:trPr>
        <w:tc>
          <w:tcPr>
            <w:tcW w:w="10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spacing w:val="-11"/>
                <w:kern w:val="0"/>
                <w:sz w:val="22"/>
                <w:szCs w:val="22"/>
                <w14:textFill>
                  <w14:solidFill>
                    <w14:schemeClr w14:val="tx1"/>
                  </w14:solidFill>
                </w14:textFill>
              </w:rPr>
              <w:t>经济分类科目编码</w:t>
            </w:r>
          </w:p>
        </w:tc>
        <w:tc>
          <w:tcPr>
            <w:tcW w:w="294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科目名称</w:t>
            </w:r>
          </w:p>
        </w:tc>
        <w:tc>
          <w:tcPr>
            <w:tcW w:w="103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决算数</w:t>
            </w:r>
          </w:p>
        </w:tc>
        <w:tc>
          <w:tcPr>
            <w:tcW w:w="102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spacing w:val="-11"/>
                <w:kern w:val="0"/>
                <w:sz w:val="22"/>
                <w:szCs w:val="22"/>
                <w14:textFill>
                  <w14:solidFill>
                    <w14:schemeClr w14:val="tx1"/>
                  </w14:solidFill>
                </w14:textFill>
              </w:rPr>
              <w:t>经济分类科目编码</w:t>
            </w:r>
          </w:p>
        </w:tc>
        <w:tc>
          <w:tcPr>
            <w:tcW w:w="217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科目名称</w:t>
            </w:r>
          </w:p>
        </w:tc>
        <w:tc>
          <w:tcPr>
            <w:tcW w:w="107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决算数</w:t>
            </w:r>
          </w:p>
        </w:tc>
        <w:tc>
          <w:tcPr>
            <w:tcW w:w="113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spacing w:val="-11"/>
                <w:kern w:val="0"/>
                <w:sz w:val="22"/>
                <w:szCs w:val="22"/>
                <w14:textFill>
                  <w14:solidFill>
                    <w14:schemeClr w14:val="tx1"/>
                  </w14:solidFill>
                </w14:textFill>
              </w:rPr>
              <w:t>经济分类科目编码</w:t>
            </w:r>
          </w:p>
        </w:tc>
        <w:tc>
          <w:tcPr>
            <w:tcW w:w="380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科目名称</w:t>
            </w:r>
          </w:p>
        </w:tc>
        <w:tc>
          <w:tcPr>
            <w:tcW w:w="116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决算数</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工资福利支出</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6110.13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商品和服务支出</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435.26</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307</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债务利息及费用支出</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r>
              <w:rPr>
                <w:rFonts w:hint="eastAsia" w:ascii="仿宋" w:hAnsi="仿宋" w:eastAsia="仿宋" w:cs="仿宋"/>
                <w:color w:val="000000" w:themeColor="text1"/>
                <w:kern w:val="0"/>
                <w:sz w:val="22"/>
                <w:szCs w:val="22"/>
                <w:lang w:val="en-US" w:eastAsia="zh-CN"/>
                <w14:textFill>
                  <w14:solidFill>
                    <w14:schemeClr w14:val="tx1"/>
                  </w14:solidFill>
                </w14:textFill>
              </w:rPr>
              <w:t>0.00</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30101</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基本工资</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1357.07</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30201</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办公费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26.09</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30701</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国内债务付息</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r>
              <w:rPr>
                <w:rFonts w:hint="eastAsia" w:ascii="仿宋" w:hAnsi="仿宋" w:eastAsia="仿宋" w:cs="仿宋"/>
                <w:color w:val="000000" w:themeColor="text1"/>
                <w:kern w:val="0"/>
                <w:sz w:val="22"/>
                <w:szCs w:val="22"/>
                <w:lang w:val="en-US" w:eastAsia="zh-CN"/>
                <w14:textFill>
                  <w14:solidFill>
                    <w14:schemeClr w14:val="tx1"/>
                  </w14:solidFill>
                </w14:textFill>
              </w:rPr>
              <w:t>0.00</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30102</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津贴补贴</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101.23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30202</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印刷费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11.82</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30702</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国外债务付息</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r>
              <w:rPr>
                <w:rFonts w:hint="eastAsia" w:ascii="仿宋" w:hAnsi="仿宋" w:eastAsia="仿宋" w:cs="仿宋"/>
                <w:color w:val="000000" w:themeColor="text1"/>
                <w:kern w:val="0"/>
                <w:sz w:val="22"/>
                <w:szCs w:val="22"/>
                <w:lang w:val="en-US" w:eastAsia="zh-CN"/>
                <w14:textFill>
                  <w14:solidFill>
                    <w14:schemeClr w14:val="tx1"/>
                  </w14:solidFill>
                </w14:textFill>
              </w:rPr>
              <w:t>0.00</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30103</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奖金</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1275.99</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30203</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咨询费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8.02</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资本性支出</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5.20</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30106</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伙食补助费</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135.81</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30204</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手续费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0</w:t>
            </w:r>
            <w:r>
              <w:rPr>
                <w:rFonts w:hint="eastAsia" w:ascii="仿宋" w:hAnsi="仿宋" w:eastAsia="仿宋" w:cs="仿宋"/>
                <w:color w:val="000000" w:themeColor="text1"/>
                <w:kern w:val="0"/>
                <w:sz w:val="22"/>
                <w:szCs w:val="22"/>
                <w:lang w:val="en-US" w:eastAsia="zh-CN"/>
                <w14:textFill>
                  <w14:solidFill>
                    <w14:schemeClr w14:val="tx1"/>
                  </w14:solidFill>
                </w14:textFill>
              </w:rPr>
              <w:t>.00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31001</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房屋建筑物购建</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0.00</w:t>
            </w: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30107</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绩效工资</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1147.30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30205</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水费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20.00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31002</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办公设备购置</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1.19</w:t>
            </w: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30108</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机关事业单位基本养老保险缴费</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698.14</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30206</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电费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0.00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31003</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专用设备购置</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2.89</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30109</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职业年金缴费</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30207</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邮电费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6.12</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31005</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基础设施建设</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30110</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职工基本医疗保险缴费</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355.18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30208</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取暖费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0</w:t>
            </w:r>
            <w:r>
              <w:rPr>
                <w:rFonts w:hint="eastAsia" w:ascii="仿宋" w:hAnsi="仿宋" w:eastAsia="仿宋" w:cs="仿宋"/>
                <w:color w:val="000000" w:themeColor="text1"/>
                <w:kern w:val="0"/>
                <w:sz w:val="22"/>
                <w:szCs w:val="22"/>
                <w:lang w:val="en-US" w:eastAsia="zh-CN"/>
                <w14:textFill>
                  <w14:solidFill>
                    <w14:schemeClr w14:val="tx1"/>
                  </w14:solidFill>
                </w14:textFill>
              </w:rPr>
              <w:t>.00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31006</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大型修缮</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30111</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公务员医疗补助缴费</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30209</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物业管理费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159.65</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31007</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信息网络及软件购置更新</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30112</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其他社会保障缴费</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88.28</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30211</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差旅费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14.25</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31008</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物资储备</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30113</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住房公积金</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744.00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30212</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因公出国（境）费用</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0</w:t>
            </w:r>
            <w:r>
              <w:rPr>
                <w:rFonts w:hint="eastAsia" w:ascii="仿宋" w:hAnsi="仿宋" w:eastAsia="仿宋" w:cs="仿宋"/>
                <w:color w:val="000000" w:themeColor="text1"/>
                <w:kern w:val="0"/>
                <w:sz w:val="22"/>
                <w:szCs w:val="22"/>
                <w:lang w:val="en-US" w:eastAsia="zh-CN"/>
                <w14:textFill>
                  <w14:solidFill>
                    <w14:schemeClr w14:val="tx1"/>
                  </w14:solidFill>
                </w14:textFill>
              </w:rPr>
              <w:t>.00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31009</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土地补偿</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30114</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医疗费</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45.53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30213</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维修（护）费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75.94</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31010</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安置补助</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30199</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其他工资福利支出</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161.60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30214</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租赁费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1.71</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31011</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地上附着物和青苗补偿</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303</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对个人和家庭的补助</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248.33</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30215</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会议费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8.38</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31012</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拆迁补偿</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30301</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离休费</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0.00</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30216</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培训费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12.06</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31013</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公务用车购置</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30302</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退休费</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30217</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公务接待费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1.06</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31019</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其他交通工具购置</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30303</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退职（役）费</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30218</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专用材料费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3.64</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31021</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文物和陈列品购置</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30304</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抚恤金</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26.19</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30224</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被装购置费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0</w:t>
            </w:r>
            <w:r>
              <w:rPr>
                <w:rFonts w:hint="eastAsia" w:ascii="仿宋" w:hAnsi="仿宋" w:eastAsia="仿宋" w:cs="仿宋"/>
                <w:color w:val="000000" w:themeColor="text1"/>
                <w:kern w:val="0"/>
                <w:sz w:val="22"/>
                <w:szCs w:val="22"/>
                <w:lang w:val="en-US" w:eastAsia="zh-CN"/>
                <w14:textFill>
                  <w14:solidFill>
                    <w14:schemeClr w14:val="tx1"/>
                  </w14:solidFill>
                </w14:textFill>
              </w:rPr>
              <w:t>.00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31022</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无形资产购置</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30305</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生活补助</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113.69</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30225</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专用燃料费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0</w:t>
            </w:r>
            <w:r>
              <w:rPr>
                <w:rFonts w:hint="eastAsia" w:ascii="仿宋" w:hAnsi="仿宋" w:eastAsia="仿宋" w:cs="仿宋"/>
                <w:color w:val="000000" w:themeColor="text1"/>
                <w:kern w:val="0"/>
                <w:sz w:val="22"/>
                <w:szCs w:val="22"/>
                <w:lang w:val="en-US" w:eastAsia="zh-CN"/>
                <w14:textFill>
                  <w14:solidFill>
                    <w14:schemeClr w14:val="tx1"/>
                  </w14:solidFill>
                </w14:textFill>
              </w:rPr>
              <w:t>.00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31099</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其他资本性支出</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1.12</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30306</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救济费</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30226</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劳务费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1.23</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399</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其他支出</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30307</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医疗费补助</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18.56</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30227</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委托业务费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4.66</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39906</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赠与</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30308</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助学金</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39.02</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30228</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工会经费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20</w:t>
            </w:r>
            <w:r>
              <w:rPr>
                <w:rFonts w:hint="eastAsia" w:ascii="仿宋" w:hAnsi="仿宋" w:eastAsia="仿宋" w:cs="仿宋"/>
                <w:color w:val="000000" w:themeColor="text1"/>
                <w:kern w:val="0"/>
                <w:sz w:val="22"/>
                <w:szCs w:val="22"/>
                <w:lang w:val="en-US" w:eastAsia="zh-CN" w:bidi="ar"/>
                <w14:textFill>
                  <w14:solidFill>
                    <w14:schemeClr w14:val="tx1"/>
                  </w14:solidFill>
                </w14:textFill>
              </w:rPr>
              <w:t>.00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39907</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国家赔偿费用支出</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30309</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奖励金</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30229</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福利费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0</w:t>
            </w:r>
            <w:r>
              <w:rPr>
                <w:rFonts w:hint="eastAsia" w:ascii="仿宋" w:hAnsi="仿宋" w:eastAsia="仿宋" w:cs="仿宋"/>
                <w:color w:val="000000" w:themeColor="text1"/>
                <w:kern w:val="0"/>
                <w:sz w:val="22"/>
                <w:szCs w:val="22"/>
                <w:lang w:val="en-US" w:eastAsia="zh-CN" w:bidi="ar"/>
                <w14:textFill>
                  <w14:solidFill>
                    <w14:schemeClr w14:val="tx1"/>
                  </w14:solidFill>
                </w14:textFill>
              </w:rPr>
              <w:t>.00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39908</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对民间非营利组织和群众性自治组织补贴</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30310</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个人农业生产补贴</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30231</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公务用车运行维护费</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7.12</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39999</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其他支出</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30311</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代缴社会保险费</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 xml:space="preserve">0.00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30239</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其他交通费用</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19.46</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30399</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其他对个人和家庭的补助</w:t>
            </w:r>
          </w:p>
        </w:tc>
        <w:tc>
          <w:tcPr>
            <w:tcW w:w="103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50.86</w:t>
            </w:r>
            <w:r>
              <w:rPr>
                <w:rFonts w:hint="eastAsia" w:ascii="仿宋" w:hAnsi="仿宋" w:eastAsia="仿宋" w:cs="仿宋"/>
                <w:color w:val="000000" w:themeColor="text1"/>
                <w:kern w:val="0"/>
                <w:sz w:val="22"/>
                <w:szCs w:val="22"/>
                <w:lang w:bidi="ar"/>
                <w14:textFill>
                  <w14:solidFill>
                    <w14:schemeClr w14:val="tx1"/>
                  </w14:solidFill>
                </w14:textFill>
              </w:rPr>
              <w:t xml:space="preserve">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30240</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税金及附加费用</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bidi="ar"/>
                <w14:textFill>
                  <w14:solidFill>
                    <w14:schemeClr w14:val="tx1"/>
                  </w14:solidFill>
                </w14:textFill>
              </w:rPr>
              <w:t>0</w:t>
            </w:r>
            <w:r>
              <w:rPr>
                <w:rFonts w:hint="eastAsia" w:ascii="仿宋" w:hAnsi="仿宋" w:eastAsia="仿宋" w:cs="仿宋"/>
                <w:color w:val="000000" w:themeColor="text1"/>
                <w:kern w:val="0"/>
                <w:sz w:val="22"/>
                <w:szCs w:val="22"/>
                <w:lang w:val="en-US" w:eastAsia="zh-CN" w:bidi="ar"/>
                <w14:textFill>
                  <w14:solidFill>
                    <w14:schemeClr w14:val="tx1"/>
                  </w14:solidFill>
                </w14:textFill>
              </w:rPr>
              <w:t>.00</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285" w:hRule="exact"/>
        </w:trPr>
        <w:tc>
          <w:tcPr>
            <w:tcW w:w="102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294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03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0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30299</w:t>
            </w:r>
          </w:p>
        </w:tc>
        <w:tc>
          <w:tcPr>
            <w:tcW w:w="217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xml:space="preserve">  其他商品和服务支出</w:t>
            </w:r>
          </w:p>
        </w:tc>
        <w:tc>
          <w:tcPr>
            <w:tcW w:w="1079" w:type="dxa"/>
            <w:tcBorders>
              <w:top w:val="nil"/>
              <w:left w:val="nil"/>
              <w:bottom w:val="single" w:color="auto" w:sz="4" w:space="0"/>
              <w:right w:val="single" w:color="auto" w:sz="4" w:space="0"/>
            </w:tcBorders>
            <w:shd w:val="clear" w:color="auto" w:fill="auto"/>
            <w:noWrap/>
            <w:vAlign w:val="bottom"/>
          </w:tcPr>
          <w:p>
            <w:pPr>
              <w:keepNext w:val="0"/>
              <w:keepLines w:val="0"/>
              <w:widowControl/>
              <w:suppressLineNumbers w:val="0"/>
              <w:spacing w:before="0" w:beforeAutospacing="0" w:after="0" w:afterAutospacing="0"/>
              <w:ind w:left="0" w:right="0"/>
              <w:jc w:val="right"/>
              <w:textAlignment w:val="bottom"/>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bidi="ar"/>
                <w14:textFill>
                  <w14:solidFill>
                    <w14:schemeClr w14:val="tx1"/>
                  </w14:solidFill>
                </w14:textFill>
              </w:rPr>
              <w:t>34.04</w:t>
            </w:r>
          </w:p>
        </w:tc>
        <w:tc>
          <w:tcPr>
            <w:tcW w:w="11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38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　</w:t>
            </w:r>
          </w:p>
        </w:tc>
      </w:tr>
      <w:tr>
        <w:tblPrEx>
          <w:tblCellMar>
            <w:top w:w="0" w:type="dxa"/>
            <w:left w:w="108" w:type="dxa"/>
            <w:bottom w:w="0" w:type="dxa"/>
            <w:right w:w="108" w:type="dxa"/>
          </w:tblCellMar>
        </w:tblPrEx>
        <w:trPr>
          <w:trHeight w:val="334" w:hRule="exact"/>
        </w:trPr>
        <w:tc>
          <w:tcPr>
            <w:tcW w:w="39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人员经费合计</w:t>
            </w:r>
          </w:p>
        </w:tc>
        <w:tc>
          <w:tcPr>
            <w:tcW w:w="103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6358.465305.8080</w:t>
            </w:r>
            <w:r>
              <w:rPr>
                <w:rFonts w:hint="eastAsia" w:ascii="仿宋" w:hAnsi="仿宋" w:eastAsia="仿宋" w:cs="仿宋"/>
                <w:color w:val="000000" w:themeColor="text1"/>
                <w:kern w:val="0"/>
                <w:sz w:val="22"/>
                <w:szCs w:val="22"/>
                <w14:textFill>
                  <w14:solidFill>
                    <w14:schemeClr w14:val="tx1"/>
                  </w14:solidFill>
                </w14:textFill>
              </w:rPr>
              <w:t>5305.80</w:t>
            </w:r>
          </w:p>
        </w:tc>
        <w:tc>
          <w:tcPr>
            <w:tcW w:w="9214" w:type="dxa"/>
            <w:gridSpan w:val="5"/>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公用经费合计</w:t>
            </w:r>
          </w:p>
        </w:tc>
        <w:tc>
          <w:tcPr>
            <w:tcW w:w="116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440.46</w:t>
            </w:r>
          </w:p>
        </w:tc>
      </w:tr>
    </w:tbl>
    <w:p>
      <w:pPr>
        <w:widowControl/>
        <w:jc w:val="center"/>
        <w:rPr>
          <w:rFonts w:hint="eastAsia" w:ascii="黑体" w:hAnsi="黑体" w:eastAsia="黑体" w:cs="黑体"/>
          <w:color w:val="000000" w:themeColor="text1"/>
          <w:kern w:val="2"/>
          <w:sz w:val="32"/>
          <w:szCs w:val="32"/>
          <w:lang w:val="en-US" w:eastAsia="zh-CN" w:bidi="ar-SA"/>
          <w14:textFill>
            <w14:solidFill>
              <w14:schemeClr w14:val="tx1"/>
            </w14:solidFill>
          </w14:textFill>
        </w:rPr>
      </w:pPr>
      <w:r>
        <w:rPr>
          <w:rFonts w:hint="eastAsia" w:ascii="黑体" w:hAnsi="黑体" w:eastAsia="黑体" w:cs="黑体"/>
          <w:color w:val="000000" w:themeColor="text1"/>
          <w:kern w:val="2"/>
          <w:sz w:val="32"/>
          <w:szCs w:val="32"/>
          <w:lang w:val="en-US" w:eastAsia="zh-CN" w:bidi="ar-SA"/>
          <w14:textFill>
            <w14:solidFill>
              <w14:schemeClr w14:val="tx1"/>
            </w14:solidFill>
          </w14:textFill>
        </w:rPr>
        <w:t>七、一般公共预算财政拨款“三公”经费支出决算表</w:t>
      </w:r>
    </w:p>
    <w:p>
      <w:pPr>
        <w:widowControl/>
        <w:ind w:firstLine="840" w:firstLineChars="400"/>
        <w:jc w:val="left"/>
        <w:rPr>
          <w:rFonts w:hint="eastAsia" w:ascii="仿宋" w:hAnsi="仿宋" w:eastAsia="仿宋" w:cs="仿宋"/>
          <w:color w:val="000000" w:themeColor="text1"/>
          <w:kern w:val="0"/>
          <w:sz w:val="22"/>
          <w:szCs w:val="22"/>
          <w14:textFill>
            <w14:solidFill>
              <w14:schemeClr w14:val="tx1"/>
            </w14:solidFill>
          </w14:textFill>
        </w:rPr>
      </w:pPr>
      <w:r>
        <w:rPr>
          <w:rFonts w:ascii="Times New Roman" w:hAnsi="Times New Roman" w:eastAsia="仿宋_GB2312" w:cs="Times New Roman"/>
          <w:color w:val="000000" w:themeColor="text1"/>
          <w:kern w:val="0"/>
          <w:szCs w:val="21"/>
          <w14:textFill>
            <w14:solidFill>
              <w14:schemeClr w14:val="tx1"/>
            </w14:solidFill>
          </w14:textFill>
        </w:rPr>
        <w:t xml:space="preserve">                                                                                                              </w:t>
      </w:r>
      <w:r>
        <w:rPr>
          <w:rFonts w:hint="eastAsia" w:ascii="Times New Roman" w:hAnsi="Times New Roman" w:eastAsia="仿宋_GB2312" w:cs="Times New Roman"/>
          <w:color w:val="000000" w:themeColor="text1"/>
          <w:kern w:val="0"/>
          <w:szCs w:val="21"/>
          <w14:textFill>
            <w14:solidFill>
              <w14:schemeClr w14:val="tx1"/>
            </w14:solidFill>
          </w14:textFill>
        </w:rPr>
        <w:t xml:space="preserve">         </w:t>
      </w:r>
      <w:r>
        <w:rPr>
          <w:rFonts w:ascii="Times New Roman" w:hAnsi="Times New Roman" w:eastAsia="仿宋_GB2312" w:cs="Times New Roman"/>
          <w:color w:val="000000" w:themeColor="text1"/>
          <w:kern w:val="0"/>
          <w:szCs w:val="21"/>
          <w14:textFill>
            <w14:solidFill>
              <w14:schemeClr w14:val="tx1"/>
            </w14:solidFill>
          </w14:textFill>
        </w:rPr>
        <w:t xml:space="preserve">     </w:t>
      </w:r>
      <w:r>
        <w:rPr>
          <w:rFonts w:hint="eastAsia" w:ascii="仿宋" w:hAnsi="仿宋" w:eastAsia="仿宋" w:cs="仿宋"/>
          <w:color w:val="000000" w:themeColor="text1"/>
          <w:kern w:val="0"/>
          <w:sz w:val="22"/>
          <w:szCs w:val="22"/>
          <w14:textFill>
            <w14:solidFill>
              <w14:schemeClr w14:val="tx1"/>
            </w14:solidFill>
          </w14:textFill>
        </w:rPr>
        <w:t xml:space="preserve">  公开07表</w:t>
      </w:r>
    </w:p>
    <w:p>
      <w:pPr>
        <w:widowControl/>
        <w:tabs>
          <w:tab w:val="left" w:pos="954"/>
          <w:tab w:val="right" w:pos="15098"/>
        </w:tabs>
        <w:ind w:right="420"/>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lang w:eastAsia="zh-CN"/>
          <w14:textFill>
            <w14:solidFill>
              <w14:schemeClr w14:val="tx1"/>
            </w14:solidFill>
          </w14:textFill>
        </w:rPr>
        <w:tab/>
      </w:r>
      <w:r>
        <w:rPr>
          <w:rFonts w:hint="eastAsia" w:ascii="仿宋" w:hAnsi="仿宋" w:eastAsia="仿宋" w:cs="宋体"/>
          <w:color w:val="000000"/>
          <w:kern w:val="0"/>
          <w:sz w:val="22"/>
        </w:rPr>
        <w:t>部门：长沙环境保护职业技术学院</w:t>
      </w:r>
      <w:r>
        <w:rPr>
          <w:rFonts w:hint="eastAsia" w:ascii="仿宋" w:hAnsi="仿宋" w:eastAsia="仿宋" w:cs="仿宋"/>
          <w:color w:val="000000" w:themeColor="text1"/>
          <w:kern w:val="0"/>
          <w:sz w:val="22"/>
          <w:szCs w:val="22"/>
          <w14:textFill>
            <w14:solidFill>
              <w14:schemeClr w14:val="tx1"/>
            </w14:solidFill>
          </w14:textFill>
        </w:rPr>
        <w:t xml:space="preserve"> </w:t>
      </w:r>
      <w:r>
        <w:rPr>
          <w:rFonts w:hint="eastAsia" w:ascii="仿宋" w:hAnsi="仿宋" w:eastAsia="仿宋" w:cs="仿宋"/>
          <w:color w:val="000000" w:themeColor="text1"/>
          <w:kern w:val="0"/>
          <w:sz w:val="22"/>
          <w:szCs w:val="22"/>
          <w:lang w:eastAsia="zh-CN"/>
          <w14:textFill>
            <w14:solidFill>
              <w14:schemeClr w14:val="tx1"/>
            </w14:solidFill>
          </w14:textFill>
        </w:rPr>
        <w:tab/>
      </w:r>
      <w:r>
        <w:rPr>
          <w:rFonts w:hint="eastAsia" w:ascii="仿宋" w:hAnsi="仿宋" w:eastAsia="仿宋" w:cs="仿宋"/>
          <w:color w:val="000000" w:themeColor="text1"/>
          <w:kern w:val="0"/>
          <w:sz w:val="22"/>
          <w:szCs w:val="22"/>
          <w14:textFill>
            <w14:solidFill>
              <w14:schemeClr w14:val="tx1"/>
            </w14:solidFill>
          </w14:textFill>
        </w:rPr>
        <w:t>单位：万元</w:t>
      </w:r>
    </w:p>
    <w:tbl>
      <w:tblPr>
        <w:tblStyle w:val="10"/>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公务</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公务</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220"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小计</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lang w:eastAsia="zh-CN"/>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公务用车</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购置费</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lang w:eastAsia="zh-CN"/>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公务用车</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运行费</w:t>
            </w:r>
          </w:p>
        </w:tc>
        <w:tc>
          <w:tcPr>
            <w:tcW w:w="12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220" w:type="dxa"/>
            <w:vMerge w:val="continue"/>
            <w:tcBorders>
              <w:top w:val="nil"/>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220"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小计</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lang w:eastAsia="zh-CN"/>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公务用车</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购置费</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lang w:eastAsia="zh-CN"/>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公务用车</w:t>
            </w:r>
          </w:p>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运行费</w:t>
            </w:r>
          </w:p>
        </w:tc>
        <w:tc>
          <w:tcPr>
            <w:tcW w:w="1220" w:type="dxa"/>
            <w:vMerge w:val="continue"/>
            <w:tcBorders>
              <w:top w:val="nil"/>
              <w:left w:val="single" w:color="auto" w:sz="4" w:space="0"/>
              <w:bottom w:val="single" w:color="000000" w:sz="4" w:space="0"/>
              <w:right w:val="single" w:color="auto" w:sz="8"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kern w:val="0"/>
                <w:sz w:val="22"/>
                <w:szCs w:val="22"/>
                <w14:textFill>
                  <w14:solidFill>
                    <w14:schemeClr w14:val="tx1"/>
                  </w14:solidFill>
                </w14:textFill>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2</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3</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4</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5</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6</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7</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8</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9</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10</w:t>
            </w:r>
          </w:p>
        </w:tc>
        <w:tc>
          <w:tcPr>
            <w:tcW w:w="122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11</w:t>
            </w:r>
          </w:p>
        </w:tc>
        <w:tc>
          <w:tcPr>
            <w:tcW w:w="1220"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16.00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8.00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8.00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8.00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8.18</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7.12</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0</w:t>
            </w:r>
          </w:p>
        </w:tc>
        <w:tc>
          <w:tcPr>
            <w:tcW w:w="1220" w:type="dxa"/>
            <w:tcBorders>
              <w:top w:val="nil"/>
              <w:left w:val="nil"/>
              <w:bottom w:val="single" w:color="auto" w:sz="8" w:space="0"/>
              <w:right w:val="nil"/>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7.12</w:t>
            </w:r>
          </w:p>
        </w:tc>
        <w:tc>
          <w:tcPr>
            <w:tcW w:w="1220" w:type="dxa"/>
            <w:tcBorders>
              <w:top w:val="nil"/>
              <w:left w:val="single" w:color="auto" w:sz="4" w:space="0"/>
              <w:bottom w:val="single" w:color="auto" w:sz="8" w:space="0"/>
              <w:right w:val="single" w:color="auto" w:sz="8"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themeColor="text1"/>
                <w:kern w:val="0"/>
                <w:sz w:val="22"/>
                <w:szCs w:val="22"/>
                <w:lang w:val="en-US" w:eastAsia="zh-CN"/>
                <w14:textFill>
                  <w14:solidFill>
                    <w14:schemeClr w14:val="tx1"/>
                  </w14:solidFill>
                </w14:textFill>
              </w:rPr>
            </w:pPr>
            <w:r>
              <w:rPr>
                <w:rFonts w:hint="eastAsia" w:ascii="仿宋" w:hAnsi="仿宋" w:eastAsia="仿宋" w:cs="仿宋"/>
                <w:color w:val="000000" w:themeColor="text1"/>
                <w:kern w:val="0"/>
                <w:sz w:val="22"/>
                <w:szCs w:val="22"/>
                <w:lang w:val="en-US" w:eastAsia="zh-CN"/>
                <w14:textFill>
                  <w14:solidFill>
                    <w14:schemeClr w14:val="tx1"/>
                  </w14:solidFill>
                </w14:textFill>
              </w:rPr>
              <w:t>1.06</w:t>
            </w:r>
          </w:p>
        </w:tc>
      </w:tr>
    </w:tbl>
    <w:p>
      <w:pPr>
        <w:widowControl/>
        <w:jc w:val="left"/>
        <w:rPr>
          <w:rFonts w:hint="eastAsia" w:ascii="仿宋" w:hAnsi="仿宋" w:eastAsia="仿宋" w:cs="仿宋"/>
          <w:color w:val="000000" w:themeColor="text1"/>
          <w:kern w:val="0"/>
          <w:sz w:val="22"/>
          <w:szCs w:val="22"/>
          <w14:textFill>
            <w14:solidFill>
              <w14:schemeClr w14:val="tx1"/>
            </w14:solidFill>
          </w14:textFill>
        </w:rPr>
      </w:pPr>
    </w:p>
    <w:p>
      <w:pPr>
        <w:widowControl/>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注：本表反映部门本年度“三公”经费支出预决算情况。其中，预算数为“三公”经费全年预算数，反映按规定程序调整后的预算数；决算数是包括当年一般公</w:t>
      </w:r>
    </w:p>
    <w:p>
      <w:pPr>
        <w:widowControl/>
        <w:jc w:val="left"/>
        <w:rPr>
          <w:rFonts w:hint="eastAsia" w:ascii="仿宋" w:hAnsi="仿宋" w:eastAsia="仿宋" w:cs="仿宋"/>
          <w:color w:val="000000" w:themeColor="text1"/>
          <w:kern w:val="0"/>
          <w:sz w:val="22"/>
          <w:szCs w:val="22"/>
          <w14:textFill>
            <w14:solidFill>
              <w14:schemeClr w14:val="tx1"/>
            </w14:solidFill>
          </w14:textFill>
        </w:rPr>
      </w:pPr>
    </w:p>
    <w:p>
      <w:pPr>
        <w:widowControl/>
        <w:jc w:val="left"/>
        <w:rPr>
          <w:rFonts w:hint="eastAsia"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共预算财政拨款和以前年度结转资金安排的实际支出。</w:t>
      </w:r>
    </w:p>
    <w:p>
      <w:pPr>
        <w:widowControl/>
        <w:jc w:val="left"/>
        <w:rPr>
          <w:rFonts w:hint="eastAsia" w:ascii="仿宋" w:hAnsi="仿宋" w:eastAsia="仿宋" w:cs="仿宋"/>
          <w:color w:val="000000" w:themeColor="text1"/>
          <w:kern w:val="0"/>
          <w:sz w:val="22"/>
          <w:szCs w:val="22"/>
          <w14:textFill>
            <w14:solidFill>
              <w14:schemeClr w14:val="tx1"/>
            </w14:solidFill>
          </w14:textFill>
        </w:rPr>
      </w:pPr>
    </w:p>
    <w:p>
      <w:pPr>
        <w:widowControl/>
        <w:jc w:val="left"/>
        <w:rPr>
          <w:rFonts w:hint="eastAsia" w:ascii="仿宋" w:hAnsi="仿宋" w:eastAsia="仿宋" w:cs="仿宋"/>
          <w:color w:val="000000" w:themeColor="text1"/>
          <w:kern w:val="0"/>
          <w:sz w:val="22"/>
          <w:szCs w:val="22"/>
          <w14:textFill>
            <w14:solidFill>
              <w14:schemeClr w14:val="tx1"/>
            </w14:solidFill>
          </w14:textFill>
        </w:rPr>
      </w:pPr>
    </w:p>
    <w:p>
      <w:pPr>
        <w:widowControl/>
        <w:jc w:val="left"/>
        <w:rPr>
          <w:rFonts w:hint="eastAsia" w:ascii="仿宋" w:hAnsi="仿宋" w:eastAsia="仿宋" w:cs="仿宋"/>
          <w:color w:val="000000" w:themeColor="text1"/>
          <w:kern w:val="0"/>
          <w:sz w:val="22"/>
          <w:szCs w:val="22"/>
          <w14:textFill>
            <w14:solidFill>
              <w14:schemeClr w14:val="tx1"/>
            </w14:solidFill>
          </w14:textFill>
        </w:rPr>
      </w:pPr>
    </w:p>
    <w:p>
      <w:pPr>
        <w:widowControl/>
        <w:jc w:val="left"/>
        <w:rPr>
          <w:rFonts w:hint="eastAsia" w:ascii="仿宋" w:hAnsi="仿宋" w:eastAsia="仿宋" w:cs="仿宋"/>
          <w:color w:val="000000" w:themeColor="text1"/>
          <w:kern w:val="0"/>
          <w:sz w:val="22"/>
          <w:szCs w:val="22"/>
          <w14:textFill>
            <w14:solidFill>
              <w14:schemeClr w14:val="tx1"/>
            </w14:solidFill>
          </w14:textFill>
        </w:rPr>
      </w:pPr>
    </w:p>
    <w:p>
      <w:pPr>
        <w:widowControl/>
        <w:jc w:val="left"/>
        <w:rPr>
          <w:rFonts w:hint="eastAsia" w:ascii="仿宋" w:hAnsi="仿宋" w:eastAsia="仿宋" w:cs="仿宋"/>
          <w:color w:val="000000" w:themeColor="text1"/>
          <w:kern w:val="0"/>
          <w:sz w:val="22"/>
          <w:szCs w:val="22"/>
          <w14:textFill>
            <w14:solidFill>
              <w14:schemeClr w14:val="tx1"/>
            </w14:solidFill>
          </w14:textFill>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outlineLvl w:val="0"/>
        <w:rPr>
          <w:rFonts w:ascii="Times New Roman" w:hAnsi="Times New Roman" w:eastAsia="方正小标宋_GBK" w:cs="Times New Roman"/>
          <w:kern w:val="0"/>
          <w:sz w:val="24"/>
          <w:szCs w:val="24"/>
        </w:rPr>
      </w:pPr>
      <w:r>
        <w:rPr>
          <w:rFonts w:ascii="Times New Roman" w:hAnsi="Times New Roman" w:eastAsia="方正小标宋_GBK" w:cs="Times New Roman"/>
          <w:kern w:val="0"/>
          <w:sz w:val="36"/>
          <w:szCs w:val="36"/>
        </w:rPr>
        <w:t>政府性基金预算财政拨款收入支出决算表</w:t>
      </w:r>
    </w:p>
    <w:p>
      <w:pPr>
        <w:widowControl/>
        <w:wordWrap/>
        <w:ind w:firstLine="13680" w:firstLineChars="5700"/>
        <w:jc w:val="both"/>
        <w:outlineLvl w:val="0"/>
        <w:rPr>
          <w:rFonts w:ascii="Times New Roman" w:hAnsi="Times New Roman" w:eastAsia="仿宋_GB2312" w:cs="Times New Roman"/>
          <w:color w:val="000000"/>
          <w:kern w:val="0"/>
          <w:sz w:val="24"/>
          <w:szCs w:val="24"/>
        </w:rPr>
      </w:pPr>
      <w:r>
        <w:rPr>
          <w:rFonts w:ascii="Times New Roman" w:hAnsi="Times New Roman" w:eastAsia="仿宋_GB2312" w:cs="Times New Roman"/>
          <w:color w:val="000000"/>
          <w:kern w:val="0"/>
          <w:sz w:val="24"/>
          <w:szCs w:val="24"/>
        </w:rPr>
        <w:t>公开08表</w:t>
      </w:r>
    </w:p>
    <w:p>
      <w:pPr>
        <w:widowControl/>
        <w:ind w:firstLine="660" w:firstLineChars="300"/>
        <w:jc w:val="both"/>
        <w:outlineLvl w:val="0"/>
        <w:rPr>
          <w:rFonts w:ascii="Times New Roman" w:hAnsi="Times New Roman" w:eastAsia="仿宋_GB2312" w:cs="Times New Roman"/>
          <w:color w:val="000000"/>
          <w:kern w:val="0"/>
          <w:szCs w:val="21"/>
        </w:rPr>
      </w:pPr>
      <w:r>
        <w:rPr>
          <w:rFonts w:hint="eastAsia" w:ascii="仿宋" w:hAnsi="仿宋" w:eastAsia="仿宋" w:cs="宋体"/>
          <w:color w:val="000000"/>
          <w:kern w:val="0"/>
          <w:sz w:val="22"/>
        </w:rPr>
        <w:t>部门：长沙环境保护职业技术学院</w:t>
      </w:r>
      <w:r>
        <w:rPr>
          <w:rFonts w:hint="eastAsia" w:ascii="仿宋" w:hAnsi="仿宋" w:eastAsia="仿宋" w:cs="仿宋"/>
          <w:color w:val="000000" w:themeColor="text1"/>
          <w:kern w:val="0"/>
          <w:sz w:val="22"/>
          <w:szCs w:val="22"/>
          <w14:textFill>
            <w14:solidFill>
              <w14:schemeClr w14:val="tx1"/>
            </w14:solidFill>
          </w14:textFill>
        </w:rPr>
        <w:t xml:space="preserve"> </w:t>
      </w:r>
      <w:r>
        <w:rPr>
          <w:rFonts w:hint="eastAsia" w:ascii="Times New Roman" w:hAnsi="Times New Roman" w:eastAsia="仿宋_GB2312" w:cs="Times New Roman"/>
          <w:color w:val="000000"/>
          <w:kern w:val="0"/>
          <w:sz w:val="24"/>
          <w:szCs w:val="24"/>
          <w:lang w:val="en-US" w:eastAsia="zh-CN"/>
        </w:rPr>
        <w:t xml:space="preserve">                                                                               </w:t>
      </w:r>
      <w:r>
        <w:rPr>
          <w:rFonts w:ascii="Times New Roman" w:hAnsi="Times New Roman" w:eastAsia="仿宋_GB2312" w:cs="Times New Roman"/>
          <w:color w:val="000000"/>
          <w:kern w:val="0"/>
          <w:sz w:val="24"/>
          <w:szCs w:val="24"/>
        </w:rPr>
        <w:t>单位：万元</w:t>
      </w:r>
    </w:p>
    <w:tbl>
      <w:tblPr>
        <w:tblStyle w:val="10"/>
        <w:tblW w:w="1483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20"/>
        <w:gridCol w:w="1320"/>
        <w:gridCol w:w="2000"/>
        <w:gridCol w:w="2000"/>
        <w:gridCol w:w="2000"/>
        <w:gridCol w:w="2000"/>
        <w:gridCol w:w="2000"/>
        <w:gridCol w:w="23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 xml:space="preserve">项 </w:t>
            </w:r>
            <w:r>
              <w:rPr>
                <w:rFonts w:hint="default" w:ascii="Times New Roman" w:hAnsi="Times New Roman" w:eastAsia="仿宋_GB2312" w:cs="Times New Roman"/>
                <w:b/>
                <w:color w:val="000000"/>
                <w:kern w:val="0"/>
                <w:szCs w:val="21"/>
              </w:rPr>
              <w:t xml:space="preserve">   </w:t>
            </w:r>
            <w:r>
              <w:rPr>
                <w:rFonts w:hint="default" w:ascii="Times New Roman" w:hAnsi="Times New Roman" w:eastAsia="仿宋_GB2312" w:cs="Times New Roman"/>
                <w:b/>
                <w:kern w:val="0"/>
                <w:szCs w:val="21"/>
              </w:rPr>
              <w:t>目</w:t>
            </w:r>
          </w:p>
        </w:tc>
        <w:tc>
          <w:tcPr>
            <w:tcW w:w="2000"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年初结转和结余</w:t>
            </w:r>
          </w:p>
        </w:tc>
        <w:tc>
          <w:tcPr>
            <w:tcW w:w="2000"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本年收入</w:t>
            </w:r>
          </w:p>
        </w:tc>
        <w:tc>
          <w:tcPr>
            <w:tcW w:w="6000" w:type="dxa"/>
            <w:gridSpan w:val="3"/>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本年支出</w:t>
            </w:r>
          </w:p>
        </w:tc>
        <w:tc>
          <w:tcPr>
            <w:tcW w:w="2392"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科目名称</w:t>
            </w:r>
          </w:p>
        </w:tc>
        <w:tc>
          <w:tcPr>
            <w:tcW w:w="200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b/>
                <w:kern w:val="0"/>
                <w:szCs w:val="21"/>
              </w:rPr>
            </w:pPr>
          </w:p>
        </w:tc>
        <w:tc>
          <w:tcPr>
            <w:tcW w:w="200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b/>
                <w:kern w:val="0"/>
                <w:szCs w:val="21"/>
              </w:rPr>
            </w:pPr>
          </w:p>
        </w:tc>
        <w:tc>
          <w:tcPr>
            <w:tcW w:w="2000"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小计</w:t>
            </w:r>
          </w:p>
        </w:tc>
        <w:tc>
          <w:tcPr>
            <w:tcW w:w="2000"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b/>
                <w:kern w:val="0"/>
                <w:szCs w:val="21"/>
              </w:rPr>
            </w:pPr>
            <w:r>
              <w:rPr>
                <w:rFonts w:hint="default" w:ascii="Times New Roman" w:hAnsi="Times New Roman" w:eastAsia="仿宋_GB2312" w:cs="Times New Roman"/>
                <w:b/>
                <w:kern w:val="0"/>
                <w:szCs w:val="21"/>
              </w:rPr>
              <w:t>项目支出</w:t>
            </w:r>
          </w:p>
        </w:tc>
        <w:tc>
          <w:tcPr>
            <w:tcW w:w="2392"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132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200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200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200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200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200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2392"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132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200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200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200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200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2000"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c>
          <w:tcPr>
            <w:tcW w:w="2392" w:type="dxa"/>
            <w:vMerge w:val="continue"/>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栏次</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1</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2</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3</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4</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5</w:t>
            </w:r>
          </w:p>
        </w:tc>
        <w:tc>
          <w:tcPr>
            <w:tcW w:w="2392"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合计</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392"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132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392"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132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392"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132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392"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132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392"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132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392"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132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000"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c>
          <w:tcPr>
            <w:tcW w:w="2392" w:type="dxa"/>
            <w:shd w:val="clear" w:color="auto" w:fill="auto"/>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　</w:t>
            </w:r>
          </w:p>
        </w:tc>
      </w:tr>
    </w:tbl>
    <w:p>
      <w:pPr>
        <w:widowControl/>
        <w:ind w:firstLine="420" w:firstLineChars="200"/>
        <w:jc w:val="left"/>
        <w:rPr>
          <w:rFonts w:hint="eastAsia" w:ascii="Times New Roman" w:hAnsi="Times New Roman" w:eastAsia="仿宋_GB2312" w:cs="Times New Roman"/>
          <w:kern w:val="0"/>
          <w:sz w:val="21"/>
          <w:szCs w:val="21"/>
          <w:lang w:val="en-US" w:eastAsia="zh-CN"/>
        </w:rPr>
      </w:pPr>
      <w:r>
        <w:rPr>
          <w:rFonts w:ascii="Times New Roman" w:hAnsi="Times New Roman" w:eastAsia="仿宋_GB2312" w:cs="Times New Roman"/>
          <w:kern w:val="0"/>
          <w:sz w:val="21"/>
          <w:szCs w:val="21"/>
        </w:rPr>
        <w:t>注：本表反映部门本年度政府性基金预算财政拨款收入、支出及结转和结余情况</w:t>
      </w:r>
      <w:r>
        <w:rPr>
          <w:rFonts w:hint="eastAsia" w:ascii="Times New Roman" w:hAnsi="Times New Roman" w:eastAsia="仿宋_GB2312" w:cs="Times New Roman"/>
          <w:kern w:val="0"/>
          <w:sz w:val="21"/>
          <w:szCs w:val="21"/>
          <w:lang w:eastAsia="zh-CN"/>
        </w:rPr>
        <w:t>。</w:t>
      </w:r>
    </w:p>
    <w:p>
      <w:pPr>
        <w:widowControl/>
        <w:ind w:firstLine="420" w:firstLineChars="200"/>
        <w:jc w:val="both"/>
        <w:rPr>
          <w:rFonts w:hint="eastAsia" w:ascii="华文中宋" w:hAnsi="华文中宋" w:eastAsia="仿宋_GB2312" w:cs="宋体"/>
          <w:color w:val="000000"/>
          <w:kern w:val="0"/>
          <w:sz w:val="21"/>
          <w:szCs w:val="21"/>
          <w:lang w:eastAsia="zh-CN"/>
        </w:rPr>
      </w:pPr>
      <w:r>
        <w:rPr>
          <w:rFonts w:hint="eastAsia" w:ascii="Times New Roman" w:hAnsi="Times New Roman" w:eastAsia="仿宋_GB2312" w:cs="Times New Roman"/>
          <w:kern w:val="0"/>
          <w:sz w:val="21"/>
          <w:szCs w:val="21"/>
          <w:lang w:eastAsia="zh-CN"/>
        </w:rPr>
        <w:t>我单位</w:t>
      </w:r>
      <w:r>
        <w:rPr>
          <w:rFonts w:hint="eastAsia" w:ascii="Times New Roman" w:hAnsi="Times New Roman" w:eastAsia="仿宋_GB2312" w:cs="Times New Roman"/>
          <w:kern w:val="0"/>
          <w:sz w:val="21"/>
          <w:szCs w:val="21"/>
        </w:rPr>
        <w:t>没有政府性基金收入，也没有使用政府性基金安排的支出，故本表无数据</w:t>
      </w:r>
      <w:r>
        <w:rPr>
          <w:rFonts w:hint="eastAsia" w:ascii="Times New Roman" w:hAnsi="Times New Roman" w:eastAsia="仿宋_GB2312" w:cs="Times New Roman"/>
          <w:kern w:val="0"/>
          <w:sz w:val="21"/>
          <w:szCs w:val="21"/>
          <w:lang w:eastAsia="zh-CN"/>
        </w:rPr>
        <w:t>。</w:t>
      </w:r>
    </w:p>
    <w:tbl>
      <w:tblPr>
        <w:tblStyle w:val="10"/>
        <w:tblW w:w="14190" w:type="dxa"/>
        <w:tblInd w:w="93" w:type="dxa"/>
        <w:tblLayout w:type="fixed"/>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keepNext w:val="0"/>
              <w:keepLines w:val="0"/>
              <w:widowControl/>
              <w:suppressLineNumbers w:val="0"/>
              <w:spacing w:before="0" w:beforeAutospacing="0" w:after="0" w:afterAutospacing="0"/>
              <w:ind w:left="0" w:right="0"/>
              <w:jc w:val="center"/>
              <w:rPr>
                <w:rFonts w:hint="eastAsia" w:ascii="华文中宋" w:hAnsi="华文中宋" w:eastAsia="华文中宋" w:cs="宋体"/>
                <w:kern w:val="0"/>
                <w:sz w:val="32"/>
                <w:szCs w:val="32"/>
              </w:rPr>
            </w:pPr>
          </w:p>
          <w:p>
            <w:pPr>
              <w:keepNext w:val="0"/>
              <w:keepLines w:val="0"/>
              <w:widowControl/>
              <w:suppressLineNumbers w:val="0"/>
              <w:spacing w:before="0" w:beforeAutospacing="0" w:after="0" w:afterAutospacing="0"/>
              <w:ind w:left="0" w:right="0"/>
              <w:jc w:val="center"/>
              <w:rPr>
                <w:rFonts w:hint="eastAsia" w:ascii="华文中宋" w:hAnsi="华文中宋" w:eastAsia="华文中宋" w:cs="宋体"/>
                <w:kern w:val="0"/>
                <w:sz w:val="32"/>
                <w:szCs w:val="32"/>
              </w:rPr>
            </w:pPr>
          </w:p>
          <w:p>
            <w:pPr>
              <w:keepNext w:val="0"/>
              <w:keepLines w:val="0"/>
              <w:widowControl/>
              <w:suppressLineNumbers w:val="0"/>
              <w:spacing w:before="0" w:beforeAutospacing="0" w:after="0" w:afterAutospacing="0"/>
              <w:ind w:left="0" w:right="0"/>
              <w:jc w:val="center"/>
              <w:rPr>
                <w:rFonts w:hint="eastAsia" w:ascii="华文中宋" w:hAnsi="华文中宋" w:eastAsia="华文中宋" w:cs="宋体"/>
                <w:kern w:val="0"/>
                <w:sz w:val="32"/>
                <w:szCs w:val="32"/>
              </w:rPr>
            </w:pPr>
          </w:p>
          <w:p>
            <w:pPr>
              <w:keepNext w:val="0"/>
              <w:keepLines w:val="0"/>
              <w:widowControl/>
              <w:suppressLineNumbers w:val="0"/>
              <w:spacing w:before="0" w:beforeAutospacing="0" w:after="0" w:afterAutospacing="0"/>
              <w:ind w:left="0" w:right="0"/>
              <w:jc w:val="center"/>
              <w:rPr>
                <w:rFonts w:hint="default"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4835" w:type="dxa"/>
            <w:gridSpan w:val="4"/>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仿宋" w:hAnsi="仿宋" w:eastAsia="仿宋" w:cs="宋体"/>
                <w:color w:val="000000"/>
                <w:kern w:val="0"/>
                <w:sz w:val="22"/>
              </w:rPr>
              <w:t>部门：长沙环境保护职业技术学院</w:t>
            </w:r>
            <w:r>
              <w:rPr>
                <w:rFonts w:hint="eastAsia" w:ascii="仿宋" w:hAnsi="仿宋" w:eastAsia="仿宋" w:cs="仿宋"/>
                <w:color w:val="000000" w:themeColor="text1"/>
                <w:kern w:val="0"/>
                <w:sz w:val="22"/>
                <w:szCs w:val="22"/>
                <w14:textFill>
                  <w14:solidFill>
                    <w14:schemeClr w14:val="tx1"/>
                  </w14:solidFill>
                </w14:textFill>
              </w:rPr>
              <w:t xml:space="preserve"> </w:t>
            </w:r>
          </w:p>
        </w:tc>
        <w:tc>
          <w:tcPr>
            <w:tcW w:w="1225" w:type="dxa"/>
            <w:tcBorders>
              <w:top w:val="nil"/>
              <w:left w:val="nil"/>
              <w:bottom w:val="single" w:color="auto" w:sz="8" w:space="0"/>
              <w:right w:val="nil"/>
            </w:tcBorders>
            <w:shd w:val="clear" w:color="000000" w:fill="FFFFFF"/>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keepNext w:val="0"/>
              <w:keepLines w:val="0"/>
              <w:widowControl/>
              <w:suppressLineNumbers w:val="0"/>
              <w:spacing w:before="0" w:beforeAutospacing="0" w:after="0" w:afterAutospacing="0"/>
              <w:ind w:left="0" w:right="0" w:firstLine="480" w:firstLineChars="200"/>
              <w:jc w:val="both"/>
              <w:rPr>
                <w:rFonts w:hint="eastAsia" w:ascii="宋体" w:hAnsi="宋体" w:eastAsia="宋体" w:cs="宋体"/>
                <w:color w:val="000000"/>
                <w:kern w:val="0"/>
                <w:sz w:val="24"/>
                <w:szCs w:val="24"/>
                <w:lang w:eastAsia="zh-CN"/>
              </w:rPr>
            </w:pPr>
            <w:r>
              <w:rPr>
                <w:rFonts w:hint="eastAsia" w:ascii="宋体" w:hAnsi="宋体" w:eastAsia="宋体" w:cs="宋体"/>
                <w:kern w:val="0"/>
                <w:sz w:val="24"/>
                <w:szCs w:val="24"/>
                <w:lang w:eastAsia="zh-CN"/>
              </w:rPr>
              <w:t>我单位</w:t>
            </w:r>
            <w:r>
              <w:rPr>
                <w:rFonts w:hint="eastAsia" w:ascii="宋体" w:hAnsi="宋体" w:eastAsia="宋体" w:cs="宋体"/>
                <w:kern w:val="0"/>
                <w:sz w:val="24"/>
                <w:szCs w:val="24"/>
              </w:rPr>
              <w:t>没有</w:t>
            </w:r>
            <w:r>
              <w:rPr>
                <w:rFonts w:hint="eastAsia" w:ascii="宋体" w:hAnsi="宋体" w:eastAsia="宋体" w:cs="宋体"/>
                <w:kern w:val="0"/>
                <w:sz w:val="24"/>
                <w:szCs w:val="24"/>
                <w:lang w:val="en-US" w:eastAsia="zh-CN"/>
              </w:rPr>
              <w:t>国有资本经营预算财政拨款支出</w:t>
            </w:r>
            <w:r>
              <w:rPr>
                <w:rFonts w:hint="eastAsia" w:ascii="宋体" w:hAnsi="宋体" w:eastAsia="宋体" w:cs="宋体"/>
                <w:kern w:val="0"/>
                <w:sz w:val="24"/>
                <w:szCs w:val="24"/>
              </w:rPr>
              <w:t>，故本表无数据</w:t>
            </w:r>
            <w:r>
              <w:rPr>
                <w:rFonts w:hint="eastAsia" w:ascii="宋体" w:hAnsi="宋体" w:eastAsia="宋体" w:cs="宋体"/>
                <w:kern w:val="0"/>
                <w:sz w:val="24"/>
                <w:szCs w:val="24"/>
                <w:lang w:eastAsia="zh-CN"/>
              </w:rPr>
              <w:t>。</w:t>
            </w:r>
          </w:p>
          <w:p>
            <w:pPr>
              <w:keepNext w:val="0"/>
              <w:keepLines w:val="0"/>
              <w:widowControl/>
              <w:suppressLineNumbers w:val="0"/>
              <w:spacing w:before="0" w:beforeAutospacing="0" w:after="0" w:afterAutospacing="0"/>
              <w:ind w:left="0" w:right="0"/>
              <w:jc w:val="left"/>
              <w:rPr>
                <w:rFonts w:hint="eastAsia" w:ascii="宋体" w:hAnsi="宋体" w:eastAsia="宋体" w:cs="宋体"/>
                <w:kern w:val="0"/>
                <w:sz w:val="24"/>
                <w:szCs w:val="24"/>
              </w:rPr>
            </w:pPr>
          </w:p>
        </w:tc>
      </w:tr>
    </w:tbl>
    <w:p>
      <w:pPr>
        <w:widowControl/>
        <w:jc w:val="left"/>
        <w:rPr>
          <w:rFonts w:hint="eastAsia" w:ascii="仿宋" w:hAnsi="仿宋" w:eastAsia="仿宋" w:cs="仿宋"/>
          <w:color w:val="000000" w:themeColor="text1"/>
          <w:kern w:val="0"/>
          <w:sz w:val="22"/>
          <w:szCs w:val="22"/>
          <w14:textFill>
            <w14:solidFill>
              <w14:schemeClr w14:val="tx1"/>
            </w14:solidFill>
          </w14:textFill>
        </w:rPr>
        <w:sectPr>
          <w:pgSz w:w="16838" w:h="11906" w:orient="landscape"/>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pPr>
    </w:p>
    <w:p>
      <w:pPr>
        <w:pStyle w:val="16"/>
        <w:keepNext w:val="0"/>
        <w:keepLines w:val="0"/>
        <w:pageBreakBefore w:val="0"/>
        <w:widowControl/>
        <w:kinsoku/>
        <w:wordWrap/>
        <w:overflowPunct/>
        <w:topLinePunct w:val="0"/>
        <w:bidi w:val="0"/>
        <w:snapToGrid/>
        <w:spacing w:line="240" w:lineRule="auto"/>
        <w:jc w:val="center"/>
        <w:textAlignment w:val="auto"/>
        <w:outlineLvl w:val="9"/>
        <w:rPr>
          <w:rFonts w:hint="eastAsia" w:ascii="黑体" w:eastAsia="黑体" w:cs="黑体" w:hAnsiTheme="minorHAnsi"/>
          <w:color w:val="000000"/>
          <w:spacing w:val="0"/>
          <w:kern w:val="0"/>
          <w:sz w:val="72"/>
          <w:szCs w:val="72"/>
          <w:lang w:val="en-US" w:eastAsia="zh-CN" w:bidi="ar-SA"/>
        </w:rPr>
      </w:pPr>
    </w:p>
    <w:p>
      <w:pPr>
        <w:pStyle w:val="16"/>
        <w:keepNext w:val="0"/>
        <w:keepLines w:val="0"/>
        <w:pageBreakBefore w:val="0"/>
        <w:widowControl/>
        <w:kinsoku/>
        <w:wordWrap/>
        <w:overflowPunct/>
        <w:topLinePunct w:val="0"/>
        <w:bidi w:val="0"/>
        <w:snapToGrid/>
        <w:spacing w:line="240" w:lineRule="auto"/>
        <w:jc w:val="center"/>
        <w:textAlignment w:val="auto"/>
        <w:outlineLvl w:val="9"/>
        <w:rPr>
          <w:rFonts w:hint="eastAsia" w:ascii="黑体" w:eastAsia="黑体" w:cs="黑体" w:hAnsiTheme="minorHAnsi"/>
          <w:color w:val="000000"/>
          <w:spacing w:val="0"/>
          <w:kern w:val="0"/>
          <w:sz w:val="72"/>
          <w:szCs w:val="72"/>
          <w:lang w:val="en-US" w:eastAsia="zh-CN" w:bidi="ar-SA"/>
        </w:rPr>
      </w:pPr>
    </w:p>
    <w:p>
      <w:pPr>
        <w:pStyle w:val="16"/>
        <w:keepNext w:val="0"/>
        <w:keepLines w:val="0"/>
        <w:pageBreakBefore w:val="0"/>
        <w:widowControl/>
        <w:kinsoku/>
        <w:wordWrap/>
        <w:overflowPunct/>
        <w:topLinePunct w:val="0"/>
        <w:bidi w:val="0"/>
        <w:snapToGrid/>
        <w:spacing w:line="240" w:lineRule="auto"/>
        <w:jc w:val="center"/>
        <w:textAlignment w:val="auto"/>
        <w:outlineLvl w:val="9"/>
        <w:rPr>
          <w:rFonts w:hint="eastAsia" w:ascii="黑体" w:eastAsia="黑体" w:cs="黑体" w:hAnsiTheme="minorHAnsi"/>
          <w:color w:val="000000"/>
          <w:spacing w:val="0"/>
          <w:kern w:val="0"/>
          <w:sz w:val="72"/>
          <w:szCs w:val="72"/>
          <w:lang w:val="en-US" w:eastAsia="zh-CN" w:bidi="ar-SA"/>
        </w:rPr>
      </w:pPr>
    </w:p>
    <w:p>
      <w:pPr>
        <w:pStyle w:val="16"/>
        <w:keepNext w:val="0"/>
        <w:keepLines w:val="0"/>
        <w:pageBreakBefore w:val="0"/>
        <w:widowControl/>
        <w:kinsoku/>
        <w:wordWrap/>
        <w:overflowPunct/>
        <w:topLinePunct w:val="0"/>
        <w:bidi w:val="0"/>
        <w:snapToGrid/>
        <w:spacing w:line="240" w:lineRule="auto"/>
        <w:jc w:val="center"/>
        <w:textAlignment w:val="auto"/>
        <w:outlineLvl w:val="9"/>
        <w:rPr>
          <w:rFonts w:hint="eastAsia" w:ascii="黑体" w:eastAsia="黑体" w:cs="黑体" w:hAnsiTheme="minorHAnsi"/>
          <w:color w:val="000000"/>
          <w:spacing w:val="0"/>
          <w:kern w:val="0"/>
          <w:sz w:val="72"/>
          <w:szCs w:val="72"/>
          <w:lang w:val="en-US" w:eastAsia="zh-CN" w:bidi="ar-SA"/>
        </w:rPr>
      </w:pPr>
    </w:p>
    <w:p>
      <w:pPr>
        <w:pStyle w:val="16"/>
        <w:keepNext w:val="0"/>
        <w:keepLines w:val="0"/>
        <w:pageBreakBefore w:val="0"/>
        <w:widowControl/>
        <w:kinsoku/>
        <w:wordWrap/>
        <w:overflowPunct/>
        <w:topLinePunct w:val="0"/>
        <w:bidi w:val="0"/>
        <w:snapToGrid/>
        <w:spacing w:line="240" w:lineRule="auto"/>
        <w:jc w:val="center"/>
        <w:textAlignment w:val="auto"/>
        <w:outlineLvl w:val="9"/>
        <w:rPr>
          <w:rFonts w:hint="eastAsia" w:ascii="黑体" w:eastAsia="黑体" w:cs="黑体" w:hAnsiTheme="minorHAnsi"/>
          <w:color w:val="000000"/>
          <w:spacing w:val="0"/>
          <w:kern w:val="0"/>
          <w:sz w:val="72"/>
          <w:szCs w:val="72"/>
          <w:lang w:val="en-US" w:eastAsia="zh-CN" w:bidi="ar-SA"/>
        </w:rPr>
      </w:pPr>
      <w:r>
        <w:rPr>
          <w:rFonts w:hint="eastAsia" w:ascii="黑体" w:eastAsia="黑体" w:cs="黑体" w:hAnsiTheme="minorHAnsi"/>
          <w:color w:val="000000" w:themeColor="text1"/>
          <w:spacing w:val="0"/>
          <w:kern w:val="0"/>
          <w:sz w:val="72"/>
          <w:szCs w:val="72"/>
          <w:lang w:val="en-US" w:eastAsia="zh-CN" w:bidi="ar-SA"/>
          <w14:textFill>
            <w14:solidFill>
              <w14:schemeClr w14:val="tx1"/>
            </w14:solidFill>
          </w14:textFill>
        </w:rPr>
        <w:t xml:space="preserve">第三部分 </w:t>
      </w:r>
    </w:p>
    <w:p>
      <w:pPr>
        <w:pStyle w:val="16"/>
        <w:keepNext w:val="0"/>
        <w:keepLines w:val="0"/>
        <w:pageBreakBefore w:val="0"/>
        <w:widowControl/>
        <w:kinsoku/>
        <w:wordWrap/>
        <w:overflowPunct/>
        <w:topLinePunct w:val="0"/>
        <w:bidi w:val="0"/>
        <w:snapToGrid/>
        <w:spacing w:line="240" w:lineRule="auto"/>
        <w:jc w:val="center"/>
        <w:textAlignment w:val="auto"/>
        <w:outlineLvl w:val="9"/>
        <w:rPr>
          <w:rFonts w:hint="eastAsia" w:ascii="黑体" w:eastAsia="黑体" w:cs="黑体" w:hAnsiTheme="minorHAnsi"/>
          <w:color w:val="000000"/>
          <w:spacing w:val="0"/>
          <w:kern w:val="0"/>
          <w:sz w:val="72"/>
          <w:szCs w:val="72"/>
          <w:lang w:val="en-US" w:eastAsia="zh-CN" w:bidi="ar-SA"/>
        </w:rPr>
      </w:pPr>
    </w:p>
    <w:p>
      <w:pPr>
        <w:pStyle w:val="16"/>
        <w:keepNext w:val="0"/>
        <w:keepLines w:val="0"/>
        <w:pageBreakBefore w:val="0"/>
        <w:widowControl/>
        <w:kinsoku/>
        <w:wordWrap/>
        <w:overflowPunct/>
        <w:topLinePunct w:val="0"/>
        <w:bidi w:val="0"/>
        <w:snapToGrid/>
        <w:spacing w:line="240" w:lineRule="auto"/>
        <w:jc w:val="center"/>
        <w:textAlignment w:val="auto"/>
        <w:outlineLvl w:val="9"/>
        <w:rPr>
          <w:rFonts w:hint="eastAsia" w:ascii="黑体" w:eastAsia="黑体" w:cs="黑体" w:hAnsiTheme="minorHAnsi"/>
          <w:color w:val="000000" w:themeColor="text1"/>
          <w:spacing w:val="0"/>
          <w:kern w:val="0"/>
          <w:sz w:val="72"/>
          <w:szCs w:val="72"/>
          <w:lang w:val="en-US" w:eastAsia="zh-CN" w:bidi="ar-SA"/>
          <w14:textFill>
            <w14:solidFill>
              <w14:schemeClr w14:val="tx1"/>
            </w14:solidFill>
          </w14:textFill>
        </w:rPr>
      </w:pPr>
      <w:r>
        <w:rPr>
          <w:rFonts w:hint="eastAsia" w:ascii="黑体" w:eastAsia="黑体" w:cs="黑体" w:hAnsiTheme="minorHAnsi"/>
          <w:color w:val="000000" w:themeColor="text1"/>
          <w:spacing w:val="0"/>
          <w:kern w:val="0"/>
          <w:sz w:val="72"/>
          <w:szCs w:val="72"/>
          <w:lang w:val="en-US" w:eastAsia="zh-CN" w:bidi="ar-SA"/>
          <w14:textFill>
            <w14:solidFill>
              <w14:schemeClr w14:val="tx1"/>
            </w14:solidFill>
          </w14:textFill>
        </w:rPr>
        <w:t>2021年度部门决算情况说明</w:t>
      </w:r>
    </w:p>
    <w:p>
      <w:pPr>
        <w:pStyle w:val="16"/>
        <w:keepNext w:val="0"/>
        <w:keepLines w:val="0"/>
        <w:pageBreakBefore w:val="0"/>
        <w:widowControl w:val="0"/>
        <w:kinsoku/>
        <w:wordWrap/>
        <w:overflowPunct/>
        <w:topLinePunct w:val="0"/>
        <w:bidi w:val="0"/>
        <w:snapToGrid/>
        <w:spacing w:line="560" w:lineRule="exact"/>
        <w:ind w:firstLine="904" w:firstLineChars="200"/>
        <w:jc w:val="center"/>
        <w:textAlignment w:val="auto"/>
        <w:rPr>
          <w:rFonts w:hint="eastAsia" w:ascii="方正小标宋简体" w:hAnsi="宋体" w:eastAsia="方正小标宋简体" w:cs="Times New Roman"/>
          <w:color w:val="000000" w:themeColor="text1"/>
          <w:spacing w:val="6"/>
          <w:kern w:val="0"/>
          <w:sz w:val="44"/>
          <w:szCs w:val="24"/>
          <w:lang w:val="en-US" w:eastAsia="zh-CN" w:bidi="ar-SA"/>
          <w14:textFill>
            <w14:solidFill>
              <w14:schemeClr w14:val="tx1"/>
            </w14:solidFill>
          </w14:textFill>
        </w:rPr>
      </w:pP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一、收入支出决算总体情况说明</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2021年度收入总计22514.29万元</w:t>
      </w:r>
      <w:r>
        <w:rPr>
          <w:rFonts w:hint="eastAsia" w:ascii="宋体" w:hAnsi="宋体" w:eastAsia="宋体"/>
          <w:sz w:val="32"/>
          <w:szCs w:val="32"/>
        </w:rPr>
        <w:t>（</w:t>
      </w:r>
      <w:r>
        <w:rPr>
          <w:rFonts w:hint="eastAsia" w:ascii="宋体" w:hAnsi="宋体" w:eastAsia="宋体"/>
          <w:sz w:val="32"/>
          <w:szCs w:val="32"/>
          <w:highlight w:val="none"/>
        </w:rPr>
        <w:t>含年初</w:t>
      </w:r>
      <w:r>
        <w:rPr>
          <w:rFonts w:hint="eastAsia" w:ascii="宋体" w:hAnsi="宋体" w:eastAsia="宋体"/>
          <w:sz w:val="32"/>
          <w:szCs w:val="32"/>
        </w:rPr>
        <w:t>结转和结余资金</w:t>
      </w:r>
      <w:r>
        <w:rPr>
          <w:rFonts w:hint="eastAsia" w:ascii="仿宋_GB2312" w:hAnsi="仿宋_GB2312" w:eastAsia="仿宋_GB2312" w:cs="Times New Roman"/>
          <w:color w:val="000000" w:themeColor="text1"/>
          <w:kern w:val="2"/>
          <w:sz w:val="32"/>
          <w:lang w:val="en-US" w:eastAsia="zh-CN"/>
          <w14:textFill>
            <w14:solidFill>
              <w14:schemeClr w14:val="tx1"/>
            </w14:solidFill>
          </w14:textFill>
        </w:rPr>
        <w:t>830.15</w:t>
      </w:r>
      <w:r>
        <w:rPr>
          <w:rFonts w:hint="eastAsia" w:ascii="宋体" w:hAnsi="宋体" w:eastAsia="宋体"/>
          <w:sz w:val="32"/>
          <w:szCs w:val="32"/>
        </w:rPr>
        <w:t>万元）</w:t>
      </w:r>
      <w:r>
        <w:rPr>
          <w:rFonts w:hint="eastAsia" w:ascii="仿宋_GB2312" w:hAnsi="仿宋_GB2312" w:eastAsia="仿宋_GB2312"/>
          <w:color w:val="000000" w:themeColor="text1"/>
          <w:sz w:val="32"/>
          <w:lang w:val="en-US" w:eastAsia="zh-CN"/>
          <w14:textFill>
            <w14:solidFill>
              <w14:schemeClr w14:val="tx1"/>
            </w14:solidFill>
          </w14:textFill>
        </w:rPr>
        <w:t>。与上年相比，增加856.98万元，增长3.96%，主要是基建维修支出增加。</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2021年度支出总计22514.29万元</w:t>
      </w:r>
      <w:r>
        <w:rPr>
          <w:rFonts w:hint="eastAsia" w:ascii="宋体" w:hAnsi="宋体" w:eastAsia="宋体"/>
          <w:sz w:val="32"/>
          <w:szCs w:val="32"/>
        </w:rPr>
        <w:t>（</w:t>
      </w:r>
      <w:r>
        <w:rPr>
          <w:rFonts w:hint="eastAsia" w:ascii="宋体" w:hAnsi="宋体" w:eastAsia="宋体"/>
          <w:sz w:val="32"/>
          <w:szCs w:val="32"/>
          <w:highlight w:val="none"/>
        </w:rPr>
        <w:t>含年</w:t>
      </w:r>
      <w:r>
        <w:rPr>
          <w:rFonts w:hint="eastAsia" w:ascii="宋体" w:hAnsi="宋体"/>
          <w:sz w:val="32"/>
          <w:szCs w:val="32"/>
          <w:highlight w:val="none"/>
          <w:lang w:val="en-US" w:eastAsia="zh-CN"/>
        </w:rPr>
        <w:t>末</w:t>
      </w:r>
      <w:r>
        <w:rPr>
          <w:rFonts w:hint="eastAsia" w:ascii="宋体" w:hAnsi="宋体" w:eastAsia="宋体"/>
          <w:sz w:val="32"/>
          <w:szCs w:val="32"/>
        </w:rPr>
        <w:t>结转和结余资金</w:t>
      </w:r>
      <w:r>
        <w:rPr>
          <w:rFonts w:hint="eastAsia" w:ascii="仿宋_GB2312" w:hAnsi="仿宋_GB2312" w:eastAsia="仿宋_GB2312" w:cs="Times New Roman"/>
          <w:color w:val="000000" w:themeColor="text1"/>
          <w:kern w:val="2"/>
          <w:sz w:val="32"/>
          <w:lang w:val="en-US" w:eastAsia="zh-CN"/>
          <w14:textFill>
            <w14:solidFill>
              <w14:schemeClr w14:val="tx1"/>
            </w14:solidFill>
          </w14:textFill>
        </w:rPr>
        <w:t>2406.04</w:t>
      </w:r>
      <w:r>
        <w:rPr>
          <w:rFonts w:hint="eastAsia" w:ascii="宋体" w:hAnsi="宋体" w:eastAsia="宋体"/>
          <w:sz w:val="32"/>
          <w:szCs w:val="32"/>
        </w:rPr>
        <w:t>万元）</w:t>
      </w:r>
      <w:r>
        <w:rPr>
          <w:rFonts w:hint="eastAsia" w:ascii="仿宋_GB2312" w:hAnsi="仿宋_GB2312" w:eastAsia="仿宋_GB2312"/>
          <w:color w:val="000000" w:themeColor="text1"/>
          <w:sz w:val="32"/>
          <w:lang w:val="en-US" w:eastAsia="zh-CN"/>
          <w14:textFill>
            <w14:solidFill>
              <w14:schemeClr w14:val="tx1"/>
            </w14:solidFill>
          </w14:textFill>
        </w:rPr>
        <w:t>。与上年相比，增加856.98万元，增长3.96%，主要是基建维修支出增加。</w:t>
      </w: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二、收入决算情况说明</w:t>
      </w:r>
    </w:p>
    <w:p>
      <w:pPr>
        <w:keepNext w:val="0"/>
        <w:keepLines w:val="0"/>
        <w:pageBreakBefore w:val="0"/>
        <w:widowControl w:val="0"/>
        <w:kinsoku/>
        <w:wordWrap/>
        <w:overflowPunct/>
        <w:topLinePunct w:val="0"/>
        <w:bidi w:val="0"/>
        <w:snapToGrid/>
        <w:ind w:firstLine="640" w:firstLineChars="200"/>
        <w:jc w:val="left"/>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本年收入合计21684.14万元，其中：财政拨款收入14227.13万元，占65.61%；</w:t>
      </w:r>
      <w:r>
        <w:rPr>
          <w:rFonts w:hint="eastAsia" w:ascii="仿宋_GB2312" w:hAnsi="仿宋_GB2312" w:eastAsia="仿宋_GB2312" w:cs="Times New Roman"/>
          <w:color w:val="000000" w:themeColor="text1"/>
          <w:sz w:val="32"/>
          <w:szCs w:val="24"/>
          <w14:textFill>
            <w14:solidFill>
              <w14:schemeClr w14:val="tx1"/>
            </w14:solidFill>
          </w14:textFill>
        </w:rPr>
        <w:t>上级补助收入</w:t>
      </w:r>
      <w:r>
        <w:rPr>
          <w:rFonts w:hint="eastAsia" w:ascii="仿宋_GB2312" w:hAnsi="仿宋_GB2312" w:eastAsia="仿宋_GB2312" w:cs="Times New Roman"/>
          <w:color w:val="000000" w:themeColor="text1"/>
          <w:sz w:val="32"/>
          <w:szCs w:val="24"/>
          <w:lang w:val="en-US" w:eastAsia="zh-CN"/>
          <w14:textFill>
            <w14:solidFill>
              <w14:schemeClr w14:val="tx1"/>
            </w14:solidFill>
          </w14:textFill>
        </w:rPr>
        <w:t>0万元，占0%；</w:t>
      </w:r>
      <w:r>
        <w:rPr>
          <w:rFonts w:hint="eastAsia" w:ascii="仿宋_GB2312" w:hAnsi="仿宋_GB2312" w:eastAsia="仿宋_GB2312"/>
          <w:color w:val="000000" w:themeColor="text1"/>
          <w:sz w:val="32"/>
          <w:lang w:val="en-US" w:eastAsia="zh-CN"/>
          <w14:textFill>
            <w14:solidFill>
              <w14:schemeClr w14:val="tx1"/>
            </w14:solidFill>
          </w14:textFill>
        </w:rPr>
        <w:t>事业收入6295.27万元，占29.03%；经营收入1036.77万元，占4.78%；</w:t>
      </w:r>
      <w:r>
        <w:rPr>
          <w:rFonts w:hint="eastAsia" w:ascii="仿宋_GB2312" w:hAnsi="仿宋_GB2312" w:eastAsia="仿宋_GB2312" w:cstheme="minorBidi"/>
          <w:color w:val="000000" w:themeColor="text1"/>
          <w:sz w:val="32"/>
          <w:szCs w:val="22"/>
          <w14:textFill>
            <w14:solidFill>
              <w14:schemeClr w14:val="tx1"/>
            </w14:solidFill>
          </w14:textFill>
        </w:rPr>
        <w:t>附属单位上缴收入</w:t>
      </w:r>
      <w:r>
        <w:rPr>
          <w:rFonts w:hint="eastAsia" w:ascii="仿宋_GB2312" w:hAnsi="仿宋_GB2312" w:eastAsia="仿宋_GB2312" w:cs="Times New Roman"/>
          <w:color w:val="000000" w:themeColor="text1"/>
          <w:sz w:val="32"/>
          <w:szCs w:val="24"/>
          <w:lang w:val="en-US" w:eastAsia="zh-CN"/>
          <w14:textFill>
            <w14:solidFill>
              <w14:schemeClr w14:val="tx1"/>
            </w14:solidFill>
          </w14:textFill>
        </w:rPr>
        <w:t>0万元，占0%；</w:t>
      </w:r>
      <w:r>
        <w:rPr>
          <w:rFonts w:hint="eastAsia" w:ascii="仿宋_GB2312" w:hAnsi="仿宋_GB2312" w:eastAsia="仿宋_GB2312"/>
          <w:color w:val="000000" w:themeColor="text1"/>
          <w:sz w:val="32"/>
          <w:lang w:val="en-US" w:eastAsia="zh-CN"/>
          <w14:textFill>
            <w14:solidFill>
              <w14:schemeClr w14:val="tx1"/>
            </w14:solidFill>
          </w14:textFill>
        </w:rPr>
        <w:t>其他收入124.97万元，占0.58%。</w:t>
      </w: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三、支出决算情况说明</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本年支出合计20108.25万元，其中：基本支出12244.32万元，占60.89%；项目支出6950.81万元，占34.57%；</w:t>
      </w:r>
      <w:r>
        <w:rPr>
          <w:rFonts w:hint="eastAsia" w:ascii="仿宋_GB2312" w:hAnsi="仿宋_GB2312" w:eastAsia="仿宋_GB2312"/>
          <w:color w:val="000000" w:themeColor="text1"/>
          <w:sz w:val="32"/>
          <w:szCs w:val="24"/>
          <w14:textFill>
            <w14:solidFill>
              <w14:schemeClr w14:val="tx1"/>
            </w14:solidFill>
          </w14:textFill>
        </w:rPr>
        <w:t>上缴上级支出</w:t>
      </w:r>
      <w:r>
        <w:rPr>
          <w:rFonts w:hint="eastAsia" w:ascii="仿宋_GB2312" w:hAnsi="仿宋_GB2312" w:eastAsia="仿宋_GB2312"/>
          <w:color w:val="000000" w:themeColor="text1"/>
          <w:sz w:val="32"/>
          <w:szCs w:val="24"/>
          <w:lang w:val="en-US" w:eastAsia="zh-CN"/>
          <w14:textFill>
            <w14:solidFill>
              <w14:schemeClr w14:val="tx1"/>
            </w14:solidFill>
          </w14:textFill>
        </w:rPr>
        <w:t>0</w:t>
      </w:r>
      <w:r>
        <w:rPr>
          <w:rFonts w:hint="eastAsia" w:ascii="仿宋_GB2312" w:hAnsi="仿宋_GB2312" w:eastAsia="仿宋_GB2312"/>
          <w:color w:val="000000" w:themeColor="text1"/>
          <w:sz w:val="32"/>
          <w:szCs w:val="24"/>
          <w14:textFill>
            <w14:solidFill>
              <w14:schemeClr w14:val="tx1"/>
            </w14:solidFill>
          </w14:textFill>
        </w:rPr>
        <w:t>万元，占</w:t>
      </w:r>
      <w:r>
        <w:rPr>
          <w:rFonts w:hint="eastAsia" w:ascii="仿宋_GB2312" w:hAnsi="仿宋_GB2312" w:eastAsia="仿宋_GB2312"/>
          <w:color w:val="000000" w:themeColor="text1"/>
          <w:sz w:val="32"/>
          <w:szCs w:val="24"/>
          <w:lang w:val="en-US" w:eastAsia="zh-CN"/>
          <w14:textFill>
            <w14:solidFill>
              <w14:schemeClr w14:val="tx1"/>
            </w14:solidFill>
          </w14:textFill>
        </w:rPr>
        <w:t>0</w:t>
      </w:r>
      <w:r>
        <w:rPr>
          <w:rFonts w:hint="eastAsia" w:ascii="仿宋_GB2312" w:hAnsi="仿宋_GB2312" w:eastAsia="仿宋_GB2312"/>
          <w:color w:val="000000" w:themeColor="text1"/>
          <w:sz w:val="32"/>
          <w:szCs w:val="24"/>
          <w14:textFill>
            <w14:solidFill>
              <w14:schemeClr w14:val="tx1"/>
            </w14:solidFill>
          </w14:textFill>
        </w:rPr>
        <w:t>%；</w:t>
      </w:r>
      <w:r>
        <w:rPr>
          <w:rFonts w:hint="eastAsia" w:ascii="仿宋_GB2312" w:hAnsi="仿宋_GB2312" w:eastAsia="仿宋_GB2312"/>
          <w:color w:val="000000" w:themeColor="text1"/>
          <w:sz w:val="32"/>
          <w:lang w:val="en-US" w:eastAsia="zh-CN"/>
          <w14:textFill>
            <w14:solidFill>
              <w14:schemeClr w14:val="tx1"/>
            </w14:solidFill>
          </w14:textFill>
        </w:rPr>
        <w:t>经营支出913.12万元，占4.54%，</w:t>
      </w:r>
      <w:r>
        <w:rPr>
          <w:rFonts w:hint="eastAsia" w:ascii="仿宋_GB2312" w:hAnsi="仿宋_GB2312" w:eastAsia="仿宋_GB2312"/>
          <w:color w:val="000000" w:themeColor="text1"/>
          <w:sz w:val="32"/>
          <w:szCs w:val="24"/>
          <w14:textFill>
            <w14:solidFill>
              <w14:schemeClr w14:val="tx1"/>
            </w14:solidFill>
          </w14:textFill>
        </w:rPr>
        <w:t>对附属单位补助支出</w:t>
      </w:r>
      <w:r>
        <w:rPr>
          <w:rFonts w:hint="eastAsia" w:ascii="仿宋_GB2312" w:hAnsi="仿宋_GB2312" w:eastAsia="仿宋_GB2312"/>
          <w:color w:val="000000" w:themeColor="text1"/>
          <w:sz w:val="32"/>
          <w:szCs w:val="24"/>
          <w:lang w:val="en-US" w:eastAsia="zh-CN"/>
          <w14:textFill>
            <w14:solidFill>
              <w14:schemeClr w14:val="tx1"/>
            </w14:solidFill>
          </w14:textFill>
        </w:rPr>
        <w:t>0</w:t>
      </w:r>
      <w:r>
        <w:rPr>
          <w:rFonts w:hint="eastAsia" w:ascii="仿宋_GB2312" w:hAnsi="仿宋_GB2312" w:eastAsia="仿宋_GB2312"/>
          <w:color w:val="000000" w:themeColor="text1"/>
          <w:sz w:val="32"/>
          <w:szCs w:val="24"/>
          <w14:textFill>
            <w14:solidFill>
              <w14:schemeClr w14:val="tx1"/>
            </w14:solidFill>
          </w14:textFill>
        </w:rPr>
        <w:t>万元，占</w:t>
      </w:r>
      <w:r>
        <w:rPr>
          <w:rFonts w:hint="eastAsia" w:ascii="仿宋_GB2312" w:hAnsi="仿宋_GB2312" w:eastAsia="仿宋_GB2312"/>
          <w:color w:val="000000" w:themeColor="text1"/>
          <w:sz w:val="32"/>
          <w:szCs w:val="24"/>
          <w:lang w:val="en-US" w:eastAsia="zh-CN"/>
          <w14:textFill>
            <w14:solidFill>
              <w14:schemeClr w14:val="tx1"/>
            </w14:solidFill>
          </w14:textFill>
        </w:rPr>
        <w:t>0</w:t>
      </w:r>
      <w:r>
        <w:rPr>
          <w:rFonts w:hint="eastAsia" w:ascii="仿宋_GB2312" w:hAnsi="仿宋_GB2312" w:eastAsia="仿宋_GB2312"/>
          <w:color w:val="000000" w:themeColor="text1"/>
          <w:sz w:val="32"/>
          <w:szCs w:val="24"/>
          <w14:textFill>
            <w14:solidFill>
              <w14:schemeClr w14:val="tx1"/>
            </w14:solidFill>
          </w14:textFill>
        </w:rPr>
        <w:t>%</w:t>
      </w:r>
      <w:r>
        <w:rPr>
          <w:rFonts w:hint="eastAsia" w:ascii="仿宋_GB2312" w:hAnsi="仿宋_GB2312" w:eastAsia="仿宋_GB2312"/>
          <w:color w:val="000000" w:themeColor="text1"/>
          <w:sz w:val="32"/>
          <w:lang w:val="en-US" w:eastAsia="zh-CN"/>
          <w14:textFill>
            <w14:solidFill>
              <w14:schemeClr w14:val="tx1"/>
            </w14:solidFill>
          </w14:textFill>
        </w:rPr>
        <w:t>。</w:t>
      </w: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四、财政拨款收入支出决算总体情况说明</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2021年度财政拨款收入合计14227.13万元，与上年</w:t>
      </w:r>
      <w:r>
        <w:rPr>
          <w:rFonts w:hint="eastAsia" w:ascii="仿宋_GB2312" w:hAnsi="仿宋_GB2312" w:eastAsia="仿宋_GB2312" w:cs="Times New Roman"/>
          <w:color w:val="000000" w:themeColor="text1"/>
          <w:kern w:val="2"/>
          <w:sz w:val="32"/>
          <w:szCs w:val="24"/>
          <w14:textFill>
            <w14:solidFill>
              <w14:schemeClr w14:val="tx1"/>
            </w14:solidFill>
          </w14:textFill>
        </w:rPr>
        <w:t>12529.62</w:t>
      </w:r>
      <w:r>
        <w:rPr>
          <w:rFonts w:hint="eastAsia" w:ascii="仿宋_GB2312" w:hAnsi="仿宋_GB2312" w:eastAsia="仿宋_GB2312" w:cs="Times New Roman"/>
          <w:color w:val="000000" w:themeColor="text1"/>
          <w:kern w:val="2"/>
          <w:sz w:val="32"/>
          <w:szCs w:val="24"/>
          <w:lang w:val="en-US" w:eastAsia="zh-CN"/>
          <w14:textFill>
            <w14:solidFill>
              <w14:schemeClr w14:val="tx1"/>
            </w14:solidFill>
          </w14:textFill>
        </w:rPr>
        <w:t>万</w:t>
      </w:r>
      <w:r>
        <w:rPr>
          <w:rFonts w:hint="eastAsia" w:ascii="仿宋_GB2312" w:hAnsi="仿宋_GB2312" w:eastAsia="仿宋_GB2312"/>
          <w:color w:val="000000" w:themeColor="text1"/>
          <w:sz w:val="32"/>
          <w:lang w:val="en-US" w:eastAsia="zh-CN"/>
          <w14:textFill>
            <w14:solidFill>
              <w14:schemeClr w14:val="tx1"/>
            </w14:solidFill>
          </w14:textFill>
        </w:rPr>
        <w:t>相比，增加1697.51万元,增加13.54%，主要增加高校基建补短板资金、基础教育支出、高校基础设施建设资金等基建、维修资金收入等。</w:t>
      </w:r>
    </w:p>
    <w:p>
      <w:pPr>
        <w:pStyle w:val="16"/>
        <w:ind w:firstLine="640"/>
        <w:rPr>
          <w:rFonts w:hint="eastAsia" w:ascii="仿宋_GB2312" w:hAnsi="仿宋_GB2312" w:eastAsia="仿宋_GB2312" w:cs="Times New Roman"/>
          <w:color w:val="000000" w:themeColor="text1"/>
          <w:kern w:val="2"/>
          <w:sz w:val="32"/>
          <w:szCs w:val="24"/>
          <w14:textFill>
            <w14:solidFill>
              <w14:schemeClr w14:val="tx1"/>
            </w14:solidFill>
          </w14:textFill>
        </w:rPr>
      </w:pPr>
      <w:r>
        <w:rPr>
          <w:rFonts w:hint="eastAsia" w:ascii="仿宋_GB2312" w:hAnsi="仿宋_GB2312" w:eastAsia="仿宋_GB2312" w:cs="Times New Roman"/>
          <w:color w:val="000000" w:themeColor="text1"/>
          <w:kern w:val="2"/>
          <w:sz w:val="32"/>
          <w:szCs w:val="24"/>
          <w14:textFill>
            <w14:solidFill>
              <w14:schemeClr w14:val="tx1"/>
            </w14:solidFill>
          </w14:textFill>
        </w:rPr>
        <w:t>202</w:t>
      </w:r>
      <w:r>
        <w:rPr>
          <w:rFonts w:hint="eastAsia" w:ascii="仿宋_GB2312" w:hAnsi="仿宋_GB2312" w:eastAsia="仿宋_GB2312" w:cs="Times New Roman"/>
          <w:color w:val="000000" w:themeColor="text1"/>
          <w:kern w:val="2"/>
          <w:sz w:val="32"/>
          <w:szCs w:val="24"/>
          <w:lang w:val="en-US" w:eastAsia="zh-CN"/>
          <w14:textFill>
            <w14:solidFill>
              <w14:schemeClr w14:val="tx1"/>
            </w14:solidFill>
          </w14:textFill>
        </w:rPr>
        <w:t>1</w:t>
      </w:r>
      <w:r>
        <w:rPr>
          <w:rFonts w:hint="eastAsia" w:ascii="仿宋_GB2312" w:hAnsi="仿宋_GB2312" w:eastAsia="仿宋_GB2312" w:cs="Times New Roman"/>
          <w:color w:val="000000" w:themeColor="text1"/>
          <w:kern w:val="2"/>
          <w:sz w:val="32"/>
          <w:szCs w:val="24"/>
          <w14:textFill>
            <w14:solidFill>
              <w14:schemeClr w14:val="tx1"/>
            </w14:solidFill>
          </w14:textFill>
        </w:rPr>
        <w:t>年度财政拨款支出合计</w:t>
      </w:r>
      <w:r>
        <w:rPr>
          <w:rFonts w:hint="eastAsia" w:ascii="仿宋_GB2312" w:hAnsi="仿宋_GB2312" w:eastAsia="仿宋_GB2312" w:cs="Times New Roman"/>
          <w:color w:val="000000" w:themeColor="text1"/>
          <w:kern w:val="2"/>
          <w:sz w:val="32"/>
          <w:szCs w:val="24"/>
          <w:lang w:val="en-US" w:eastAsia="zh-CN"/>
          <w14:textFill>
            <w14:solidFill>
              <w14:schemeClr w14:val="tx1"/>
            </w14:solidFill>
          </w14:textFill>
        </w:rPr>
        <w:t>12935.24</w:t>
      </w:r>
      <w:r>
        <w:rPr>
          <w:rFonts w:hint="eastAsia" w:ascii="仿宋_GB2312" w:hAnsi="仿宋_GB2312" w:eastAsia="仿宋_GB2312" w:cs="Times New Roman"/>
          <w:color w:val="000000" w:themeColor="text1"/>
          <w:kern w:val="2"/>
          <w:sz w:val="32"/>
          <w:szCs w:val="24"/>
          <w14:textFill>
            <w14:solidFill>
              <w14:schemeClr w14:val="tx1"/>
            </w14:solidFill>
          </w14:textFill>
        </w:rPr>
        <w:t>万元，与上年11639.98</w:t>
      </w:r>
      <w:r>
        <w:rPr>
          <w:rFonts w:hint="eastAsia" w:ascii="仿宋_GB2312" w:hAnsi="仿宋_GB2312" w:eastAsia="仿宋_GB2312" w:cs="Times New Roman"/>
          <w:color w:val="000000" w:themeColor="text1"/>
          <w:kern w:val="2"/>
          <w:sz w:val="32"/>
          <w:szCs w:val="24"/>
          <w:lang w:val="en-US" w:eastAsia="zh-CN"/>
          <w14:textFill>
            <w14:solidFill>
              <w14:schemeClr w14:val="tx1"/>
            </w14:solidFill>
          </w14:textFill>
        </w:rPr>
        <w:t>万</w:t>
      </w:r>
      <w:r>
        <w:rPr>
          <w:rFonts w:hint="eastAsia" w:ascii="仿宋_GB2312" w:hAnsi="仿宋_GB2312" w:eastAsia="仿宋_GB2312" w:cs="Times New Roman"/>
          <w:color w:val="000000" w:themeColor="text1"/>
          <w:kern w:val="2"/>
          <w:sz w:val="32"/>
          <w:szCs w:val="24"/>
          <w14:textFill>
            <w14:solidFill>
              <w14:schemeClr w14:val="tx1"/>
            </w14:solidFill>
          </w14:textFill>
        </w:rPr>
        <w:t>相比，增加</w:t>
      </w:r>
      <w:r>
        <w:rPr>
          <w:rFonts w:hint="eastAsia" w:ascii="仿宋_GB2312" w:hAnsi="仿宋_GB2312" w:eastAsia="仿宋_GB2312" w:cs="Times New Roman"/>
          <w:color w:val="000000" w:themeColor="text1"/>
          <w:kern w:val="2"/>
          <w:sz w:val="32"/>
          <w:szCs w:val="24"/>
          <w:lang w:val="en-US" w:eastAsia="zh-CN"/>
          <w14:textFill>
            <w14:solidFill>
              <w14:schemeClr w14:val="tx1"/>
            </w14:solidFill>
          </w14:textFill>
        </w:rPr>
        <w:t>1295.26</w:t>
      </w:r>
      <w:r>
        <w:rPr>
          <w:rFonts w:hint="eastAsia" w:ascii="仿宋_GB2312" w:hAnsi="仿宋_GB2312" w:eastAsia="仿宋_GB2312" w:cs="Times New Roman"/>
          <w:color w:val="000000" w:themeColor="text1"/>
          <w:kern w:val="2"/>
          <w:sz w:val="32"/>
          <w:szCs w:val="24"/>
          <w14:textFill>
            <w14:solidFill>
              <w14:schemeClr w14:val="tx1"/>
            </w14:solidFill>
          </w14:textFill>
        </w:rPr>
        <w:t>万元,增长</w:t>
      </w:r>
      <w:r>
        <w:rPr>
          <w:rFonts w:hint="eastAsia" w:ascii="仿宋_GB2312" w:hAnsi="仿宋_GB2312" w:eastAsia="仿宋_GB2312" w:cs="Times New Roman"/>
          <w:color w:val="000000" w:themeColor="text1"/>
          <w:kern w:val="2"/>
          <w:sz w:val="32"/>
          <w:szCs w:val="24"/>
          <w:lang w:val="en-US" w:eastAsia="zh-CN"/>
          <w14:textFill>
            <w14:solidFill>
              <w14:schemeClr w14:val="tx1"/>
            </w14:solidFill>
          </w14:textFill>
        </w:rPr>
        <w:t>11.13</w:t>
      </w:r>
      <w:r>
        <w:rPr>
          <w:rFonts w:hint="eastAsia" w:ascii="仿宋_GB2312" w:hAnsi="仿宋_GB2312" w:eastAsia="仿宋_GB2312" w:cs="Times New Roman"/>
          <w:color w:val="000000" w:themeColor="text1"/>
          <w:kern w:val="2"/>
          <w:sz w:val="32"/>
          <w:szCs w:val="24"/>
          <w14:textFill>
            <w14:solidFill>
              <w14:schemeClr w14:val="tx1"/>
            </w14:solidFill>
          </w14:textFill>
        </w:rPr>
        <w:t>%，主要是因为</w:t>
      </w:r>
      <w:r>
        <w:rPr>
          <w:rFonts w:hint="eastAsia" w:ascii="仿宋_GB2312" w:hAnsi="仿宋_GB2312" w:eastAsia="仿宋_GB2312" w:cs="Times New Roman"/>
          <w:color w:val="000000" w:themeColor="text1"/>
          <w:kern w:val="2"/>
          <w:sz w:val="32"/>
          <w:lang w:val="en-US" w:eastAsia="zh-CN"/>
          <w14:textFill>
            <w14:solidFill>
              <w14:schemeClr w14:val="tx1"/>
            </w14:solidFill>
          </w14:textFill>
        </w:rPr>
        <w:t>增加高校基建补短板资金、基础教育支出、高校基础设施建设资金等基建、维修资金支出 等</w:t>
      </w:r>
      <w:r>
        <w:rPr>
          <w:rFonts w:hint="eastAsia" w:ascii="仿宋_GB2312" w:hAnsi="仿宋_GB2312" w:eastAsia="仿宋_GB2312" w:cs="Times New Roman"/>
          <w:color w:val="000000" w:themeColor="text1"/>
          <w:kern w:val="2"/>
          <w:sz w:val="32"/>
          <w:szCs w:val="24"/>
          <w14:textFill>
            <w14:solidFill>
              <w14:schemeClr w14:val="tx1"/>
            </w14:solidFill>
          </w14:textFill>
        </w:rPr>
        <w:t>。</w:t>
      </w: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五、一般公共预算财政拨款支出决算情况说明</w:t>
      </w:r>
    </w:p>
    <w:p>
      <w:pPr>
        <w:pStyle w:val="3"/>
        <w:keepNext w:val="0"/>
        <w:keepLines w:val="0"/>
        <w:pageBreakBefore w:val="0"/>
        <w:widowControl w:val="0"/>
        <w:kinsoku/>
        <w:wordWrap/>
        <w:overflowPunct/>
        <w:topLinePunct w:val="0"/>
        <w:bidi w:val="0"/>
        <w:snapToGrid/>
        <w:ind w:firstLine="640" w:firstLineChars="200"/>
        <w:textAlignment w:val="auto"/>
        <w:outlineLvl w:val="2"/>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（一）财政拨款支出决算总体情况</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2021年度财政拨款支出12935.24万元,占本年支出合计的64.33%，与上年相比，财政拨款支出增加1295.26万元，增加11.13%，因为财政拨款总额增加，主要增加高校基建补短板资金、基础教育支出、高校基础设施建设资金等基建、维修资金支出等。</w:t>
      </w:r>
    </w:p>
    <w:p>
      <w:pPr>
        <w:pStyle w:val="3"/>
        <w:keepNext w:val="0"/>
        <w:keepLines w:val="0"/>
        <w:pageBreakBefore w:val="0"/>
        <w:widowControl w:val="0"/>
        <w:kinsoku/>
        <w:wordWrap/>
        <w:overflowPunct/>
        <w:topLinePunct w:val="0"/>
        <w:bidi w:val="0"/>
        <w:snapToGrid/>
        <w:ind w:firstLine="640" w:firstLineChars="200"/>
        <w:textAlignment w:val="auto"/>
        <w:outlineLvl w:val="2"/>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（二）财政拨款支出决算结构情况</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558ED5" w:themeColor="text2" w:themeTint="99"/>
          <w:sz w:val="32"/>
          <w:lang w:val="en-US" w:eastAsia="zh-CN"/>
          <w14:textFill>
            <w14:solidFill>
              <w14:schemeClr w14:val="tx2">
                <w14:lumMod w14:val="60000"/>
                <w14:lumOff w14:val="40000"/>
              </w14:schemeClr>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2021年度财政拨款支出12935.24万元，主要用于以下方面：一般公共服务（类）支出2.50万元，占0.02%；教育支出10653.19万元，占82.36%；科学技术支出0.83万元，占0.01%；社会保障和就业支出1321.15万元，占10.21%；卫生健康支出32万元，占0.25%；节能环保支出176.58万元，占1.36%；农林水支出5万元，占0.04%；住房保障支出744万元，占5.75%。</w:t>
      </w:r>
    </w:p>
    <w:p>
      <w:pPr>
        <w:pStyle w:val="3"/>
        <w:keepNext w:val="0"/>
        <w:keepLines w:val="0"/>
        <w:pageBreakBefore w:val="0"/>
        <w:widowControl w:val="0"/>
        <w:kinsoku/>
        <w:wordWrap/>
        <w:overflowPunct/>
        <w:topLinePunct w:val="0"/>
        <w:bidi w:val="0"/>
        <w:snapToGrid/>
        <w:ind w:firstLine="640" w:firstLineChars="200"/>
        <w:textAlignment w:val="auto"/>
        <w:outlineLvl w:val="2"/>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（三）财政拨款支出决算具体情况</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2021年度财政拨款支出年初预算数为8644.27万元，以前年度结转资金1737.07万元，年中追加5582.86万元，资金总额15964.20万元，支出决算数为12935.24万元，占资金总额的81.03%，</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color w:val="000000" w:themeColor="text1"/>
          <w:sz w:val="32"/>
          <w:szCs w:val="24"/>
          <w:lang w:val="en-US" w:eastAsia="zh-CN"/>
          <w14:textFill>
            <w14:solidFill>
              <w14:schemeClr w14:val="tx1"/>
            </w14:solidFill>
          </w14:textFill>
        </w:rPr>
        <w:t>149.64</w:t>
      </w:r>
      <w:r>
        <w:rPr>
          <w:rFonts w:hint="eastAsia" w:ascii="仿宋_GB2312" w:hAnsi="仿宋_GB2312" w:eastAsia="仿宋_GB2312"/>
          <w:color w:val="000000" w:themeColor="text1"/>
          <w:sz w:val="32"/>
          <w:szCs w:val="24"/>
          <w14:textFill>
            <w14:solidFill>
              <w14:schemeClr w14:val="tx1"/>
            </w14:solidFill>
          </w14:textFill>
        </w:rPr>
        <w:t>%，</w:t>
      </w:r>
      <w:r>
        <w:rPr>
          <w:rFonts w:hint="eastAsia" w:ascii="仿宋_GB2312" w:hAnsi="仿宋_GB2312" w:eastAsia="仿宋_GB2312"/>
          <w:color w:val="000000" w:themeColor="text1"/>
          <w:sz w:val="32"/>
          <w:lang w:val="en-US" w:eastAsia="zh-CN"/>
          <w14:textFill>
            <w14:solidFill>
              <w14:schemeClr w14:val="tx1"/>
            </w14:solidFill>
          </w14:textFill>
        </w:rPr>
        <w:t>其中：</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一般公共服务（类）财政事务（款）其他财政事务支出（项）。</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为追加预算2万元，支出决算为1.70万元，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color w:val="000000" w:themeColor="text1"/>
          <w:sz w:val="32"/>
          <w:lang w:val="en-US" w:eastAsia="zh-CN"/>
          <w14:textFill>
            <w14:solidFill>
              <w14:schemeClr w14:val="tx1"/>
            </w14:solidFill>
          </w14:textFill>
        </w:rPr>
        <w:t>85%，主要用于2021年会计管理业务工作经费，决算数小于年初预算数，主要是我单位严格控制预算，经费将结转下年继续使用。</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一般公共服务（类）组织事务（款）其他组织事务支出（项）</w:t>
      </w:r>
      <w:r>
        <w:rPr>
          <w:rFonts w:hint="eastAsia" w:ascii="仿宋_GB2312" w:hAnsi="仿宋_GB2312" w:eastAsia="仿宋_GB2312"/>
          <w:color w:val="000000" w:themeColor="text1"/>
          <w:sz w:val="32"/>
          <w:lang w:val="en-US" w:eastAsia="zh-CN"/>
          <w14:textFill>
            <w14:solidFill>
              <w14:schemeClr w14:val="tx1"/>
            </w14:solidFill>
          </w14:textFill>
        </w:rPr>
        <w:t>。</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为以前年度结转资金0.81万元，支出决算为0.81万元，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color w:val="000000" w:themeColor="text1"/>
          <w:sz w:val="32"/>
          <w:lang w:val="en-US" w:eastAsia="zh-CN"/>
          <w14:textFill>
            <w14:solidFill>
              <w14:schemeClr w14:val="tx1"/>
            </w14:solidFill>
          </w14:textFill>
        </w:rPr>
        <w:t>100%，主要用于专技人员培训、博士后研究人员日常培训补助（省级）。决算数等于预算数，主要是我单位严格执行预算。</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教育支出（类）职业教育（款）中等职业教育（项）。</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为以前年度结转资金11.12万元，支出决算11.12万元，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color w:val="000000" w:themeColor="text1"/>
          <w:sz w:val="32"/>
          <w:lang w:val="en-US" w:eastAsia="zh-CN"/>
          <w14:textFill>
            <w14:solidFill>
              <w14:schemeClr w14:val="tx1"/>
            </w14:solidFill>
          </w14:textFill>
        </w:rPr>
        <w:t>100%，主要用于职业教育教师素质提升计划、学生资助补助。决算数等于预算数，主要是我单位严格执行预算。</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教育支出（类）职业教育（款）高等职业教育（项）。</w:t>
      </w:r>
    </w:p>
    <w:p>
      <w:pPr>
        <w:pStyle w:val="3"/>
        <w:keepNext w:val="0"/>
        <w:keepLines w:val="0"/>
        <w:pageBreakBefore w:val="0"/>
        <w:widowControl w:val="0"/>
        <w:numPr>
          <w:ilvl w:val="-1"/>
          <w:numId w:val="0"/>
        </w:numPr>
        <w:kinsoku/>
        <w:wordWrap/>
        <w:overflowPunct/>
        <w:topLinePunct w:val="0"/>
        <w:bidi w:val="0"/>
        <w:snapToGrid/>
        <w:ind w:firstLine="643"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为</w:t>
      </w:r>
      <w:r>
        <w:rPr>
          <w:rFonts w:hint="eastAsia" w:ascii="仿宋_GB2312" w:hAnsi="仿宋_GB2312" w:eastAsia="仿宋_GB2312"/>
          <w:color w:val="000000" w:themeColor="text1"/>
          <w:sz w:val="32"/>
          <w:lang w:val="en-US" w:eastAsia="zh-CN"/>
          <w14:textFill>
            <w14:solidFill>
              <w14:schemeClr w14:val="tx1"/>
            </w14:solidFill>
          </w14:textFill>
        </w:rPr>
        <w:t>以前年度结转资金1681.90万元，年初预算6573.27万元，追加5377.26万元，资金总额13632.43万元，支出决算10642.06万元，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color w:val="000000" w:themeColor="text1"/>
          <w:sz w:val="32"/>
          <w:lang w:val="en-US" w:eastAsia="zh-CN"/>
          <w14:textFill>
            <w14:solidFill>
              <w14:schemeClr w14:val="tx1"/>
            </w14:solidFill>
          </w14:textFill>
        </w:rPr>
        <w:t>78.06%，主要用于高等职业教育支出，决算数小于年初预算数，主要是我单位严格控制预算，结余经费将结转下年继续使用。</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科学技术支出（类）社会科学（款）其他社会科学支出（项）。</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为追加预算3.6万元，支出决算0万元，主要为省社科基金项目经费未支出，结余经费将结转下年继续使用。</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科学技术支出（类）科学技术普及（款）其他科学技术普及支出（项）。</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为追加预算15万元，支出决算0.83万元，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color w:val="000000" w:themeColor="text1"/>
          <w:sz w:val="32"/>
          <w:lang w:val="en-US" w:eastAsia="zh-CN"/>
          <w14:textFill>
            <w14:solidFill>
              <w14:schemeClr w14:val="tx1"/>
            </w14:solidFill>
          </w14:textFill>
        </w:rPr>
        <w:t>5.53%，主要用于创新型省份建设专项，决算数小于年初预算数，主要是我单位严格控制预算，结余经费将结转下年继续使用。</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社会保障和就业支出（类）人力资源和社会保障管理事务（款）其他人力资源和社会保障管理事务支出（项）。</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eastAsia" w:ascii="仿宋_GB2312" w:hAnsi="仿宋_GB2312" w:eastAsia="仿宋_GB2312"/>
          <w:b w:val="0"/>
          <w:bCs w:val="0"/>
          <w:color w:val="000000" w:themeColor="text1"/>
          <w:sz w:val="32"/>
          <w:lang w:val="en-US" w:eastAsia="zh-CN"/>
          <w14:textFill>
            <w14:solidFill>
              <w14:schemeClr w14:val="tx1"/>
            </w14:solidFill>
          </w14:textFill>
        </w:rPr>
      </w:pPr>
      <w:r>
        <w:rPr>
          <w:rFonts w:hint="eastAsia" w:ascii="仿宋_GB2312" w:hAnsi="仿宋_GB2312" w:eastAsia="仿宋_GB2312"/>
          <w:b w:val="0"/>
          <w:bCs w:val="0"/>
          <w:color w:val="000000" w:themeColor="text1"/>
          <w:sz w:val="32"/>
          <w:lang w:val="en-US" w:eastAsia="zh-CN"/>
          <w14:textFill>
            <w14:solidFill>
              <w14:schemeClr w14:val="tx1"/>
            </w14:solidFill>
          </w14:textFill>
        </w:rPr>
        <w:t>为追加预算13万元，支出决算12.18万元，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b w:val="0"/>
          <w:bCs w:val="0"/>
          <w:color w:val="000000" w:themeColor="text1"/>
          <w:sz w:val="32"/>
          <w:lang w:val="en-US" w:eastAsia="zh-CN"/>
          <w14:textFill>
            <w14:solidFill>
              <w14:schemeClr w14:val="tx1"/>
            </w14:solidFill>
          </w14:textFill>
        </w:rPr>
        <w:t>93.69%，主要用于专技人员培训、博士后研究人员日常培训补助（省级），</w:t>
      </w:r>
      <w:r>
        <w:rPr>
          <w:rFonts w:hint="eastAsia" w:ascii="仿宋_GB2312" w:hAnsi="仿宋_GB2312" w:eastAsia="仿宋_GB2312"/>
          <w:color w:val="000000" w:themeColor="text1"/>
          <w:sz w:val="32"/>
          <w:lang w:val="en-US" w:eastAsia="zh-CN"/>
          <w14:textFill>
            <w14:solidFill>
              <w14:schemeClr w14:val="tx1"/>
            </w14:solidFill>
          </w14:textFill>
        </w:rPr>
        <w:t>决算数小于年初预算数，主要是我单位严格控制预算，</w:t>
      </w:r>
      <w:r>
        <w:rPr>
          <w:rFonts w:hint="eastAsia" w:ascii="仿宋_GB2312" w:hAnsi="仿宋_GB2312" w:eastAsia="仿宋_GB2312"/>
          <w:b w:val="0"/>
          <w:bCs w:val="0"/>
          <w:color w:val="000000" w:themeColor="text1"/>
          <w:sz w:val="32"/>
          <w:lang w:val="en-US" w:eastAsia="zh-CN"/>
          <w14:textFill>
            <w14:solidFill>
              <w14:schemeClr w14:val="tx1"/>
            </w14:solidFill>
          </w14:textFill>
        </w:rPr>
        <w:t>结余经费将结转下年继续使用。</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社会保障和就业支出（类）行政事业单位养老支出（款）机关事业单位基本养老保险缴费支出（项）。</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eastAsia" w:ascii="仿宋_GB2312" w:hAnsi="仿宋_GB2312" w:eastAsia="仿宋_GB2312"/>
          <w:b w:val="0"/>
          <w:bCs w:val="0"/>
          <w:color w:val="000000" w:themeColor="text1"/>
          <w:sz w:val="32"/>
          <w:lang w:val="en-US" w:eastAsia="zh-CN"/>
          <w14:textFill>
            <w14:solidFill>
              <w14:schemeClr w14:val="tx1"/>
            </w14:solidFill>
          </w14:textFill>
        </w:rPr>
      </w:pPr>
      <w:r>
        <w:rPr>
          <w:rFonts w:hint="eastAsia" w:ascii="仿宋_GB2312" w:hAnsi="仿宋_GB2312" w:eastAsia="仿宋_GB2312"/>
          <w:b w:val="0"/>
          <w:bCs w:val="0"/>
          <w:color w:val="000000" w:themeColor="text1"/>
          <w:sz w:val="32"/>
          <w:lang w:val="en-US" w:eastAsia="zh-CN"/>
          <w14:textFill>
            <w14:solidFill>
              <w14:schemeClr w14:val="tx1"/>
            </w14:solidFill>
          </w14:textFill>
        </w:rPr>
        <w:t>为年初预算1295.00万元，支出决算1295.00万元，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b w:val="0"/>
          <w:bCs w:val="0"/>
          <w:color w:val="000000" w:themeColor="text1"/>
          <w:sz w:val="32"/>
          <w:lang w:val="en-US" w:eastAsia="zh-CN"/>
          <w14:textFill>
            <w14:solidFill>
              <w14:schemeClr w14:val="tx1"/>
            </w14:solidFill>
          </w14:textFill>
        </w:rPr>
        <w:t>100%，主要用于社会保险缴费。</w:t>
      </w:r>
      <w:r>
        <w:rPr>
          <w:rFonts w:hint="eastAsia" w:ascii="仿宋_GB2312" w:hAnsi="仿宋_GB2312" w:eastAsia="仿宋_GB2312"/>
          <w:color w:val="000000" w:themeColor="text1"/>
          <w:sz w:val="32"/>
          <w:lang w:val="en-US" w:eastAsia="zh-CN"/>
          <w14:textFill>
            <w14:solidFill>
              <w14:schemeClr w14:val="tx1"/>
            </w14:solidFill>
          </w14:textFill>
        </w:rPr>
        <w:t>决算数等于预算数，主要是我单位严格执行预算。</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社会保障和就业支出（类）就业补助（款）就业创业服务补贴（项）。</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以前年度结转资金13.97万元，追加预算19.4万元，资金总额33.37万元，支出决算13.97万元，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color w:val="000000" w:themeColor="text1"/>
          <w:sz w:val="32"/>
          <w:lang w:val="en-US" w:eastAsia="zh-CN"/>
          <w14:textFill>
            <w14:solidFill>
              <w14:schemeClr w14:val="tx1"/>
            </w14:solidFill>
          </w14:textFill>
        </w:rPr>
        <w:t>41.86%，主要用于就业补助专项（省级），决算数小于年初预算数，主要是我单位严格控制预算，结余经费将结转下年继续使用。</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卫生健康支出（类）行政事业单位医疗（款）事业单位医疗（项）。</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年初预算32万元，支出决算32万元，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color w:val="000000" w:themeColor="text1"/>
          <w:sz w:val="32"/>
          <w:lang w:val="en-US" w:eastAsia="zh-CN"/>
          <w14:textFill>
            <w14:solidFill>
              <w14:schemeClr w14:val="tx1"/>
            </w14:solidFill>
          </w14:textFill>
        </w:rPr>
        <w:t>100%，主要用于医疗费补助。决算数等于预算数，主要是我单位严格执行预算。</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节能环保支出（类）污染防治（款）水体（项）。</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为追加预算152.60万元，支出决算152.30万元，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color w:val="000000" w:themeColor="text1"/>
          <w:sz w:val="32"/>
          <w:lang w:val="en-US" w:eastAsia="zh-CN"/>
          <w14:textFill>
            <w14:solidFill>
              <w14:schemeClr w14:val="tx1"/>
            </w14:solidFill>
          </w14:textFill>
        </w:rPr>
        <w:t>99.80%，主要用于2019年中央水污染防治专项资金，决算数小于年初预算数，主要是我单位严格控制预算，结余经费将结转下年继续使用。</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节能环保支出（类）污染防治（款）其他污染防治（项）。</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以前年度结转资金4.28万元，支出决算4.28万元，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color w:val="000000" w:themeColor="text1"/>
          <w:sz w:val="32"/>
          <w:lang w:val="en-US" w:eastAsia="zh-CN"/>
          <w14:textFill>
            <w14:solidFill>
              <w14:schemeClr w14:val="tx1"/>
            </w14:solidFill>
          </w14:textFill>
        </w:rPr>
        <w:t>100%，主要用于企业用地调查能力建设、土壤项目评估维修（护）费等项目。决算数等于预算数，主要是我单位严格执行预算。</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节能环保支出（类）能源节约利用（款）能源节约利用（项）。</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以前年度结转资金20.00万元，支出决算20.00万元，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color w:val="000000" w:themeColor="text1"/>
          <w:sz w:val="32"/>
          <w:lang w:val="en-US" w:eastAsia="zh-CN"/>
          <w14:textFill>
            <w14:solidFill>
              <w14:schemeClr w14:val="tx1"/>
            </w14:solidFill>
          </w14:textFill>
        </w:rPr>
        <w:t>100%，主要用于公共机构节能补助资金(省级)电力改造项目。决算数等于预算数，主要是我单位严格执行预算。</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农林水支出（类）农业农村（款）统计监测与信息服务（项）。</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default"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以前年度结转资金5万元，支出决算5.00万元，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color w:val="000000" w:themeColor="text1"/>
          <w:sz w:val="32"/>
          <w:lang w:val="en-US" w:eastAsia="zh-CN"/>
          <w14:textFill>
            <w14:solidFill>
              <w14:schemeClr w14:val="tx1"/>
            </w14:solidFill>
          </w14:textFill>
        </w:rPr>
        <w:t>100%，主要用于农业农村信息化与农产品营销促销。决算数等于预算数，主要是我单位严格执行预算。</w:t>
      </w:r>
    </w:p>
    <w:p>
      <w:pPr>
        <w:pStyle w:val="3"/>
        <w:keepNext w:val="0"/>
        <w:keepLines w:val="0"/>
        <w:pageBreakBefore w:val="0"/>
        <w:widowControl w:val="0"/>
        <w:numPr>
          <w:ilvl w:val="0"/>
          <w:numId w:val="3"/>
        </w:numPr>
        <w:kinsoku/>
        <w:wordWrap/>
        <w:overflowPunct/>
        <w:topLinePunct w:val="0"/>
        <w:bidi w:val="0"/>
        <w:snapToGrid/>
        <w:ind w:firstLine="643" w:firstLineChars="200"/>
        <w:textAlignment w:val="auto"/>
        <w:rPr>
          <w:rFonts w:hint="eastAsia" w:ascii="仿宋_GB2312" w:hAnsi="仿宋_GB2312" w:eastAsia="仿宋_GB2312"/>
          <w:b/>
          <w:bCs/>
          <w:color w:val="000000" w:themeColor="text1"/>
          <w:sz w:val="32"/>
          <w:lang w:val="en-US" w:eastAsia="zh-CN"/>
          <w14:textFill>
            <w14:solidFill>
              <w14:schemeClr w14:val="tx1"/>
            </w14:solidFill>
          </w14:textFill>
        </w:rPr>
      </w:pPr>
      <w:r>
        <w:rPr>
          <w:rFonts w:hint="eastAsia" w:ascii="仿宋_GB2312" w:hAnsi="仿宋_GB2312" w:eastAsia="仿宋_GB2312"/>
          <w:b/>
          <w:bCs/>
          <w:color w:val="000000" w:themeColor="text1"/>
          <w:sz w:val="32"/>
          <w:lang w:val="en-US" w:eastAsia="zh-CN"/>
          <w14:textFill>
            <w14:solidFill>
              <w14:schemeClr w14:val="tx1"/>
            </w14:solidFill>
          </w14:textFill>
        </w:rPr>
        <w:t>住房保障支出（类）住房改革支出（款）住房公积金（项）。</w:t>
      </w:r>
    </w:p>
    <w:p>
      <w:pPr>
        <w:pStyle w:val="3"/>
        <w:keepNext w:val="0"/>
        <w:keepLines w:val="0"/>
        <w:pageBreakBefore w:val="0"/>
        <w:widowControl w:val="0"/>
        <w:numPr>
          <w:ilvl w:val="-1"/>
          <w:numId w:val="0"/>
        </w:numPr>
        <w:kinsoku/>
        <w:wordWrap/>
        <w:overflowPunct/>
        <w:topLinePunct w:val="0"/>
        <w:bidi w:val="0"/>
        <w:snapToGrid/>
        <w:ind w:firstLine="640" w:firstLineChars="200"/>
        <w:textAlignment w:val="auto"/>
        <w:rPr>
          <w:rFonts w:hint="default"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年初预算744万元，支出决算744万元，</w:t>
      </w:r>
      <w:r>
        <w:rPr>
          <w:rFonts w:hint="eastAsia" w:ascii="仿宋_GB2312" w:hAnsi="仿宋_GB2312" w:eastAsia="仿宋_GB2312"/>
          <w:color w:val="000000" w:themeColor="text1"/>
          <w:sz w:val="32"/>
          <w:szCs w:val="24"/>
          <w14:textFill>
            <w14:solidFill>
              <w14:schemeClr w14:val="tx1"/>
            </w14:solidFill>
          </w14:textFill>
        </w:rPr>
        <w:t>完成年初预算的</w:t>
      </w:r>
      <w:r>
        <w:rPr>
          <w:rFonts w:hint="eastAsia" w:ascii="仿宋_GB2312" w:hAnsi="仿宋_GB2312" w:eastAsia="仿宋_GB2312"/>
          <w:color w:val="000000" w:themeColor="text1"/>
          <w:sz w:val="32"/>
          <w:lang w:val="en-US" w:eastAsia="zh-CN"/>
          <w14:textFill>
            <w14:solidFill>
              <w14:schemeClr w14:val="tx1"/>
            </w14:solidFill>
          </w14:textFill>
        </w:rPr>
        <w:t>100%，主要用于住房公积金。决算数等于预算数，主要是我单位严格执行预算。</w:t>
      </w: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六、一般公共预算财政拨款基本支出决算情况说明</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2021年度财政拨款基本支出6798.92万元，其中：</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(一)人员经费6358.46万元，占基本支出的93.52%。</w:t>
      </w:r>
      <w:r>
        <w:rPr>
          <w:rFonts w:hint="eastAsia" w:ascii="仿宋_GB2312" w:hAnsi="仿宋_GB2312" w:eastAsia="仿宋_GB2312"/>
          <w:color w:val="000000" w:themeColor="text1"/>
          <w:sz w:val="32"/>
          <w:lang w:val="en-US" w:eastAsia="zh-CN"/>
          <w14:textFill>
            <w14:solidFill>
              <w14:schemeClr w14:val="tx1"/>
            </w14:solidFill>
          </w14:textFill>
        </w:rPr>
        <w:t>主要包括基本工资、津贴补贴、奖金、伙食补助费、绩效工资、机关事业单位基本养老保险缴费、职工基本医疗保险缴费、其他社会保障缴费、住房公积金、医疗费、其他工资福利支出、离休费、抚恤金、生活补助、医疗费补助、助学金、其他对个人和家庭的补助；</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（二）公用经费440.46万元，占基本支出的6.48%。</w:t>
      </w:r>
      <w:r>
        <w:rPr>
          <w:rFonts w:hint="eastAsia" w:ascii="仿宋_GB2312" w:hAnsi="仿宋_GB2312" w:eastAsia="仿宋_GB2312"/>
          <w:color w:val="000000" w:themeColor="text1"/>
          <w:sz w:val="32"/>
          <w:lang w:val="en-US" w:eastAsia="zh-CN"/>
          <w14:textFill>
            <w14:solidFill>
              <w14:schemeClr w14:val="tx1"/>
            </w14:solidFill>
          </w14:textFill>
        </w:rPr>
        <w:t>主要包括办公费、印刷费、咨询费、水费、电费、邮电费、物业管理费、差旅费、维修（护）费、租赁费、会议费、培训费、公务接待费、专用材料费、劳务费、工会经费、公务用车运行维护费、其他交通费用、其他商品和服务支出、专用设备购置、其他资本性支出。</w:t>
      </w: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七、一般公共预算财政拨款三公经费支出决算情况说明</w:t>
      </w:r>
    </w:p>
    <w:p>
      <w:pPr>
        <w:pStyle w:val="3"/>
        <w:keepNext w:val="0"/>
        <w:keepLines w:val="0"/>
        <w:pageBreakBefore w:val="0"/>
        <w:widowControl w:val="0"/>
        <w:kinsoku/>
        <w:wordWrap/>
        <w:overflowPunct/>
        <w:topLinePunct w:val="0"/>
        <w:bidi w:val="0"/>
        <w:snapToGrid/>
        <w:ind w:firstLine="640" w:firstLineChars="200"/>
        <w:textAlignment w:val="auto"/>
        <w:outlineLvl w:val="2"/>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（一）“三公”经费财政拨款支出决算总体情况说明</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“三公”经费财政拨款支出预算为16万元，支出决算为8.18万元，</w:t>
      </w:r>
      <w:r>
        <w:rPr>
          <w:rFonts w:hint="eastAsia" w:ascii="仿宋_GB2312" w:hAnsi="仿宋_GB2312" w:eastAsia="仿宋_GB2312" w:cs="Times New Roman"/>
          <w:color w:val="000000" w:themeColor="text1"/>
          <w:spacing w:val="0"/>
          <w:sz w:val="32"/>
          <w:szCs w:val="24"/>
          <w14:textFill>
            <w14:solidFill>
              <w14:schemeClr w14:val="tx1"/>
            </w14:solidFill>
          </w14:textFill>
        </w:rPr>
        <w:t>完成预算的</w:t>
      </w:r>
      <w:r>
        <w:rPr>
          <w:rFonts w:hint="eastAsia" w:ascii="仿宋_GB2312" w:hAnsi="仿宋_GB2312" w:eastAsia="仿宋_GB2312"/>
          <w:color w:val="000000" w:themeColor="text1"/>
          <w:sz w:val="32"/>
          <w:lang w:val="en-US" w:eastAsia="zh-CN"/>
          <w14:textFill>
            <w14:solidFill>
              <w14:schemeClr w14:val="tx1"/>
            </w14:solidFill>
          </w14:textFill>
        </w:rPr>
        <w:t>51.13%，其中：</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s="Times New Roman"/>
          <w:color w:val="000000" w:themeColor="text1"/>
          <w:spacing w:val="0"/>
          <w:sz w:val="32"/>
          <w:szCs w:val="24"/>
          <w14:textFill>
            <w14:solidFill>
              <w14:schemeClr w14:val="tx1"/>
            </w14:solidFill>
          </w14:textFill>
        </w:rPr>
        <w:t>因公出国（境）费支出预算为</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0</w:t>
      </w:r>
      <w:r>
        <w:rPr>
          <w:rFonts w:hint="eastAsia" w:ascii="仿宋_GB2312" w:hAnsi="仿宋_GB2312" w:eastAsia="仿宋_GB2312" w:cs="Times New Roman"/>
          <w:color w:val="000000" w:themeColor="text1"/>
          <w:spacing w:val="0"/>
          <w:sz w:val="32"/>
          <w:szCs w:val="24"/>
          <w14:textFill>
            <w14:solidFill>
              <w14:schemeClr w14:val="tx1"/>
            </w14:solidFill>
          </w14:textFill>
        </w:rPr>
        <w:t>万元，支出决算为</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0</w:t>
      </w:r>
      <w:r>
        <w:rPr>
          <w:rFonts w:hint="eastAsia" w:ascii="仿宋_GB2312" w:hAnsi="仿宋_GB2312" w:eastAsia="仿宋_GB2312" w:cs="Times New Roman"/>
          <w:color w:val="000000" w:themeColor="text1"/>
          <w:spacing w:val="0"/>
          <w:sz w:val="32"/>
          <w:szCs w:val="24"/>
          <w14:textFill>
            <w14:solidFill>
              <w14:schemeClr w14:val="tx1"/>
            </w14:solidFill>
          </w14:textFill>
        </w:rPr>
        <w:t>万元</w:t>
      </w:r>
      <w:r>
        <w:rPr>
          <w:rFonts w:hint="eastAsia" w:ascii="仿宋_GB2312" w:hAnsi="仿宋_GB2312" w:eastAsia="仿宋_GB2312" w:cs="Times New Roman"/>
          <w:color w:val="000000" w:themeColor="text1"/>
          <w:spacing w:val="0"/>
          <w:sz w:val="32"/>
          <w:szCs w:val="24"/>
          <w:lang w:eastAsia="zh-CN"/>
          <w14:textFill>
            <w14:solidFill>
              <w14:schemeClr w14:val="tx1"/>
            </w14:solidFill>
          </w14:textFill>
        </w:rPr>
        <w:t>，</w:t>
      </w:r>
      <w:bookmarkStart w:id="17" w:name="_GoBack"/>
      <w:bookmarkEnd w:id="17"/>
      <w:r>
        <w:rPr>
          <w:rFonts w:hint="eastAsia" w:ascii="仿宋_GB2312" w:hAnsi="仿宋_GB2312" w:eastAsia="仿宋_GB2312" w:cs="Times New Roman"/>
          <w:color w:val="000000" w:themeColor="text1"/>
          <w:spacing w:val="0"/>
          <w:sz w:val="32"/>
          <w:szCs w:val="24"/>
          <w14:textFill>
            <w14:solidFill>
              <w14:schemeClr w14:val="tx1"/>
            </w14:solidFill>
          </w14:textFill>
        </w:rPr>
        <w:t>决</w:t>
      </w:r>
      <w:r>
        <w:rPr>
          <w:rFonts w:hint="eastAsia" w:ascii="仿宋_GB2312" w:hAnsi="仿宋_GB2312" w:eastAsia="仿宋_GB2312" w:cs="Times New Roman"/>
          <w:color w:val="000000" w:themeColor="text1"/>
          <w:spacing w:val="0"/>
          <w:sz w:val="32"/>
          <w:szCs w:val="24"/>
          <w:highlight w:val="none"/>
          <w14:textFill>
            <w14:solidFill>
              <w14:schemeClr w14:val="tx1"/>
            </w14:solidFill>
          </w14:textFill>
        </w:rPr>
        <w:t>算数</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与</w:t>
      </w:r>
      <w:r>
        <w:rPr>
          <w:rFonts w:hint="eastAsia" w:ascii="仿宋_GB2312" w:hAnsi="仿宋_GB2312" w:eastAsia="仿宋_GB2312" w:cs="Times New Roman"/>
          <w:color w:val="000000" w:themeColor="text1"/>
          <w:spacing w:val="0"/>
          <w:sz w:val="32"/>
          <w:szCs w:val="24"/>
          <w:highlight w:val="none"/>
          <w14:textFill>
            <w14:solidFill>
              <w14:schemeClr w14:val="tx1"/>
            </w14:solidFill>
          </w14:textFill>
        </w:rPr>
        <w:t>预算数</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一致，</w:t>
      </w:r>
      <w:r>
        <w:rPr>
          <w:rFonts w:hint="eastAsia" w:ascii="仿宋_GB2312" w:hAnsi="仿宋_GB2312" w:eastAsia="仿宋_GB2312" w:cs="Times New Roman"/>
          <w:color w:val="000000" w:themeColor="text1"/>
          <w:spacing w:val="0"/>
          <w:sz w:val="32"/>
          <w:szCs w:val="24"/>
          <w:highlight w:val="none"/>
          <w14:textFill>
            <w14:solidFill>
              <w14:schemeClr w14:val="tx1"/>
            </w14:solidFill>
          </w14:textFill>
        </w:rPr>
        <w:t>与上年</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决算数一致，</w:t>
      </w:r>
      <w:r>
        <w:rPr>
          <w:rFonts w:hint="eastAsia" w:ascii="仿宋_GB2312" w:hAnsi="仿宋_GB2312" w:eastAsia="仿宋_GB2312" w:cs="Times New Roman"/>
          <w:color w:val="000000" w:themeColor="text1"/>
          <w:spacing w:val="0"/>
          <w:sz w:val="32"/>
          <w:szCs w:val="24"/>
          <w14:textFill>
            <w14:solidFill>
              <w14:schemeClr w14:val="tx1"/>
            </w14:solidFill>
          </w14:textFill>
        </w:rPr>
        <w:t>主要原因是</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疫情原因，近二年未安排出国</w:t>
      </w:r>
      <w:r>
        <w:rPr>
          <w:rFonts w:hint="eastAsia" w:ascii="仿宋_GB2312" w:hAnsi="仿宋_GB2312" w:eastAsia="仿宋_GB2312" w:cs="Times New Roman"/>
          <w:color w:val="000000" w:themeColor="text1"/>
          <w:spacing w:val="0"/>
          <w:sz w:val="32"/>
          <w:szCs w:val="24"/>
          <w14:textFill>
            <w14:solidFill>
              <w14:schemeClr w14:val="tx1"/>
            </w14:solidFill>
          </w14:textFill>
        </w:rPr>
        <w:t>。</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公务接待费支出预算为8万元，支出决算为1.06万元，</w:t>
      </w:r>
      <w:r>
        <w:rPr>
          <w:rFonts w:hint="eastAsia" w:ascii="仿宋_GB2312" w:hAnsi="仿宋_GB2312" w:eastAsia="仿宋_GB2312" w:cs="Times New Roman"/>
          <w:color w:val="000000" w:themeColor="text1"/>
          <w:spacing w:val="0"/>
          <w:sz w:val="32"/>
          <w:szCs w:val="24"/>
          <w14:textFill>
            <w14:solidFill>
              <w14:schemeClr w14:val="tx1"/>
            </w14:solidFill>
          </w14:textFill>
        </w:rPr>
        <w:t>完成预算的</w:t>
      </w:r>
      <w:r>
        <w:rPr>
          <w:rFonts w:hint="eastAsia" w:ascii="仿宋_GB2312" w:hAnsi="仿宋_GB2312" w:eastAsia="仿宋_GB2312"/>
          <w:color w:val="000000" w:themeColor="text1"/>
          <w:sz w:val="32"/>
          <w:lang w:val="en-US" w:eastAsia="zh-CN"/>
          <w14:textFill>
            <w14:solidFill>
              <w14:schemeClr w14:val="tx1"/>
            </w14:solidFill>
          </w14:textFill>
        </w:rPr>
        <w:t>13.25%；</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决算数小于预算数的主要原因是我单位厉行节约，响应党中央过紧日子的号召。与</w:t>
      </w:r>
      <w:r>
        <w:rPr>
          <w:rFonts w:hint="eastAsia" w:ascii="仿宋_GB2312" w:hAnsi="仿宋_GB2312" w:eastAsia="仿宋_GB2312" w:cs="Times New Roman"/>
          <w:color w:val="000000" w:themeColor="text1"/>
          <w:spacing w:val="0"/>
          <w:sz w:val="32"/>
          <w:szCs w:val="24"/>
          <w14:textFill>
            <w14:solidFill>
              <w14:schemeClr w14:val="tx1"/>
            </w14:solidFill>
          </w14:textFill>
        </w:rPr>
        <w:t>上年</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决算数</w:t>
      </w:r>
      <w:r>
        <w:rPr>
          <w:rFonts w:hint="eastAsia" w:ascii="仿宋_GB2312" w:hAnsi="仿宋_GB2312" w:eastAsia="仿宋_GB2312" w:cs="Times New Roman"/>
          <w:color w:val="000000" w:themeColor="text1"/>
          <w:spacing w:val="0"/>
          <w:sz w:val="32"/>
          <w:szCs w:val="24"/>
          <w14:textFill>
            <w14:solidFill>
              <w14:schemeClr w14:val="tx1"/>
            </w14:solidFill>
          </w14:textFill>
        </w:rPr>
        <w:t>相比</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减少1</w:t>
      </w:r>
      <w:r>
        <w:rPr>
          <w:rFonts w:hint="eastAsia" w:ascii="仿宋_GB2312" w:hAnsi="仿宋_GB2312" w:eastAsia="仿宋_GB2312" w:cs="Times New Roman"/>
          <w:color w:val="000000" w:themeColor="text1"/>
          <w:spacing w:val="0"/>
          <w:sz w:val="32"/>
          <w:szCs w:val="24"/>
          <w14:textFill>
            <w14:solidFill>
              <w14:schemeClr w14:val="tx1"/>
            </w14:solidFill>
          </w14:textFill>
        </w:rPr>
        <w:t>.</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92</w:t>
      </w:r>
      <w:r>
        <w:rPr>
          <w:rFonts w:hint="eastAsia" w:ascii="仿宋_GB2312" w:hAnsi="仿宋_GB2312" w:eastAsia="仿宋_GB2312" w:cs="Times New Roman"/>
          <w:color w:val="000000" w:themeColor="text1"/>
          <w:spacing w:val="0"/>
          <w:sz w:val="32"/>
          <w:szCs w:val="24"/>
          <w14:textFill>
            <w14:solidFill>
              <w14:schemeClr w14:val="tx1"/>
            </w14:solidFill>
          </w14:textFill>
        </w:rPr>
        <w:t>万元，</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减少64.43</w:t>
      </w:r>
      <w:r>
        <w:rPr>
          <w:rFonts w:hint="eastAsia" w:ascii="仿宋_GB2312" w:hAnsi="仿宋_GB2312" w:eastAsia="仿宋_GB2312" w:cs="Times New Roman"/>
          <w:color w:val="000000" w:themeColor="text1"/>
          <w:spacing w:val="0"/>
          <w:sz w:val="32"/>
          <w:szCs w:val="24"/>
          <w14:textFill>
            <w14:solidFill>
              <w14:schemeClr w14:val="tx1"/>
            </w14:solidFill>
          </w14:textFill>
        </w:rPr>
        <w:t>%,</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减少</w:t>
      </w:r>
      <w:r>
        <w:rPr>
          <w:rFonts w:hint="eastAsia" w:ascii="仿宋_GB2312" w:hAnsi="仿宋_GB2312" w:eastAsia="仿宋_GB2312" w:cs="Times New Roman"/>
          <w:color w:val="000000" w:themeColor="text1"/>
          <w:spacing w:val="0"/>
          <w:sz w:val="32"/>
          <w:szCs w:val="24"/>
          <w14:textFill>
            <w14:solidFill>
              <w14:schemeClr w14:val="tx1"/>
            </w14:solidFill>
          </w14:textFill>
        </w:rPr>
        <w:t>的主要原因是</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厉行节约。</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公务用车购置费及运行维护费支出预算为8万元，支出决算为7.12万元，</w:t>
      </w:r>
      <w:r>
        <w:rPr>
          <w:rFonts w:hint="eastAsia" w:ascii="仿宋_GB2312" w:hAnsi="仿宋_GB2312" w:eastAsia="仿宋_GB2312" w:cs="Times New Roman"/>
          <w:color w:val="000000" w:themeColor="text1"/>
          <w:spacing w:val="0"/>
          <w:sz w:val="32"/>
          <w:szCs w:val="24"/>
          <w14:textFill>
            <w14:solidFill>
              <w14:schemeClr w14:val="tx1"/>
            </w14:solidFill>
          </w14:textFill>
        </w:rPr>
        <w:t>完成预算的</w:t>
      </w:r>
      <w:r>
        <w:rPr>
          <w:rFonts w:hint="eastAsia" w:ascii="仿宋_GB2312" w:hAnsi="仿宋_GB2312" w:eastAsia="仿宋_GB2312"/>
          <w:color w:val="000000" w:themeColor="text1"/>
          <w:sz w:val="32"/>
          <w:lang w:val="en-US" w:eastAsia="zh-CN"/>
          <w14:textFill>
            <w14:solidFill>
              <w14:schemeClr w14:val="tx1"/>
            </w14:solidFill>
          </w14:textFill>
        </w:rPr>
        <w:t>89%。</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决算数小于预算数的主要原因是我单位厉行节约，响应党中央过紧日子的号召。与</w:t>
      </w:r>
      <w:r>
        <w:rPr>
          <w:rFonts w:hint="eastAsia" w:ascii="仿宋_GB2312" w:hAnsi="仿宋_GB2312" w:eastAsia="仿宋_GB2312" w:cs="Times New Roman"/>
          <w:color w:val="000000" w:themeColor="text1"/>
          <w:spacing w:val="0"/>
          <w:sz w:val="32"/>
          <w:szCs w:val="24"/>
          <w14:textFill>
            <w14:solidFill>
              <w14:schemeClr w14:val="tx1"/>
            </w14:solidFill>
          </w14:textFill>
        </w:rPr>
        <w:t>上年</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决算数</w:t>
      </w:r>
      <w:r>
        <w:rPr>
          <w:rFonts w:hint="eastAsia" w:ascii="仿宋_GB2312" w:hAnsi="仿宋_GB2312" w:eastAsia="仿宋_GB2312" w:cs="Times New Roman"/>
          <w:color w:val="000000" w:themeColor="text1"/>
          <w:spacing w:val="0"/>
          <w:sz w:val="32"/>
          <w:szCs w:val="24"/>
          <w14:textFill>
            <w14:solidFill>
              <w14:schemeClr w14:val="tx1"/>
            </w14:solidFill>
          </w14:textFill>
        </w:rPr>
        <w:t>相比增加0.</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82</w:t>
      </w:r>
      <w:r>
        <w:rPr>
          <w:rFonts w:hint="eastAsia" w:ascii="仿宋_GB2312" w:hAnsi="仿宋_GB2312" w:eastAsia="仿宋_GB2312" w:cs="Times New Roman"/>
          <w:color w:val="000000" w:themeColor="text1"/>
          <w:spacing w:val="0"/>
          <w:sz w:val="32"/>
          <w:szCs w:val="24"/>
          <w14:textFill>
            <w14:solidFill>
              <w14:schemeClr w14:val="tx1"/>
            </w14:solidFill>
          </w14:textFill>
        </w:rPr>
        <w:t>万元，增加</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13.02</w:t>
      </w:r>
      <w:r>
        <w:rPr>
          <w:rFonts w:hint="eastAsia" w:ascii="仿宋_GB2312" w:hAnsi="仿宋_GB2312" w:eastAsia="仿宋_GB2312" w:cs="Times New Roman"/>
          <w:color w:val="000000" w:themeColor="text1"/>
          <w:spacing w:val="0"/>
          <w:sz w:val="32"/>
          <w:szCs w:val="24"/>
          <w14:textFill>
            <w14:solidFill>
              <w14:schemeClr w14:val="tx1"/>
            </w14:solidFill>
          </w14:textFill>
        </w:rPr>
        <w:t>%,增加的主要原因是业务工作量增加，导致公务</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用车出车费用</w:t>
      </w:r>
      <w:r>
        <w:rPr>
          <w:rFonts w:hint="eastAsia" w:ascii="仿宋_GB2312" w:hAnsi="仿宋_GB2312" w:eastAsia="仿宋_GB2312" w:cs="Times New Roman"/>
          <w:color w:val="000000" w:themeColor="text1"/>
          <w:spacing w:val="0"/>
          <w:sz w:val="32"/>
          <w:szCs w:val="24"/>
          <w14:textFill>
            <w14:solidFill>
              <w14:schemeClr w14:val="tx1"/>
            </w14:solidFill>
          </w14:textFill>
        </w:rPr>
        <w:t>增加</w:t>
      </w:r>
      <w:r>
        <w:rPr>
          <w:rFonts w:hint="eastAsia" w:ascii="仿宋_GB2312" w:hAnsi="仿宋_GB2312" w:eastAsia="仿宋_GB2312" w:cs="Times New Roman"/>
          <w:color w:val="000000" w:themeColor="text1"/>
          <w:spacing w:val="0"/>
          <w:sz w:val="32"/>
          <w:szCs w:val="24"/>
          <w:lang w:eastAsia="zh-CN"/>
          <w14:textFill>
            <w14:solidFill>
              <w14:schemeClr w14:val="tx1"/>
            </w14:solidFill>
          </w14:textFill>
        </w:rPr>
        <w:t>。</w:t>
      </w:r>
    </w:p>
    <w:p>
      <w:pPr>
        <w:pStyle w:val="3"/>
        <w:keepNext w:val="0"/>
        <w:keepLines w:val="0"/>
        <w:pageBreakBefore w:val="0"/>
        <w:widowControl w:val="0"/>
        <w:kinsoku/>
        <w:wordWrap/>
        <w:overflowPunct/>
        <w:topLinePunct w:val="0"/>
        <w:bidi w:val="0"/>
        <w:snapToGrid/>
        <w:ind w:firstLine="640" w:firstLineChars="200"/>
        <w:textAlignment w:val="auto"/>
        <w:outlineLvl w:val="2"/>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（二）“三公”经费财政拨款支出决算具体情况说明</w:t>
      </w:r>
    </w:p>
    <w:p>
      <w:pPr>
        <w:spacing w:before="0" w:line="240" w:lineRule="auto"/>
        <w:ind w:left="0" w:right="0" w:firstLine="640" w:firstLineChars="200"/>
        <w:rPr>
          <w:rFonts w:hint="eastAsia" w:ascii="仿宋_GB2312" w:hAnsi="仿宋_GB2312" w:eastAsia="仿宋_GB2312" w:cs="Times New Roman"/>
          <w:color w:val="000000" w:themeColor="text1"/>
          <w:sz w:val="32"/>
          <w:szCs w:val="24"/>
          <w14:textFill>
            <w14:solidFill>
              <w14:schemeClr w14:val="tx1"/>
            </w14:solidFill>
          </w14:textFill>
        </w:rPr>
      </w:pPr>
      <w:r>
        <w:rPr>
          <w:rFonts w:hint="eastAsia" w:ascii="仿宋_GB2312" w:hAnsi="仿宋_GB2312" w:eastAsia="仿宋_GB2312" w:cs="Times New Roman"/>
          <w:color w:val="000000" w:themeColor="text1"/>
          <w:spacing w:val="0"/>
          <w:sz w:val="32"/>
          <w:szCs w:val="24"/>
          <w14:textFill>
            <w14:solidFill>
              <w14:schemeClr w14:val="tx1"/>
            </w14:solidFill>
          </w14:textFill>
        </w:rPr>
        <w:t>2021年度“三公”经费财政拨款支出决算中，公务接待费支出决算1.</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06</w:t>
      </w:r>
      <w:r>
        <w:rPr>
          <w:rFonts w:hint="eastAsia" w:ascii="仿宋_GB2312" w:hAnsi="仿宋_GB2312" w:eastAsia="仿宋_GB2312" w:cs="Times New Roman"/>
          <w:color w:val="000000" w:themeColor="text1"/>
          <w:spacing w:val="0"/>
          <w:sz w:val="32"/>
          <w:szCs w:val="24"/>
          <w14:textFill>
            <w14:solidFill>
              <w14:schemeClr w14:val="tx1"/>
            </w14:solidFill>
          </w14:textFill>
        </w:rPr>
        <w:t>万元，占</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12</w:t>
      </w:r>
      <w:r>
        <w:rPr>
          <w:rFonts w:hint="eastAsia" w:ascii="仿宋_GB2312" w:hAnsi="仿宋_GB2312" w:eastAsia="仿宋_GB2312" w:cs="Times New Roman"/>
          <w:color w:val="000000" w:themeColor="text1"/>
          <w:spacing w:val="0"/>
          <w:sz w:val="32"/>
          <w:szCs w:val="24"/>
          <w14:textFill>
            <w14:solidFill>
              <w14:schemeClr w14:val="tx1"/>
            </w14:solidFill>
          </w14:textFill>
        </w:rPr>
        <w:t>.</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96</w:t>
      </w:r>
      <w:r>
        <w:rPr>
          <w:rFonts w:hint="eastAsia" w:ascii="仿宋_GB2312" w:hAnsi="仿宋_GB2312" w:eastAsia="仿宋_GB2312" w:cs="Times New Roman"/>
          <w:color w:val="000000" w:themeColor="text1"/>
          <w:spacing w:val="0"/>
          <w:sz w:val="32"/>
          <w:szCs w:val="24"/>
          <w14:textFill>
            <w14:solidFill>
              <w14:schemeClr w14:val="tx1"/>
            </w14:solidFill>
          </w14:textFill>
        </w:rPr>
        <w:t>%</w:t>
      </w:r>
      <w:r>
        <w:rPr>
          <w:rFonts w:hint="eastAsia" w:ascii="仿宋_GB2312" w:hAnsi="仿宋_GB2312" w:eastAsia="仿宋_GB2312" w:cs="Times New Roman"/>
          <w:color w:val="000000" w:themeColor="text1"/>
          <w:spacing w:val="0"/>
          <w:sz w:val="32"/>
          <w:szCs w:val="24"/>
          <w:lang w:eastAsia="zh-CN"/>
          <w14:textFill>
            <w14:solidFill>
              <w14:schemeClr w14:val="tx1"/>
            </w14:solidFill>
          </w14:textFill>
        </w:rPr>
        <w:t>；</w:t>
      </w:r>
      <w:r>
        <w:rPr>
          <w:rFonts w:hint="eastAsia" w:ascii="仿宋_GB2312" w:hAnsi="仿宋_GB2312" w:eastAsia="仿宋_GB2312" w:cs="Times New Roman"/>
          <w:color w:val="000000" w:themeColor="text1"/>
          <w:sz w:val="32"/>
          <w:szCs w:val="24"/>
          <w:highlight w:val="none"/>
          <w14:textFill>
            <w14:solidFill>
              <w14:schemeClr w14:val="tx1"/>
            </w14:solidFill>
          </w14:textFill>
        </w:rPr>
        <w:t>因公出国（境）费支出决算</w:t>
      </w:r>
      <w:r>
        <w:rPr>
          <w:rFonts w:hint="eastAsia" w:ascii="仿宋_GB2312" w:hAnsi="仿宋_GB2312" w:eastAsia="仿宋_GB2312" w:cs="Times New Roman"/>
          <w:color w:val="000000" w:themeColor="text1"/>
          <w:sz w:val="32"/>
          <w:szCs w:val="24"/>
          <w:highlight w:val="none"/>
          <w:lang w:val="en-US" w:eastAsia="zh-CN"/>
          <w14:textFill>
            <w14:solidFill>
              <w14:schemeClr w14:val="tx1"/>
            </w14:solidFill>
          </w14:textFill>
        </w:rPr>
        <w:t>0</w:t>
      </w:r>
      <w:r>
        <w:rPr>
          <w:rFonts w:hint="eastAsia" w:ascii="仿宋_GB2312" w:hAnsi="仿宋_GB2312" w:eastAsia="仿宋_GB2312" w:cs="Times New Roman"/>
          <w:color w:val="000000" w:themeColor="text1"/>
          <w:sz w:val="32"/>
          <w:szCs w:val="24"/>
          <w:highlight w:val="none"/>
          <w14:textFill>
            <w14:solidFill>
              <w14:schemeClr w14:val="tx1"/>
            </w14:solidFill>
          </w14:textFill>
        </w:rPr>
        <w:t>万元，占</w:t>
      </w:r>
      <w:r>
        <w:rPr>
          <w:rFonts w:hint="eastAsia" w:ascii="仿宋_GB2312" w:hAnsi="仿宋_GB2312" w:eastAsia="仿宋_GB2312" w:cs="Times New Roman"/>
          <w:color w:val="000000" w:themeColor="text1"/>
          <w:sz w:val="32"/>
          <w:szCs w:val="24"/>
          <w:highlight w:val="none"/>
          <w:lang w:val="en-US" w:eastAsia="zh-CN"/>
          <w14:textFill>
            <w14:solidFill>
              <w14:schemeClr w14:val="tx1"/>
            </w14:solidFill>
          </w14:textFill>
        </w:rPr>
        <w:t>0</w:t>
      </w:r>
      <w:r>
        <w:rPr>
          <w:rFonts w:hint="eastAsia" w:ascii="仿宋_GB2312" w:hAnsi="仿宋_GB2312" w:eastAsia="仿宋_GB2312" w:cs="Times New Roman"/>
          <w:color w:val="000000" w:themeColor="text1"/>
          <w:sz w:val="32"/>
          <w:szCs w:val="24"/>
          <w:highlight w:val="none"/>
          <w14:textFill>
            <w14:solidFill>
              <w14:schemeClr w14:val="tx1"/>
            </w14:solidFill>
          </w14:textFill>
        </w:rPr>
        <w:t>%</w:t>
      </w:r>
      <w:r>
        <w:rPr>
          <w:rFonts w:hint="eastAsia" w:ascii="仿宋_GB2312" w:hAnsi="仿宋_GB2312" w:eastAsia="仿宋_GB2312" w:cs="Times New Roman"/>
          <w:color w:val="000000" w:themeColor="text1"/>
          <w:sz w:val="32"/>
          <w:szCs w:val="24"/>
          <w:highlight w:val="none"/>
          <w:lang w:eastAsia="zh-CN"/>
          <w14:textFill>
            <w14:solidFill>
              <w14:schemeClr w14:val="tx1"/>
            </w14:solidFill>
          </w14:textFill>
        </w:rPr>
        <w:t>；</w:t>
      </w:r>
      <w:r>
        <w:rPr>
          <w:rFonts w:hint="eastAsia" w:ascii="仿宋_GB2312" w:hAnsi="仿宋_GB2312" w:eastAsia="仿宋_GB2312" w:cs="Times New Roman"/>
          <w:color w:val="000000" w:themeColor="text1"/>
          <w:spacing w:val="0"/>
          <w:sz w:val="32"/>
          <w:szCs w:val="24"/>
          <w14:textFill>
            <w14:solidFill>
              <w14:schemeClr w14:val="tx1"/>
            </w14:solidFill>
          </w14:textFill>
        </w:rPr>
        <w:t>公务用车运行维护费支出决算</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7</w:t>
      </w:r>
      <w:r>
        <w:rPr>
          <w:rFonts w:hint="eastAsia" w:ascii="仿宋_GB2312" w:hAnsi="仿宋_GB2312" w:eastAsia="仿宋_GB2312" w:cs="Times New Roman"/>
          <w:color w:val="000000" w:themeColor="text1"/>
          <w:spacing w:val="0"/>
          <w:sz w:val="32"/>
          <w:szCs w:val="24"/>
          <w14:textFill>
            <w14:solidFill>
              <w14:schemeClr w14:val="tx1"/>
            </w14:solidFill>
          </w14:textFill>
        </w:rPr>
        <w:t>.</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12</w:t>
      </w:r>
      <w:r>
        <w:rPr>
          <w:rFonts w:hint="eastAsia" w:ascii="仿宋_GB2312" w:hAnsi="仿宋_GB2312" w:eastAsia="仿宋_GB2312" w:cs="Times New Roman"/>
          <w:color w:val="000000" w:themeColor="text1"/>
          <w:spacing w:val="0"/>
          <w:sz w:val="32"/>
          <w:szCs w:val="24"/>
          <w14:textFill>
            <w14:solidFill>
              <w14:schemeClr w14:val="tx1"/>
            </w14:solidFill>
          </w14:textFill>
        </w:rPr>
        <w:t>万元，占</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87</w:t>
      </w:r>
      <w:r>
        <w:rPr>
          <w:rFonts w:hint="eastAsia" w:ascii="仿宋_GB2312" w:hAnsi="仿宋_GB2312" w:eastAsia="仿宋_GB2312" w:cs="Times New Roman"/>
          <w:color w:val="000000" w:themeColor="text1"/>
          <w:spacing w:val="0"/>
          <w:sz w:val="32"/>
          <w:szCs w:val="24"/>
          <w14:textFill>
            <w14:solidFill>
              <w14:schemeClr w14:val="tx1"/>
            </w14:solidFill>
          </w14:textFill>
        </w:rPr>
        <w:t>.</w:t>
      </w: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04</w:t>
      </w:r>
      <w:r>
        <w:rPr>
          <w:rFonts w:hint="eastAsia" w:ascii="仿宋_GB2312" w:hAnsi="仿宋_GB2312" w:eastAsia="仿宋_GB2312" w:cs="Times New Roman"/>
          <w:color w:val="000000" w:themeColor="text1"/>
          <w:spacing w:val="0"/>
          <w:sz w:val="32"/>
          <w:szCs w:val="24"/>
          <w14:textFill>
            <w14:solidFill>
              <w14:schemeClr w14:val="tx1"/>
            </w14:solidFill>
          </w14:textFill>
        </w:rPr>
        <w:t>%。其中：</w:t>
      </w:r>
    </w:p>
    <w:p>
      <w:pPr>
        <w:keepNext w:val="0"/>
        <w:keepLines w:val="0"/>
        <w:pageBreakBefore w:val="0"/>
        <w:widowControl w:val="0"/>
        <w:kinsoku/>
        <w:wordWrap/>
        <w:overflowPunct/>
        <w:topLinePunct w:val="0"/>
        <w:bidi w:val="0"/>
        <w:snapToGrid/>
        <w:spacing w:before="0" w:line="372" w:lineRule="auto"/>
        <w:ind w:left="5" w:firstLine="640" w:firstLineChars="200"/>
        <w:textAlignment w:val="auto"/>
        <w:rPr>
          <w:rFonts w:hint="eastAsia" w:ascii="仿宋_GB2312" w:hAnsi="仿宋_GB2312" w:eastAsia="仿宋_GB2312" w:cs="Times New Roman"/>
          <w:color w:val="000000" w:themeColor="text1"/>
          <w:sz w:val="32"/>
          <w:szCs w:val="24"/>
          <w:lang w:val="en-US" w:eastAsia="zh-CN"/>
          <w14:textFill>
            <w14:solidFill>
              <w14:schemeClr w14:val="tx1"/>
            </w14:solidFill>
          </w14:textFill>
        </w:rPr>
      </w:pPr>
      <w:r>
        <w:rPr>
          <w:rFonts w:hint="eastAsia" w:ascii="仿宋_GB2312" w:hAnsi="仿宋_GB2312" w:eastAsia="仿宋_GB2312" w:cs="Times New Roman"/>
          <w:color w:val="000000" w:themeColor="text1"/>
          <w:spacing w:val="0"/>
          <w:sz w:val="32"/>
          <w:szCs w:val="24"/>
          <w:lang w:val="en-US" w:eastAsia="zh-CN"/>
          <w14:textFill>
            <w14:solidFill>
              <w14:schemeClr w14:val="tx1"/>
            </w14:solidFill>
          </w14:textFill>
        </w:rPr>
        <w:t>1、</w:t>
      </w:r>
      <w:r>
        <w:rPr>
          <w:rFonts w:hint="eastAsia" w:ascii="仿宋_GB2312" w:hAnsi="仿宋_GB2312" w:eastAsia="仿宋_GB2312" w:cs="Times New Roman"/>
          <w:color w:val="000000" w:themeColor="text1"/>
          <w:sz w:val="32"/>
          <w:szCs w:val="24"/>
          <w14:textFill>
            <w14:solidFill>
              <w14:schemeClr w14:val="tx1"/>
            </w14:solidFill>
          </w14:textFill>
        </w:rPr>
        <w:t>因公出国（境）费支出决算为</w:t>
      </w:r>
      <w:r>
        <w:rPr>
          <w:rFonts w:hint="eastAsia" w:ascii="仿宋_GB2312" w:hAnsi="仿宋_GB2312" w:eastAsia="仿宋_GB2312" w:cs="Times New Roman"/>
          <w:color w:val="000000" w:themeColor="text1"/>
          <w:sz w:val="32"/>
          <w:szCs w:val="24"/>
          <w:lang w:val="en-US" w:eastAsia="zh-CN"/>
          <w14:textFill>
            <w14:solidFill>
              <w14:schemeClr w14:val="tx1"/>
            </w14:solidFill>
          </w14:textFill>
        </w:rPr>
        <w:t>0</w:t>
      </w:r>
      <w:r>
        <w:rPr>
          <w:rFonts w:hint="eastAsia" w:ascii="仿宋_GB2312" w:hAnsi="仿宋_GB2312" w:eastAsia="仿宋_GB2312" w:cs="Times New Roman"/>
          <w:color w:val="000000" w:themeColor="text1"/>
          <w:sz w:val="32"/>
          <w:szCs w:val="24"/>
          <w14:textFill>
            <w14:solidFill>
              <w14:schemeClr w14:val="tx1"/>
            </w14:solidFill>
          </w14:textFill>
        </w:rPr>
        <w:t>万元，全年安排因公出国（境）团组</w:t>
      </w:r>
      <w:r>
        <w:rPr>
          <w:rFonts w:hint="eastAsia" w:ascii="仿宋_GB2312" w:hAnsi="仿宋_GB2312" w:eastAsia="仿宋_GB2312" w:cs="Times New Roman"/>
          <w:color w:val="000000" w:themeColor="text1"/>
          <w:sz w:val="32"/>
          <w:szCs w:val="24"/>
          <w:lang w:val="en-US" w:eastAsia="zh-CN"/>
          <w14:textFill>
            <w14:solidFill>
              <w14:schemeClr w14:val="tx1"/>
            </w14:solidFill>
          </w14:textFill>
        </w:rPr>
        <w:t>0</w:t>
      </w:r>
      <w:r>
        <w:rPr>
          <w:rFonts w:hint="eastAsia" w:ascii="仿宋_GB2312" w:hAnsi="仿宋_GB2312" w:eastAsia="仿宋_GB2312" w:cs="Times New Roman"/>
          <w:color w:val="000000" w:themeColor="text1"/>
          <w:sz w:val="32"/>
          <w:szCs w:val="24"/>
          <w14:textFill>
            <w14:solidFill>
              <w14:schemeClr w14:val="tx1"/>
            </w14:solidFill>
          </w14:textFill>
        </w:rPr>
        <w:t>个，累计</w:t>
      </w:r>
      <w:r>
        <w:rPr>
          <w:rFonts w:hint="eastAsia" w:ascii="仿宋_GB2312" w:hAnsi="仿宋_GB2312" w:eastAsia="仿宋_GB2312" w:cs="Times New Roman"/>
          <w:color w:val="000000" w:themeColor="text1"/>
          <w:sz w:val="32"/>
          <w:szCs w:val="24"/>
          <w:lang w:val="en-US" w:eastAsia="zh-CN"/>
          <w14:textFill>
            <w14:solidFill>
              <w14:schemeClr w14:val="tx1"/>
            </w14:solidFill>
          </w14:textFill>
        </w:rPr>
        <w:t>0</w:t>
      </w:r>
      <w:r>
        <w:rPr>
          <w:rFonts w:hint="eastAsia" w:ascii="仿宋_GB2312" w:hAnsi="仿宋_GB2312" w:eastAsia="仿宋_GB2312" w:cs="Times New Roman"/>
          <w:color w:val="000000" w:themeColor="text1"/>
          <w:sz w:val="32"/>
          <w:szCs w:val="24"/>
          <w14:textFill>
            <w14:solidFill>
              <w14:schemeClr w14:val="tx1"/>
            </w14:solidFill>
          </w14:textFill>
        </w:rPr>
        <w:t>人次</w:t>
      </w:r>
      <w:r>
        <w:rPr>
          <w:rFonts w:hint="eastAsia" w:ascii="仿宋_GB2312" w:hAnsi="仿宋_GB2312" w:eastAsia="仿宋_GB2312" w:cs="Times New Roman"/>
          <w:color w:val="000000" w:themeColor="text1"/>
          <w:sz w:val="32"/>
          <w:szCs w:val="24"/>
          <w:lang w:eastAsia="zh-CN"/>
          <w14:textFill>
            <w14:solidFill>
              <w14:schemeClr w14:val="tx1"/>
            </w14:solidFill>
          </w14:textFill>
        </w:rPr>
        <w:t>。</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2、公务接待费支出决算为1.06万元，全年共接待来访团组15批次、来宾82人次，主要是各系招生、就业接待来访单位等发生的接待支出。</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3.公务用车</w:t>
      </w:r>
      <w:r>
        <w:rPr>
          <w:rFonts w:hint="eastAsia" w:ascii="仿宋_GB2312" w:hAnsi="仿宋_GB2312" w:eastAsia="仿宋_GB2312" w:cs="Times New Roman"/>
          <w:color w:val="000000" w:themeColor="text1"/>
          <w:sz w:val="32"/>
          <w:szCs w:val="24"/>
          <w14:textFill>
            <w14:solidFill>
              <w14:schemeClr w14:val="tx1"/>
            </w14:solidFill>
          </w14:textFill>
        </w:rPr>
        <w:t>购置费</w:t>
      </w:r>
      <w:r>
        <w:rPr>
          <w:rFonts w:hint="eastAsia" w:ascii="仿宋_GB2312" w:hAnsi="仿宋_GB2312" w:eastAsia="仿宋_GB2312" w:cs="Times New Roman"/>
          <w:color w:val="000000" w:themeColor="text1"/>
          <w:sz w:val="32"/>
          <w:szCs w:val="24"/>
          <w:lang w:val="en-US" w:eastAsia="zh-CN"/>
          <w14:textFill>
            <w14:solidFill>
              <w14:schemeClr w14:val="tx1"/>
            </w14:solidFill>
          </w14:textFill>
        </w:rPr>
        <w:t>及</w:t>
      </w:r>
      <w:r>
        <w:rPr>
          <w:rFonts w:hint="eastAsia" w:ascii="仿宋_GB2312" w:hAnsi="仿宋_GB2312" w:eastAsia="仿宋_GB2312"/>
          <w:color w:val="000000" w:themeColor="text1"/>
          <w:sz w:val="32"/>
          <w:lang w:val="en-US" w:eastAsia="zh-CN"/>
          <w14:textFill>
            <w14:solidFill>
              <w14:schemeClr w14:val="tx1"/>
            </w14:solidFill>
          </w14:textFill>
        </w:rPr>
        <w:t>运行维护费支出决算为7.12万元，其中，</w:t>
      </w:r>
      <w:r>
        <w:rPr>
          <w:rFonts w:hint="eastAsia" w:ascii="仿宋_GB2312" w:hAnsi="仿宋_GB2312" w:eastAsia="仿宋_GB2312" w:cs="Times New Roman"/>
          <w:color w:val="000000" w:themeColor="text1"/>
          <w:sz w:val="32"/>
          <w:szCs w:val="24"/>
          <w:highlight w:val="none"/>
          <w14:textFill>
            <w14:solidFill>
              <w14:schemeClr w14:val="tx1"/>
            </w14:solidFill>
          </w14:textFill>
        </w:rPr>
        <w:t>公务用车购置费</w:t>
      </w:r>
      <w:r>
        <w:rPr>
          <w:rFonts w:hint="eastAsia" w:ascii="仿宋_GB2312" w:hAnsi="仿宋_GB2312" w:eastAsia="仿宋_GB2312" w:cs="Times New Roman"/>
          <w:color w:val="000000" w:themeColor="text1"/>
          <w:sz w:val="32"/>
          <w:szCs w:val="24"/>
          <w:highlight w:val="none"/>
          <w:lang w:eastAsia="zh-CN"/>
          <w14:textFill>
            <w14:solidFill>
              <w14:schemeClr w14:val="tx1"/>
            </w14:solidFill>
          </w14:textFill>
        </w:rPr>
        <w:t>0</w:t>
      </w:r>
      <w:r>
        <w:rPr>
          <w:rFonts w:hint="eastAsia" w:ascii="仿宋_GB2312" w:hAnsi="仿宋_GB2312" w:eastAsia="仿宋_GB2312" w:cs="Times New Roman"/>
          <w:color w:val="000000" w:themeColor="text1"/>
          <w:sz w:val="32"/>
          <w:szCs w:val="24"/>
          <w:highlight w:val="none"/>
          <w14:textFill>
            <w14:solidFill>
              <w14:schemeClr w14:val="tx1"/>
            </w14:solidFill>
          </w14:textFill>
        </w:rPr>
        <w:t>万元</w:t>
      </w:r>
      <w:r>
        <w:rPr>
          <w:rFonts w:hint="eastAsia" w:ascii="仿宋_GB2312" w:hAnsi="仿宋_GB2312" w:eastAsia="仿宋_GB2312" w:cs="Times New Roman"/>
          <w:color w:val="000000" w:themeColor="text1"/>
          <w:sz w:val="32"/>
          <w:szCs w:val="24"/>
          <w:highlight w:val="none"/>
          <w:lang w:eastAsia="zh-CN"/>
          <w14:textFill>
            <w14:solidFill>
              <w14:schemeClr w14:val="tx1"/>
            </w14:solidFill>
          </w14:textFill>
        </w:rPr>
        <w:t>，</w:t>
      </w:r>
      <w:r>
        <w:rPr>
          <w:rFonts w:hint="eastAsia" w:ascii="仿宋_GB2312" w:hAnsi="仿宋_GB2312" w:eastAsia="仿宋_GB2312" w:cs="Times New Roman"/>
          <w:color w:val="000000" w:themeColor="text1"/>
          <w:sz w:val="32"/>
          <w:szCs w:val="24"/>
          <w:highlight w:val="none"/>
          <w:lang w:val="en-US" w:eastAsia="zh-CN"/>
          <w14:textFill>
            <w14:solidFill>
              <w14:schemeClr w14:val="tx1"/>
            </w14:solidFill>
          </w14:textFill>
        </w:rPr>
        <w:t>本单位未更新公务用车，</w:t>
      </w:r>
      <w:r>
        <w:rPr>
          <w:rFonts w:hint="eastAsia" w:ascii="仿宋_GB2312" w:hAnsi="仿宋_GB2312" w:eastAsia="仿宋_GB2312" w:cs="Times New Roman"/>
          <w:color w:val="000000" w:themeColor="text1"/>
          <w:sz w:val="32"/>
          <w:szCs w:val="24"/>
          <w:lang w:val="en-US" w:eastAsia="zh-CN"/>
          <w14:textFill>
            <w14:solidFill>
              <w14:schemeClr w14:val="tx1"/>
            </w14:solidFill>
          </w14:textFill>
        </w:rPr>
        <w:t>公务用车运行维护费</w:t>
      </w:r>
      <w:r>
        <w:rPr>
          <w:rFonts w:hint="eastAsia" w:ascii="仿宋_GB2312" w:hAnsi="仿宋_GB2312" w:eastAsia="仿宋_GB2312"/>
          <w:color w:val="000000" w:themeColor="text1"/>
          <w:sz w:val="32"/>
          <w:lang w:val="en-US" w:eastAsia="zh-CN"/>
          <w14:textFill>
            <w14:solidFill>
              <w14:schemeClr w14:val="tx1"/>
            </w14:solidFill>
          </w14:textFill>
        </w:rPr>
        <w:t>7.12万元，主要是按规定保留公务用车的燃油费、维修费、过桥过路费、保险费等支出。</w:t>
      </w:r>
      <w:r>
        <w:rPr>
          <w:rFonts w:hint="eastAsia" w:ascii="仿宋_GB2312" w:hAnsi="仿宋_GB2312" w:eastAsia="仿宋_GB2312" w:cs="Times New Roman"/>
          <w:sz w:val="32"/>
          <w:lang w:val="en-US" w:eastAsia="zh-CN"/>
        </w:rPr>
        <w:t>截止2021年12月31日，本单位开支财政拨款的公务</w:t>
      </w:r>
      <w:r>
        <w:rPr>
          <w:rFonts w:hint="eastAsia" w:ascii="仿宋_GB2312" w:hAnsi="仿宋_GB2312" w:eastAsia="仿宋_GB2312" w:cs="Times New Roman"/>
          <w:color w:val="000000" w:themeColor="text1"/>
          <w:sz w:val="32"/>
          <w:highlight w:val="none"/>
          <w:lang w:val="en-US" w:eastAsia="zh-CN"/>
          <w14:textFill>
            <w14:solidFill>
              <w14:schemeClr w14:val="tx1"/>
            </w14:solidFill>
          </w14:textFill>
        </w:rPr>
        <w:t>用车保有量为2辆。</w:t>
      </w:r>
    </w:p>
    <w:p>
      <w:pPr>
        <w:pStyle w:val="16"/>
        <w:ind w:firstLine="643" w:firstLineChars="200"/>
        <w:outlineLvl w:val="1"/>
        <w:rPr>
          <w:rFonts w:hAnsi="黑体"/>
          <w:b/>
          <w:sz w:val="32"/>
          <w:szCs w:val="32"/>
        </w:rPr>
      </w:pPr>
      <w:r>
        <w:rPr>
          <w:rFonts w:hint="eastAsia" w:hAnsi="黑体"/>
          <w:b/>
          <w:sz w:val="32"/>
          <w:szCs w:val="32"/>
        </w:rPr>
        <w:t>八、政府性基金预算收入支出决算情况</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宋体" w:hAnsi="宋体" w:eastAsia="宋体"/>
          <w:sz w:val="32"/>
          <w:szCs w:val="32"/>
          <w:lang w:eastAsia="zh-CN"/>
        </w:rPr>
      </w:pPr>
      <w:r>
        <w:rPr>
          <w:rFonts w:hint="eastAsia" w:ascii="宋体" w:hAnsi="宋体" w:eastAsia="宋体"/>
          <w:sz w:val="32"/>
          <w:szCs w:val="32"/>
        </w:rPr>
        <w:t xml:space="preserve"> </w:t>
      </w:r>
      <w:r>
        <w:rPr>
          <w:rFonts w:hint="eastAsia" w:ascii="仿宋_GB2312" w:hAnsi="仿宋_GB2312" w:eastAsia="仿宋_GB2312"/>
          <w:color w:val="000000" w:themeColor="text1"/>
          <w:sz w:val="32"/>
          <w:szCs w:val="24"/>
          <w14:textFill>
            <w14:solidFill>
              <w14:schemeClr w14:val="tx1"/>
            </w14:solidFill>
          </w14:textFill>
        </w:rPr>
        <w:t>202</w:t>
      </w:r>
      <w:r>
        <w:rPr>
          <w:rFonts w:hint="eastAsia" w:ascii="仿宋_GB2312" w:hAnsi="仿宋_GB2312" w:eastAsia="仿宋_GB2312"/>
          <w:color w:val="000000" w:themeColor="text1"/>
          <w:sz w:val="32"/>
          <w:szCs w:val="24"/>
          <w:lang w:val="en-US" w:eastAsia="zh-CN"/>
          <w14:textFill>
            <w14:solidFill>
              <w14:schemeClr w14:val="tx1"/>
            </w14:solidFill>
          </w14:textFill>
        </w:rPr>
        <w:t>1</w:t>
      </w:r>
      <w:r>
        <w:rPr>
          <w:rFonts w:hint="eastAsia" w:ascii="仿宋_GB2312" w:hAnsi="仿宋_GB2312" w:eastAsia="仿宋_GB2312"/>
          <w:color w:val="000000" w:themeColor="text1"/>
          <w:sz w:val="32"/>
          <w:szCs w:val="24"/>
          <w14:textFill>
            <w14:solidFill>
              <w14:schemeClr w14:val="tx1"/>
            </w14:solidFill>
          </w14:textFill>
        </w:rPr>
        <w:t>年度政府性基金预算财政拨款收入</w:t>
      </w:r>
      <w:r>
        <w:rPr>
          <w:rFonts w:hint="eastAsia" w:ascii="仿宋_GB2312" w:hAnsi="仿宋_GB2312" w:eastAsia="仿宋_GB2312"/>
          <w:color w:val="000000" w:themeColor="text1"/>
          <w:sz w:val="32"/>
          <w:szCs w:val="24"/>
          <w:lang w:val="en-US" w:eastAsia="zh-CN"/>
          <w14:textFill>
            <w14:solidFill>
              <w14:schemeClr w14:val="tx1"/>
            </w14:solidFill>
          </w14:textFill>
        </w:rPr>
        <w:t>0</w:t>
      </w:r>
      <w:r>
        <w:rPr>
          <w:rFonts w:hint="eastAsia" w:ascii="仿宋_GB2312" w:hAnsi="仿宋_GB2312" w:eastAsia="仿宋_GB2312"/>
          <w:color w:val="000000" w:themeColor="text1"/>
          <w:sz w:val="32"/>
          <w:szCs w:val="24"/>
          <w14:textFill>
            <w14:solidFill>
              <w14:schemeClr w14:val="tx1"/>
            </w14:solidFill>
          </w14:textFill>
        </w:rPr>
        <w:t>万元</w:t>
      </w:r>
      <w:r>
        <w:rPr>
          <w:rFonts w:hint="eastAsia" w:ascii="仿宋_GB2312" w:hAnsi="仿宋_GB2312" w:eastAsia="仿宋_GB2312"/>
          <w:color w:val="000000" w:themeColor="text1"/>
          <w:sz w:val="32"/>
          <w:szCs w:val="24"/>
          <w:lang w:eastAsia="zh-CN"/>
          <w14:textFill>
            <w14:solidFill>
              <w14:schemeClr w14:val="tx1"/>
            </w14:solidFill>
          </w14:textFill>
        </w:rPr>
        <w:t>。</w:t>
      </w:r>
    </w:p>
    <w:p>
      <w:pPr>
        <w:pStyle w:val="16"/>
        <w:ind w:firstLine="643" w:firstLineChars="200"/>
        <w:outlineLvl w:val="1"/>
        <w:rPr>
          <w:rFonts w:hAnsi="黑体"/>
          <w:b/>
          <w:sz w:val="32"/>
          <w:szCs w:val="32"/>
        </w:rPr>
      </w:pPr>
      <w:r>
        <w:rPr>
          <w:rFonts w:hint="eastAsia" w:hAnsi="黑体"/>
          <w:b/>
          <w:sz w:val="32"/>
          <w:szCs w:val="32"/>
        </w:rPr>
        <w:t>九、关于机关运行经费支出说明</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szCs w:val="24"/>
          <w:lang w:val="en-US" w:eastAsia="zh-CN"/>
          <w14:textFill>
            <w14:solidFill>
              <w14:schemeClr w14:val="tx1"/>
            </w14:solidFill>
          </w14:textFill>
        </w:rPr>
      </w:pPr>
      <w:r>
        <w:rPr>
          <w:rFonts w:hint="eastAsia" w:ascii="仿宋_GB2312" w:hAnsi="仿宋_GB2312" w:eastAsia="仿宋_GB2312"/>
          <w:color w:val="000000" w:themeColor="text1"/>
          <w:sz w:val="32"/>
          <w:szCs w:val="24"/>
          <w:lang w:eastAsia="zh-CN"/>
          <w14:textFill>
            <w14:solidFill>
              <w14:schemeClr w14:val="tx1"/>
            </w14:solidFill>
          </w14:textFill>
        </w:rPr>
        <w:t>学院</w:t>
      </w:r>
      <w:r>
        <w:rPr>
          <w:rFonts w:hint="eastAsia" w:ascii="仿宋_GB2312" w:hAnsi="仿宋_GB2312" w:eastAsia="仿宋_GB2312"/>
          <w:color w:val="000000" w:themeColor="text1"/>
          <w:sz w:val="32"/>
          <w:szCs w:val="24"/>
          <w14:textFill>
            <w14:solidFill>
              <w14:schemeClr w14:val="tx1"/>
            </w14:solidFill>
          </w14:textFill>
        </w:rPr>
        <w:t>202</w:t>
      </w:r>
      <w:r>
        <w:rPr>
          <w:rFonts w:hint="eastAsia" w:ascii="仿宋_GB2312" w:hAnsi="仿宋_GB2312" w:eastAsia="仿宋_GB2312"/>
          <w:color w:val="000000" w:themeColor="text1"/>
          <w:sz w:val="32"/>
          <w:szCs w:val="24"/>
          <w:lang w:val="en-US" w:eastAsia="zh-CN"/>
          <w14:textFill>
            <w14:solidFill>
              <w14:schemeClr w14:val="tx1"/>
            </w14:solidFill>
          </w14:textFill>
        </w:rPr>
        <w:t>1</w:t>
      </w:r>
      <w:r>
        <w:rPr>
          <w:rFonts w:hint="eastAsia" w:ascii="仿宋_GB2312" w:hAnsi="仿宋_GB2312" w:eastAsia="仿宋_GB2312"/>
          <w:color w:val="000000" w:themeColor="text1"/>
          <w:sz w:val="32"/>
          <w:szCs w:val="24"/>
          <w14:textFill>
            <w14:solidFill>
              <w14:schemeClr w14:val="tx1"/>
            </w14:solidFill>
          </w14:textFill>
        </w:rPr>
        <w:t>年度机关运行经费支出</w:t>
      </w:r>
      <w:r>
        <w:rPr>
          <w:rFonts w:hint="eastAsia" w:ascii="仿宋_GB2312" w:hAnsi="仿宋_GB2312" w:eastAsia="仿宋_GB2312" w:cs="Times New Roman"/>
          <w:color w:val="000000" w:themeColor="text1"/>
          <w:kern w:val="2"/>
          <w:sz w:val="32"/>
          <w:szCs w:val="24"/>
          <w:lang w:val="en-US" w:eastAsia="zh-CN"/>
          <w14:textFill>
            <w14:solidFill>
              <w14:schemeClr w14:val="tx1"/>
            </w14:solidFill>
          </w14:textFill>
        </w:rPr>
        <w:t>440.46</w:t>
      </w:r>
      <w:r>
        <w:rPr>
          <w:rFonts w:hint="eastAsia" w:ascii="仿宋_GB2312" w:hAnsi="仿宋_GB2312" w:eastAsia="仿宋_GB2312"/>
          <w:color w:val="000000" w:themeColor="text1"/>
          <w:sz w:val="32"/>
          <w:szCs w:val="24"/>
          <w14:textFill>
            <w14:solidFill>
              <w14:schemeClr w14:val="tx1"/>
            </w14:solidFill>
          </w14:textFill>
        </w:rPr>
        <w:t>万元，比上年决算数</w:t>
      </w:r>
      <w:r>
        <w:rPr>
          <w:rFonts w:hint="eastAsia" w:ascii="仿宋_GB2312" w:hAnsi="仿宋_GB2312" w:eastAsia="仿宋_GB2312" w:cs="Times New Roman"/>
          <w:color w:val="000000"/>
          <w:kern w:val="2"/>
          <w:sz w:val="32"/>
          <w:szCs w:val="24"/>
        </w:rPr>
        <w:t>674.27</w:t>
      </w:r>
      <w:r>
        <w:rPr>
          <w:rFonts w:hint="eastAsia" w:ascii="仿宋_GB2312" w:hAnsi="仿宋_GB2312" w:eastAsia="仿宋_GB2312" w:cs="Times New Roman"/>
          <w:color w:val="000000" w:themeColor="text1"/>
          <w:kern w:val="2"/>
          <w:sz w:val="32"/>
          <w:szCs w:val="24"/>
          <w:lang w:val="en-US" w:eastAsia="zh-CN"/>
          <w14:textFill>
            <w14:solidFill>
              <w14:schemeClr w14:val="tx1"/>
            </w14:solidFill>
          </w14:textFill>
        </w:rPr>
        <w:t>万元减少233.81</w:t>
      </w:r>
      <w:r>
        <w:rPr>
          <w:rFonts w:hint="eastAsia" w:ascii="仿宋_GB2312" w:hAnsi="仿宋_GB2312" w:eastAsia="仿宋_GB2312"/>
          <w:color w:val="000000" w:themeColor="text1"/>
          <w:sz w:val="32"/>
          <w:szCs w:val="24"/>
          <w14:textFill>
            <w14:solidFill>
              <w14:schemeClr w14:val="tx1"/>
            </w14:solidFill>
          </w14:textFill>
        </w:rPr>
        <w:t>万元，降低</w:t>
      </w:r>
      <w:r>
        <w:rPr>
          <w:rFonts w:hint="eastAsia" w:ascii="仿宋_GB2312" w:hAnsi="仿宋_GB2312" w:eastAsia="仿宋_GB2312"/>
          <w:color w:val="000000" w:themeColor="text1"/>
          <w:sz w:val="32"/>
          <w:szCs w:val="24"/>
          <w:lang w:val="en-US" w:eastAsia="zh-CN"/>
          <w14:textFill>
            <w14:solidFill>
              <w14:schemeClr w14:val="tx1"/>
            </w14:solidFill>
          </w14:textFill>
        </w:rPr>
        <w:t>34.67</w:t>
      </w:r>
      <w:r>
        <w:rPr>
          <w:rFonts w:hint="eastAsia" w:ascii="仿宋_GB2312" w:hAnsi="仿宋_GB2312" w:eastAsia="仿宋_GB2312"/>
          <w:color w:val="000000" w:themeColor="text1"/>
          <w:sz w:val="32"/>
          <w:szCs w:val="24"/>
          <w14:textFill>
            <w14:solidFill>
              <w14:schemeClr w14:val="tx1"/>
            </w14:solidFill>
          </w14:textFill>
        </w:rPr>
        <w:t>%。主要原因是：</w:t>
      </w:r>
      <w:r>
        <w:rPr>
          <w:rFonts w:hint="eastAsia" w:ascii="仿宋_GB2312" w:hAnsi="仿宋_GB2312" w:eastAsia="仿宋_GB2312"/>
          <w:color w:val="000000" w:themeColor="text1"/>
          <w:sz w:val="32"/>
          <w:szCs w:val="24"/>
          <w:lang w:val="en-US" w:eastAsia="zh-CN"/>
          <w14:textFill>
            <w14:solidFill>
              <w14:schemeClr w14:val="tx1"/>
            </w14:solidFill>
          </w14:textFill>
        </w:rPr>
        <w:t>节约开支。</w:t>
      </w:r>
    </w:p>
    <w:p>
      <w:pPr>
        <w:pStyle w:val="16"/>
        <w:ind w:firstLine="643" w:firstLineChars="200"/>
        <w:outlineLvl w:val="1"/>
        <w:rPr>
          <w:rFonts w:hAnsi="黑体"/>
          <w:b/>
          <w:sz w:val="32"/>
          <w:szCs w:val="32"/>
        </w:rPr>
      </w:pPr>
      <w:r>
        <w:rPr>
          <w:rFonts w:hint="eastAsia" w:hAnsi="黑体"/>
          <w:b/>
          <w:sz w:val="32"/>
          <w:szCs w:val="32"/>
        </w:rPr>
        <w:t>十、一般性支出情况</w:t>
      </w:r>
    </w:p>
    <w:p>
      <w:pPr>
        <w:pStyle w:val="3"/>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仿宋_GB2312" w:eastAsia="仿宋_GB2312"/>
          <w:color w:val="auto"/>
          <w:sz w:val="32"/>
          <w:szCs w:val="24"/>
          <w:highlight w:val="none"/>
          <w:lang w:val="en-US" w:eastAsia="zh-CN"/>
        </w:rPr>
      </w:pPr>
      <w:r>
        <w:rPr>
          <w:rFonts w:hint="eastAsia" w:ascii="仿宋_GB2312" w:hAnsi="仿宋_GB2312" w:eastAsia="仿宋_GB2312"/>
          <w:color w:val="auto"/>
          <w:sz w:val="32"/>
          <w:szCs w:val="24"/>
          <w:highlight w:val="none"/>
        </w:rPr>
        <w:t>202</w:t>
      </w:r>
      <w:r>
        <w:rPr>
          <w:rFonts w:hint="eastAsia" w:ascii="仿宋_GB2312" w:hAnsi="仿宋_GB2312" w:eastAsia="仿宋_GB2312"/>
          <w:color w:val="auto"/>
          <w:sz w:val="32"/>
          <w:szCs w:val="24"/>
          <w:highlight w:val="none"/>
          <w:lang w:val="en-US" w:eastAsia="zh-CN"/>
        </w:rPr>
        <w:t>1</w:t>
      </w:r>
      <w:r>
        <w:rPr>
          <w:rFonts w:hint="eastAsia" w:ascii="仿宋_GB2312" w:hAnsi="仿宋_GB2312" w:eastAsia="仿宋_GB2312"/>
          <w:color w:val="auto"/>
          <w:sz w:val="32"/>
          <w:szCs w:val="24"/>
          <w:highlight w:val="none"/>
        </w:rPr>
        <w:t>年</w:t>
      </w:r>
      <w:r>
        <w:rPr>
          <w:rFonts w:hint="eastAsia" w:ascii="仿宋_GB2312" w:hAnsi="仿宋_GB2312" w:eastAsia="仿宋_GB2312"/>
          <w:color w:val="auto"/>
          <w:sz w:val="32"/>
          <w:szCs w:val="24"/>
          <w:highlight w:val="none"/>
          <w:lang w:eastAsia="zh-CN"/>
        </w:rPr>
        <w:t>学院</w:t>
      </w:r>
      <w:r>
        <w:rPr>
          <w:rFonts w:hint="eastAsia" w:ascii="仿宋_GB2312" w:hAnsi="仿宋_GB2312" w:eastAsia="仿宋_GB2312"/>
          <w:color w:val="auto"/>
          <w:sz w:val="32"/>
          <w:szCs w:val="24"/>
          <w:highlight w:val="none"/>
        </w:rPr>
        <w:t>开支会议费</w:t>
      </w:r>
      <w:r>
        <w:rPr>
          <w:rFonts w:hint="eastAsia" w:ascii="仿宋_GB2312" w:hAnsi="仿宋_GB2312" w:eastAsia="仿宋_GB2312" w:cs="Times New Roman"/>
          <w:color w:val="auto"/>
          <w:kern w:val="2"/>
          <w:sz w:val="32"/>
          <w:szCs w:val="24"/>
          <w:highlight w:val="none"/>
          <w:lang w:val="en-US" w:eastAsia="zh-CN"/>
        </w:rPr>
        <w:t>8.38</w:t>
      </w:r>
      <w:r>
        <w:rPr>
          <w:rFonts w:hint="eastAsia" w:ascii="仿宋_GB2312" w:hAnsi="仿宋_GB2312" w:eastAsia="仿宋_GB2312"/>
          <w:color w:val="auto"/>
          <w:sz w:val="32"/>
          <w:szCs w:val="24"/>
          <w:highlight w:val="none"/>
        </w:rPr>
        <w:t>万元</w:t>
      </w:r>
      <w:r>
        <w:rPr>
          <w:rFonts w:hint="eastAsia" w:ascii="仿宋_GB2312" w:hAnsi="仿宋_GB2312" w:eastAsia="仿宋_GB2312"/>
          <w:color w:val="auto"/>
          <w:sz w:val="32"/>
          <w:szCs w:val="24"/>
          <w:highlight w:val="none"/>
          <w:lang w:val="en-US" w:eastAsia="zh-CN"/>
        </w:rPr>
        <w:t>,用于召开职称评审会议、校友会总会等会议，人数687人，会议内容为职称评审工作会、校友会总会。</w:t>
      </w:r>
    </w:p>
    <w:p>
      <w:pPr>
        <w:pStyle w:val="3"/>
        <w:keepNext w:val="0"/>
        <w:keepLines w:val="0"/>
        <w:pageBreakBefore w:val="0"/>
        <w:widowControl w:val="0"/>
        <w:kinsoku/>
        <w:wordWrap/>
        <w:overflowPunct/>
        <w:topLinePunct w:val="0"/>
        <w:bidi w:val="0"/>
        <w:snapToGrid/>
        <w:spacing w:line="240" w:lineRule="auto"/>
        <w:ind w:firstLine="640" w:firstLineChars="200"/>
        <w:textAlignment w:val="auto"/>
        <w:rPr>
          <w:rFonts w:hint="eastAsia" w:ascii="仿宋_GB2312" w:hAnsi="仿宋_GB2312" w:eastAsia="仿宋_GB2312" w:cs="Times New Roman"/>
          <w:color w:val="FF0000"/>
          <w:sz w:val="32"/>
          <w:szCs w:val="24"/>
          <w:highlight w:val="none"/>
          <w:lang w:val="en-US" w:eastAsia="zh-CN"/>
        </w:rPr>
      </w:pPr>
      <w:r>
        <w:rPr>
          <w:rFonts w:hint="eastAsia" w:ascii="仿宋_GB2312" w:hAnsi="仿宋_GB2312" w:eastAsia="仿宋_GB2312"/>
          <w:color w:val="auto"/>
          <w:sz w:val="32"/>
          <w:szCs w:val="24"/>
          <w:highlight w:val="none"/>
          <w:lang w:val="en-US" w:eastAsia="zh-CN"/>
        </w:rPr>
        <w:t>2021年学院开支</w:t>
      </w:r>
      <w:r>
        <w:rPr>
          <w:rFonts w:hint="eastAsia" w:ascii="仿宋_GB2312" w:hAnsi="仿宋_GB2312" w:eastAsia="仿宋_GB2312"/>
          <w:color w:val="auto"/>
          <w:sz w:val="32"/>
          <w:szCs w:val="24"/>
          <w:highlight w:val="none"/>
        </w:rPr>
        <w:t>培训费</w:t>
      </w:r>
      <w:r>
        <w:rPr>
          <w:rFonts w:hint="eastAsia" w:ascii="仿宋_GB2312" w:hAnsi="仿宋_GB2312" w:eastAsia="仿宋_GB2312"/>
          <w:color w:val="auto"/>
          <w:sz w:val="32"/>
          <w:szCs w:val="24"/>
          <w:highlight w:val="none"/>
          <w:lang w:eastAsia="zh-CN"/>
        </w:rPr>
        <w:t>1</w:t>
      </w:r>
      <w:r>
        <w:rPr>
          <w:rFonts w:hint="eastAsia" w:ascii="仿宋_GB2312" w:hAnsi="仿宋_GB2312" w:eastAsia="仿宋_GB2312"/>
          <w:color w:val="auto"/>
          <w:sz w:val="32"/>
          <w:szCs w:val="24"/>
          <w:highlight w:val="none"/>
          <w:lang w:val="en-US" w:eastAsia="zh-CN"/>
        </w:rPr>
        <w:t>2.06</w:t>
      </w:r>
      <w:r>
        <w:rPr>
          <w:rFonts w:hint="eastAsia" w:ascii="仿宋_GB2312" w:hAnsi="仿宋_GB2312" w:eastAsia="仿宋_GB2312"/>
          <w:color w:val="auto"/>
          <w:sz w:val="32"/>
          <w:szCs w:val="24"/>
          <w:highlight w:val="none"/>
        </w:rPr>
        <w:t>万元，</w:t>
      </w:r>
      <w:r>
        <w:rPr>
          <w:rFonts w:hint="eastAsia" w:ascii="仿宋_GB2312" w:hAnsi="仿宋_GB2312" w:eastAsia="仿宋_GB2312"/>
          <w:color w:val="auto"/>
          <w:sz w:val="32"/>
          <w:szCs w:val="24"/>
          <w:highlight w:val="none"/>
          <w:lang w:eastAsia="zh-CN"/>
        </w:rPr>
        <w:t>其中：用于各业务工作培训</w:t>
      </w:r>
      <w:r>
        <w:rPr>
          <w:rFonts w:hint="eastAsia" w:ascii="仿宋_GB2312" w:hAnsi="仿宋_GB2312" w:eastAsia="仿宋_GB2312"/>
          <w:color w:val="auto"/>
          <w:sz w:val="32"/>
          <w:szCs w:val="24"/>
          <w:highlight w:val="none"/>
          <w:lang w:val="en-US" w:eastAsia="zh-CN"/>
        </w:rPr>
        <w:t>7.55万元，人数25人，内容为师资工作、高校融媒体建设、党校工作年会、会计业务培训、职业技能等级评价质量督导员、高校国家安全工作骨干专题、政府采购知识、内审工作等业务工作培训；用于党校发展对象、党校干部培训等3.96万元，人数366人，内容为发展对象线上培训、党校干部培训，党校党员培训；用于事业单位人员培训0.55</w:t>
      </w:r>
      <w:r>
        <w:rPr>
          <w:rFonts w:hint="eastAsia" w:ascii="仿宋_GB2312" w:hAnsi="仿宋_GB2312" w:eastAsia="仿宋_GB2312"/>
          <w:color w:val="000000" w:themeColor="text1"/>
          <w:sz w:val="32"/>
          <w:szCs w:val="24"/>
          <w:highlight w:val="none"/>
          <w:lang w:val="en-US" w:eastAsia="zh-CN"/>
          <w14:textFill>
            <w14:solidFill>
              <w14:schemeClr w14:val="tx1"/>
            </w14:solidFill>
          </w14:textFill>
        </w:rPr>
        <w:t>万元，人数18人，内容为有关部门事业单位人员线上培训。</w:t>
      </w:r>
    </w:p>
    <w:p>
      <w:pPr>
        <w:pStyle w:val="3"/>
        <w:keepNext w:val="0"/>
        <w:keepLines w:val="0"/>
        <w:pageBreakBefore w:val="0"/>
        <w:widowControl w:val="0"/>
        <w:kinsoku/>
        <w:wordWrap/>
        <w:overflowPunct/>
        <w:topLinePunct w:val="0"/>
        <w:bidi w:val="0"/>
        <w:snapToGrid/>
        <w:ind w:firstLine="640" w:firstLineChars="200"/>
        <w:textAlignment w:val="auto"/>
        <w:outlineLvl w:val="9"/>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十一、关于政府采购支出说明</w:t>
      </w:r>
    </w:p>
    <w:p>
      <w:pPr>
        <w:pStyle w:val="16"/>
        <w:ind w:firstLine="640" w:firstLineChars="200"/>
        <w:rPr>
          <w:rFonts w:hint="eastAsia" w:ascii="仿宋_GB2312" w:hAnsi="仿宋_GB2312" w:eastAsia="仿宋_GB2312"/>
          <w:color w:val="0000FF"/>
          <w:sz w:val="32"/>
          <w:lang w:val="en-US" w:eastAsia="zh-CN"/>
        </w:rPr>
      </w:pPr>
      <w:r>
        <w:rPr>
          <w:rFonts w:hint="eastAsia" w:ascii="仿宋_GB2312" w:hAnsi="仿宋_GB2312" w:eastAsia="仿宋_GB2312"/>
          <w:color w:val="000000" w:themeColor="text1"/>
          <w:sz w:val="32"/>
          <w:lang w:val="en-US" w:eastAsia="zh-CN"/>
          <w14:textFill>
            <w14:solidFill>
              <w14:schemeClr w14:val="tx1"/>
            </w14:solidFill>
          </w14:textFill>
        </w:rPr>
        <w:t>学院2021年度政府采购支出总额2159.98万元，其中：政府采购货物支出401.49万元，政府采购工程支出1758.49万元，政府采购服务支出0万元。主要是学院青年教师公寓（1-6楼学生宿舍）建设、智慧教室建设、工程系仿真实训室、学生公寓家具等项目支出。授予中小企业合同金额1758.49万元，占政府采购支出总额的81.41%，其中：授予小微企业合同金额401.49万元，占政府采购支出总额的18.59%。</w:t>
      </w: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十二、关于国有资产占用情况说明</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558ED5" w:themeColor="text2" w:themeTint="99"/>
          <w:sz w:val="32"/>
          <w:lang w:val="en-US" w:eastAsia="zh-CN"/>
          <w14:textFill>
            <w14:solidFill>
              <w14:schemeClr w14:val="tx2">
                <w14:lumMod w14:val="60000"/>
                <w14:lumOff w14:val="40000"/>
              </w14:schemeClr>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截至2021年12</w:t>
      </w:r>
      <w:r>
        <w:rPr>
          <w:rFonts w:hint="eastAsia" w:ascii="仿宋_GB2312" w:hAnsi="仿宋_GB2312" w:eastAsia="仿宋_GB2312" w:cs="黑体"/>
          <w:color w:val="000000" w:themeColor="text1"/>
          <w:sz w:val="32"/>
          <w:lang w:val="en-US" w:eastAsia="zh-CN"/>
          <w14:textFill>
            <w14:solidFill>
              <w14:schemeClr w14:val="tx1"/>
            </w14:solidFill>
          </w14:textFill>
        </w:rPr>
        <w:t>月31日，学院共有车辆2辆，其中：</w:t>
      </w:r>
      <w:r>
        <w:rPr>
          <w:rFonts w:hint="eastAsia" w:ascii="仿宋_GB2312" w:hAnsi="仿宋_GB2312" w:eastAsia="仿宋_GB2312" w:cs="黑体"/>
          <w:color w:val="000000" w:themeColor="text1"/>
          <w:sz w:val="32"/>
          <w:szCs w:val="24"/>
          <w14:textFill>
            <w14:solidFill>
              <w14:schemeClr w14:val="tx1"/>
            </w14:solidFill>
          </w14:textFill>
        </w:rPr>
        <w:t>主</w:t>
      </w:r>
      <w:r>
        <w:rPr>
          <w:rFonts w:hint="eastAsia" w:ascii="仿宋_GB2312" w:hAnsi="仿宋_GB2312" w:eastAsia="仿宋_GB2312"/>
          <w:color w:val="000000" w:themeColor="text1"/>
          <w:sz w:val="32"/>
          <w:szCs w:val="24"/>
          <w14:textFill>
            <w14:solidFill>
              <w14:schemeClr w14:val="tx1"/>
            </w14:solidFill>
          </w14:textFill>
        </w:rPr>
        <w:t>要领导干部用车</w:t>
      </w:r>
      <w:r>
        <w:rPr>
          <w:rFonts w:hint="eastAsia" w:ascii="仿宋_GB2312" w:hAnsi="仿宋_GB2312" w:eastAsia="仿宋_GB2312"/>
          <w:color w:val="000000" w:themeColor="text1"/>
          <w:sz w:val="32"/>
          <w:szCs w:val="24"/>
          <w:lang w:val="en-US" w:eastAsia="zh-CN"/>
          <w14:textFill>
            <w14:solidFill>
              <w14:schemeClr w14:val="tx1"/>
            </w14:solidFill>
          </w14:textFill>
        </w:rPr>
        <w:t>0</w:t>
      </w:r>
      <w:r>
        <w:rPr>
          <w:rFonts w:hint="eastAsia" w:ascii="仿宋_GB2312" w:hAnsi="仿宋_GB2312" w:eastAsia="仿宋_GB2312"/>
          <w:color w:val="000000" w:themeColor="text1"/>
          <w:sz w:val="32"/>
          <w:szCs w:val="24"/>
          <w14:textFill>
            <w14:solidFill>
              <w14:schemeClr w14:val="tx1"/>
            </w14:solidFill>
          </w14:textFill>
        </w:rPr>
        <w:t>辆，机要通信用车</w:t>
      </w:r>
      <w:r>
        <w:rPr>
          <w:rFonts w:hint="eastAsia" w:ascii="仿宋_GB2312" w:hAnsi="仿宋_GB2312" w:eastAsia="仿宋_GB2312"/>
          <w:color w:val="000000" w:themeColor="text1"/>
          <w:sz w:val="32"/>
          <w:szCs w:val="24"/>
          <w:lang w:val="en-US" w:eastAsia="zh-CN"/>
          <w14:textFill>
            <w14:solidFill>
              <w14:schemeClr w14:val="tx1"/>
            </w14:solidFill>
          </w14:textFill>
        </w:rPr>
        <w:t>0</w:t>
      </w:r>
      <w:r>
        <w:rPr>
          <w:rFonts w:hint="eastAsia" w:ascii="仿宋_GB2312" w:hAnsi="仿宋_GB2312" w:eastAsia="仿宋_GB2312"/>
          <w:color w:val="000000" w:themeColor="text1"/>
          <w:sz w:val="32"/>
          <w:szCs w:val="24"/>
          <w14:textFill>
            <w14:solidFill>
              <w14:schemeClr w14:val="tx1"/>
            </w14:solidFill>
          </w14:textFill>
        </w:rPr>
        <w:t>辆、应急保障用车</w:t>
      </w:r>
      <w:r>
        <w:rPr>
          <w:rFonts w:hint="eastAsia" w:ascii="仿宋_GB2312" w:hAnsi="仿宋_GB2312" w:eastAsia="仿宋_GB2312"/>
          <w:color w:val="000000" w:themeColor="text1"/>
          <w:sz w:val="32"/>
          <w:szCs w:val="24"/>
          <w:lang w:val="en-US" w:eastAsia="zh-CN"/>
          <w14:textFill>
            <w14:solidFill>
              <w14:schemeClr w14:val="tx1"/>
            </w14:solidFill>
          </w14:textFill>
        </w:rPr>
        <w:t>0</w:t>
      </w:r>
      <w:r>
        <w:rPr>
          <w:rFonts w:hint="eastAsia" w:ascii="仿宋_GB2312" w:hAnsi="仿宋_GB2312" w:eastAsia="仿宋_GB2312"/>
          <w:color w:val="000000" w:themeColor="text1"/>
          <w:sz w:val="32"/>
          <w:szCs w:val="24"/>
          <w14:textFill>
            <w14:solidFill>
              <w14:schemeClr w14:val="tx1"/>
            </w14:solidFill>
          </w14:textFill>
        </w:rPr>
        <w:t>辆、执法执勤用车</w:t>
      </w:r>
      <w:r>
        <w:rPr>
          <w:rFonts w:hint="eastAsia" w:ascii="仿宋_GB2312" w:hAnsi="仿宋_GB2312" w:eastAsia="仿宋_GB2312"/>
          <w:color w:val="000000" w:themeColor="text1"/>
          <w:sz w:val="32"/>
          <w:szCs w:val="24"/>
          <w:lang w:val="en-US" w:eastAsia="zh-CN"/>
          <w14:textFill>
            <w14:solidFill>
              <w14:schemeClr w14:val="tx1"/>
            </w14:solidFill>
          </w14:textFill>
        </w:rPr>
        <w:t>0</w:t>
      </w:r>
      <w:r>
        <w:rPr>
          <w:rFonts w:hint="eastAsia" w:ascii="仿宋_GB2312" w:hAnsi="仿宋_GB2312" w:eastAsia="仿宋_GB2312"/>
          <w:color w:val="000000" w:themeColor="text1"/>
          <w:sz w:val="32"/>
          <w:szCs w:val="24"/>
          <w14:textFill>
            <w14:solidFill>
              <w14:schemeClr w14:val="tx1"/>
            </w14:solidFill>
          </w14:textFill>
        </w:rPr>
        <w:t>辆、特种专业技术用车</w:t>
      </w:r>
      <w:r>
        <w:rPr>
          <w:rFonts w:hint="eastAsia" w:ascii="仿宋_GB2312" w:hAnsi="仿宋_GB2312" w:eastAsia="仿宋_GB2312"/>
          <w:color w:val="000000" w:themeColor="text1"/>
          <w:sz w:val="32"/>
          <w:szCs w:val="24"/>
          <w:lang w:val="en-US" w:eastAsia="zh-CN"/>
          <w14:textFill>
            <w14:solidFill>
              <w14:schemeClr w14:val="tx1"/>
            </w14:solidFill>
          </w14:textFill>
        </w:rPr>
        <w:t>0</w:t>
      </w:r>
      <w:r>
        <w:rPr>
          <w:rFonts w:hint="eastAsia" w:ascii="仿宋_GB2312" w:hAnsi="仿宋_GB2312" w:eastAsia="仿宋_GB2312"/>
          <w:color w:val="000000" w:themeColor="text1"/>
          <w:sz w:val="32"/>
          <w:szCs w:val="24"/>
          <w14:textFill>
            <w14:solidFill>
              <w14:schemeClr w14:val="tx1"/>
            </w14:solidFill>
          </w14:textFill>
        </w:rPr>
        <w:t>辆、</w:t>
      </w:r>
      <w:r>
        <w:rPr>
          <w:rFonts w:hint="eastAsia" w:ascii="仿宋_GB2312" w:hAnsi="仿宋_GB2312" w:eastAsia="仿宋_GB2312"/>
          <w:color w:val="000000" w:themeColor="text1"/>
          <w:sz w:val="32"/>
          <w:lang w:val="en-US" w:eastAsia="zh-CN"/>
          <w14:textFill>
            <w14:solidFill>
              <w14:schemeClr w14:val="tx1"/>
            </w14:solidFill>
          </w14:textFill>
        </w:rPr>
        <w:t>业务工作用车1辆</w:t>
      </w:r>
      <w:r>
        <w:rPr>
          <w:rFonts w:hint="eastAsia" w:ascii="仿宋_GB2312" w:hAnsi="仿宋_GB2312" w:eastAsia="仿宋_GB2312" w:cs="Times New Roman"/>
          <w:color w:val="000000" w:themeColor="text1"/>
          <w:spacing w:val="0"/>
          <w:sz w:val="32"/>
          <w:szCs w:val="24"/>
          <w:lang w:eastAsia="zh-CN"/>
          <w14:textFill>
            <w14:solidFill>
              <w14:schemeClr w14:val="tx1"/>
            </w14:solidFill>
          </w14:textFill>
        </w:rPr>
        <w:t>、</w:t>
      </w:r>
      <w:r>
        <w:rPr>
          <w:rFonts w:hint="eastAsia" w:ascii="仿宋_GB2312" w:hAnsi="仿宋_GB2312" w:eastAsia="仿宋_GB2312"/>
          <w:color w:val="000000" w:themeColor="text1"/>
          <w:sz w:val="32"/>
          <w:szCs w:val="24"/>
          <w14:textFill>
            <w14:solidFill>
              <w14:schemeClr w14:val="tx1"/>
            </w14:solidFill>
          </w14:textFill>
        </w:rPr>
        <w:t>其他用车</w:t>
      </w:r>
      <w:r>
        <w:rPr>
          <w:rFonts w:hint="eastAsia" w:ascii="仿宋_GB2312" w:hAnsi="仿宋_GB2312" w:eastAsia="仿宋_GB2312"/>
          <w:color w:val="000000" w:themeColor="text1"/>
          <w:sz w:val="32"/>
          <w:szCs w:val="24"/>
          <w:lang w:val="en-US" w:eastAsia="zh-CN"/>
          <w14:textFill>
            <w14:solidFill>
              <w14:schemeClr w14:val="tx1"/>
            </w14:solidFill>
          </w14:textFill>
        </w:rPr>
        <w:t>1</w:t>
      </w:r>
      <w:r>
        <w:rPr>
          <w:rFonts w:hint="eastAsia" w:ascii="仿宋_GB2312" w:hAnsi="仿宋_GB2312" w:eastAsia="仿宋_GB2312"/>
          <w:color w:val="000000" w:themeColor="text1"/>
          <w:sz w:val="32"/>
          <w:szCs w:val="24"/>
          <w14:textFill>
            <w14:solidFill>
              <w14:schemeClr w14:val="tx1"/>
            </w14:solidFill>
          </w14:textFill>
        </w:rPr>
        <w:t>辆</w:t>
      </w:r>
      <w:r>
        <w:rPr>
          <w:rFonts w:hint="eastAsia" w:ascii="仿宋_GB2312" w:hAnsi="仿宋_GB2312" w:eastAsia="仿宋_GB2312"/>
          <w:color w:val="000000" w:themeColor="text1"/>
          <w:sz w:val="32"/>
          <w:szCs w:val="24"/>
          <w:lang w:eastAsia="zh-CN"/>
          <w14:textFill>
            <w14:solidFill>
              <w14:schemeClr w14:val="tx1"/>
            </w14:solidFill>
          </w14:textFill>
        </w:rPr>
        <w:t>，</w:t>
      </w:r>
      <w:r>
        <w:rPr>
          <w:rFonts w:hint="eastAsia" w:ascii="仿宋_GB2312" w:hAnsi="仿宋_GB2312" w:eastAsia="仿宋_GB2312"/>
          <w:color w:val="000000" w:themeColor="text1"/>
          <w:sz w:val="32"/>
          <w:szCs w:val="24"/>
          <w:lang w:val="en-US" w:eastAsia="zh-CN"/>
          <w14:textFill>
            <w14:solidFill>
              <w14:schemeClr w14:val="tx1"/>
            </w14:solidFill>
          </w14:textFill>
        </w:rPr>
        <w:t>其他车辆为</w:t>
      </w:r>
      <w:r>
        <w:rPr>
          <w:rFonts w:hint="eastAsia" w:ascii="仿宋_GB2312" w:hAnsi="仿宋_GB2312" w:eastAsia="仿宋_GB2312"/>
          <w:color w:val="000000" w:themeColor="text1"/>
          <w:sz w:val="32"/>
          <w:lang w:val="en-US" w:eastAsia="zh-CN"/>
          <w14:textFill>
            <w14:solidFill>
              <w14:schemeClr w14:val="tx1"/>
            </w14:solidFill>
          </w14:textFill>
        </w:rPr>
        <w:t>待销账车辆</w:t>
      </w:r>
      <w:r>
        <w:rPr>
          <w:rFonts w:hint="eastAsia" w:ascii="仿宋_GB2312" w:hAnsi="仿宋_GB2312" w:eastAsia="仿宋_GB2312" w:cs="Times New Roman"/>
          <w:color w:val="000000" w:themeColor="text1"/>
          <w:spacing w:val="0"/>
          <w:sz w:val="32"/>
          <w:szCs w:val="24"/>
          <w14:textFill>
            <w14:solidFill>
              <w14:schemeClr w14:val="tx1"/>
            </w14:solidFill>
          </w14:textFill>
        </w:rPr>
        <w:t>；</w:t>
      </w:r>
      <w:r>
        <w:rPr>
          <w:rFonts w:hint="eastAsia" w:ascii="仿宋_GB2312" w:hAnsi="仿宋_GB2312" w:eastAsia="仿宋_GB2312"/>
          <w:color w:val="000000" w:themeColor="text1"/>
          <w:sz w:val="32"/>
          <w:lang w:val="en-US" w:eastAsia="zh-CN"/>
          <w14:textFill>
            <w14:solidFill>
              <w14:schemeClr w14:val="tx1"/>
            </w14:solidFill>
          </w14:textFill>
        </w:rPr>
        <w:t>单位价值50万元以上通用设备11套；单位价值100万元以上专用设备3套。</w:t>
      </w:r>
    </w:p>
    <w:p>
      <w:pPr>
        <w:pStyle w:val="3"/>
        <w:keepNext w:val="0"/>
        <w:keepLines w:val="0"/>
        <w:pageBreakBefore w:val="0"/>
        <w:widowControl w:val="0"/>
        <w:kinsoku/>
        <w:wordWrap/>
        <w:overflowPunct/>
        <w:topLinePunct w:val="0"/>
        <w:bidi w:val="0"/>
        <w:snapToGrid/>
        <w:ind w:firstLine="640" w:firstLineChars="200"/>
        <w:textAlignment w:val="auto"/>
        <w:outlineLvl w:val="1"/>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十三、关于2021年度预算绩效情况的说明</w:t>
      </w:r>
    </w:p>
    <w:p>
      <w:pPr>
        <w:pStyle w:val="3"/>
        <w:keepNext w:val="0"/>
        <w:keepLines w:val="0"/>
        <w:pageBreakBefore w:val="0"/>
        <w:widowControl w:val="0"/>
        <w:kinsoku/>
        <w:wordWrap/>
        <w:overflowPunct/>
        <w:topLinePunct w:val="0"/>
        <w:bidi w:val="0"/>
        <w:snapToGrid/>
        <w:ind w:firstLine="640" w:firstLineChars="200"/>
        <w:textAlignment w:val="auto"/>
        <w:outlineLvl w:val="2"/>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（一）绩效管理工作开展情况</w:t>
      </w:r>
    </w:p>
    <w:p>
      <w:pPr>
        <w:pStyle w:val="3"/>
        <w:keepNext w:val="0"/>
        <w:keepLines w:val="0"/>
        <w:pageBreakBefore w:val="0"/>
        <w:widowControl w:val="0"/>
        <w:kinsoku/>
        <w:wordWrap/>
        <w:overflowPunct/>
        <w:topLinePunct w:val="0"/>
        <w:bidi w:val="0"/>
        <w:snapToGrid/>
        <w:ind w:firstLine="640" w:firstLineChars="200"/>
        <w:textAlignment w:val="auto"/>
        <w:rPr>
          <w:rFonts w:hint="eastAsia" w:ascii="仿宋_GB2312" w:hAnsi="仿宋_GB2312" w:eastAsia="仿宋_GB2312"/>
          <w:color w:val="000000" w:themeColor="text1"/>
          <w:sz w:val="32"/>
          <w:lang w:val="en-US" w:eastAsia="zh-CN"/>
          <w14:textFill>
            <w14:solidFill>
              <w14:schemeClr w14:val="tx1"/>
            </w14:solidFill>
          </w14:textFill>
        </w:rPr>
      </w:pPr>
      <w:r>
        <w:rPr>
          <w:rFonts w:hint="eastAsia" w:ascii="仿宋_GB2312" w:hAnsi="仿宋_GB2312" w:eastAsia="仿宋_GB2312"/>
          <w:color w:val="000000" w:themeColor="text1"/>
          <w:sz w:val="32"/>
          <w:lang w:val="en-US" w:eastAsia="zh-CN"/>
          <w14:textFill>
            <w14:solidFill>
              <w14:schemeClr w14:val="tx1"/>
            </w14:solidFill>
          </w14:textFill>
        </w:rPr>
        <w:t>学院积极落实绩效管理主体责任，</w:t>
      </w:r>
      <w:r>
        <w:rPr>
          <w:rFonts w:ascii="仿宋_GB2312" w:hAnsi="宋体" w:eastAsia="仿宋_GB2312" w:cs="仿宋_GB2312"/>
          <w:i w:val="0"/>
          <w:iCs w:val="0"/>
          <w:caps w:val="0"/>
          <w:color w:val="000000" w:themeColor="text1"/>
          <w:spacing w:val="0"/>
          <w:sz w:val="32"/>
          <w:szCs w:val="32"/>
          <w14:textFill>
            <w14:solidFill>
              <w14:schemeClr w14:val="tx1"/>
            </w14:solidFill>
          </w14:textFill>
        </w:rPr>
        <w:t>统筹组织好</w:t>
      </w:r>
      <w:r>
        <w:rPr>
          <w:rFonts w:hint="eastAsia" w:ascii="仿宋_GB2312" w:hAnsi="宋体" w:eastAsia="仿宋_GB2312" w:cs="仿宋_GB2312"/>
          <w:i w:val="0"/>
          <w:iCs w:val="0"/>
          <w:caps w:val="0"/>
          <w:color w:val="000000" w:themeColor="text1"/>
          <w:spacing w:val="0"/>
          <w:sz w:val="32"/>
          <w:szCs w:val="32"/>
          <w:lang w:eastAsia="zh-CN"/>
          <w14:textFill>
            <w14:solidFill>
              <w14:schemeClr w14:val="tx1"/>
            </w14:solidFill>
          </w14:textFill>
        </w:rPr>
        <w:t>学院</w:t>
      </w:r>
      <w:r>
        <w:rPr>
          <w:rFonts w:ascii="仿宋_GB2312" w:hAnsi="宋体" w:eastAsia="仿宋_GB2312" w:cs="仿宋_GB2312"/>
          <w:i w:val="0"/>
          <w:iCs w:val="0"/>
          <w:caps w:val="0"/>
          <w:color w:val="000000" w:themeColor="text1"/>
          <w:spacing w:val="0"/>
          <w:sz w:val="32"/>
          <w:szCs w:val="32"/>
          <w14:textFill>
            <w14:solidFill>
              <w14:schemeClr w14:val="tx1"/>
            </w14:solidFill>
          </w14:textFill>
        </w:rPr>
        <w:t>绩效评价工作</w:t>
      </w:r>
      <w:r>
        <w:rPr>
          <w:rFonts w:hint="eastAsia" w:ascii="仿宋_GB2312" w:hAnsi="宋体" w:eastAsia="仿宋_GB2312" w:cs="仿宋_GB2312"/>
          <w:i w:val="0"/>
          <w:iCs w:val="0"/>
          <w:caps w:val="0"/>
          <w:color w:val="000000" w:themeColor="text1"/>
          <w:spacing w:val="0"/>
          <w:sz w:val="32"/>
          <w:szCs w:val="32"/>
          <w:lang w:eastAsia="zh-CN"/>
          <w14:textFill>
            <w14:solidFill>
              <w14:schemeClr w14:val="tx1"/>
            </w14:solidFill>
          </w14:textFill>
        </w:rPr>
        <w:t>，</w:t>
      </w:r>
      <w:r>
        <w:rPr>
          <w:rFonts w:hint="eastAsia" w:ascii="仿宋_GB2312" w:hAnsi="仿宋_GB2312" w:eastAsia="仿宋_GB2312"/>
          <w:color w:val="000000" w:themeColor="text1"/>
          <w:sz w:val="32"/>
          <w:lang w:val="en-US" w:eastAsia="zh-CN"/>
          <w14:textFill>
            <w14:solidFill>
              <w14:schemeClr w14:val="tx1"/>
            </w14:solidFill>
          </w14:textFill>
        </w:rPr>
        <w:t>做好数据采集、填报和核查等各项工作，及时纠正学院绩效管理中发现的问题，每月进行通报，各部门对存在的问题及时沟通协调处理，对重大问题及时汇报院办公会进行处理，提高了学院资预算执行效率和资金使用效益。</w:t>
      </w:r>
    </w:p>
    <w:p>
      <w:pPr>
        <w:keepNext w:val="0"/>
        <w:keepLines w:val="0"/>
        <w:pageBreakBefore w:val="0"/>
        <w:kinsoku/>
        <w:wordWrap/>
        <w:overflowPunct/>
        <w:topLinePunct w:val="0"/>
        <w:bidi w:val="0"/>
        <w:snapToGrid/>
        <w:spacing w:line="240" w:lineRule="auto"/>
        <w:ind w:firstLine="640" w:firstLineChars="200"/>
        <w:jc w:val="left"/>
        <w:textAlignment w:val="auto"/>
        <w:rPr>
          <w:rFonts w:hint="eastAsia" w:ascii="仿宋_GB2312" w:hAnsi="仿宋_GB2312" w:eastAsia="仿宋_GB2312" w:cs="Times New Roman"/>
          <w:color w:val="000000" w:themeColor="text1"/>
          <w:kern w:val="2"/>
          <w:sz w:val="32"/>
          <w:szCs w:val="24"/>
          <w:lang w:val="en-US" w:eastAsia="zh-CN" w:bidi="ar-SA"/>
          <w14:textFill>
            <w14:solidFill>
              <w14:schemeClr w14:val="tx1"/>
            </w14:solidFill>
          </w14:textFill>
        </w:rPr>
      </w:pPr>
      <w:r>
        <w:rPr>
          <w:rFonts w:hint="eastAsia" w:ascii="仿宋_GB2312" w:hAnsi="仿宋_GB2312" w:eastAsia="仿宋_GB2312" w:cs="Times New Roman"/>
          <w:color w:val="000000" w:themeColor="text1"/>
          <w:kern w:val="2"/>
          <w:sz w:val="32"/>
          <w:szCs w:val="24"/>
          <w:lang w:val="en-US" w:eastAsia="zh-CN" w:bidi="ar-SA"/>
          <w14:textFill>
            <w14:solidFill>
              <w14:schemeClr w14:val="tx1"/>
            </w14:solidFill>
          </w14:textFill>
        </w:rPr>
        <w:t>学院具体从三个方面开展绩效管理工作：一是定期召开项目预算执行推进会议，对于执行情况低的项目要求相关部门、相关责任人及时落实原因并进行整改，确保各预算资金绩效目标的完成；二是将绩效情况纳入部门评优考核，将绩效情况作为下一年项目申报的参考依据；三是财务严格按照专项资金管理办法进行审核，学院财务处每月通报预算执行情况，对年中执行不好的项目及时进行调整。</w:t>
      </w:r>
    </w:p>
    <w:p>
      <w:pPr>
        <w:pStyle w:val="3"/>
        <w:keepNext w:val="0"/>
        <w:keepLines w:val="0"/>
        <w:pageBreakBefore w:val="0"/>
        <w:widowControl w:val="0"/>
        <w:kinsoku/>
        <w:wordWrap/>
        <w:overflowPunct/>
        <w:topLinePunct w:val="0"/>
        <w:bidi w:val="0"/>
        <w:snapToGrid/>
        <w:spacing w:line="240" w:lineRule="auto"/>
        <w:ind w:firstLine="640" w:firstLineChars="200"/>
        <w:textAlignment w:val="auto"/>
        <w:outlineLvl w:val="2"/>
        <w:rPr>
          <w:rFonts w:hint="default" w:ascii="楷体_GB2312" w:hAnsi="楷体_GB2312" w:eastAsia="楷体_GB2312" w:cs="楷体_GB2312"/>
          <w:color w:val="000000" w:themeColor="text1"/>
          <w:sz w:val="32"/>
          <w:szCs w:val="32"/>
          <w:lang w:val="en-US" w:eastAsia="zh-CN"/>
          <w14:textFill>
            <w14:solidFill>
              <w14:schemeClr w14:val="tx1"/>
            </w14:solidFill>
          </w14:textFill>
        </w:rPr>
      </w:pPr>
      <w:r>
        <w:rPr>
          <w:rFonts w:hint="default" w:ascii="楷体_GB2312" w:hAnsi="楷体_GB2312" w:eastAsia="楷体_GB2312" w:cs="楷体_GB2312"/>
          <w:color w:val="000000" w:themeColor="text1"/>
          <w:sz w:val="32"/>
          <w:szCs w:val="32"/>
          <w:lang w:val="en-US" w:eastAsia="zh-CN"/>
          <w14:textFill>
            <w14:solidFill>
              <w14:schemeClr w14:val="tx1"/>
            </w14:solidFill>
          </w14:textFill>
        </w:rPr>
        <w:t>（二）项目绩效自评结果</w:t>
      </w:r>
    </w:p>
    <w:p>
      <w:pPr>
        <w:keepNext w:val="0"/>
        <w:keepLines w:val="0"/>
        <w:pageBreakBefore w:val="0"/>
        <w:widowControl/>
        <w:kinsoku/>
        <w:wordWrap/>
        <w:overflowPunct/>
        <w:topLinePunct w:val="0"/>
        <w:bidi w:val="0"/>
        <w:snapToGrid/>
        <w:spacing w:line="240" w:lineRule="auto"/>
        <w:ind w:firstLine="640" w:firstLineChars="200"/>
        <w:jc w:val="left"/>
        <w:textAlignment w:val="auto"/>
        <w:rPr>
          <w:rFonts w:hint="eastAsia" w:ascii="方正小标宋简体" w:hAnsi="宋体" w:eastAsia="方正小标宋简体" w:cs="Times New Roman"/>
          <w:color w:val="558ED5" w:themeColor="text2" w:themeTint="99"/>
          <w:spacing w:val="6"/>
          <w:kern w:val="0"/>
          <w:sz w:val="44"/>
          <w:szCs w:val="24"/>
          <w:lang w:val="en-US" w:eastAsia="zh-CN" w:bidi="ar-SA"/>
          <w14:textFill>
            <w14:solidFill>
              <w14:schemeClr w14:val="tx2">
                <w14:lumMod w14:val="60000"/>
                <w14:lumOff w14:val="40000"/>
              </w14:schemeClr>
            </w14:solidFill>
          </w14:textFill>
        </w:rPr>
      </w:pPr>
      <w:r>
        <w:rPr>
          <w:rFonts w:hint="eastAsia" w:ascii="仿宋_GB2312" w:hAnsi="仿宋_GB2312" w:eastAsia="仿宋_GB2312" w:cs="Times New Roman"/>
          <w:color w:val="000000" w:themeColor="text1"/>
          <w:kern w:val="2"/>
          <w:sz w:val="32"/>
          <w:szCs w:val="24"/>
          <w:lang w:val="en-US" w:eastAsia="zh-CN" w:bidi="ar-SA"/>
          <w14:textFill>
            <w14:solidFill>
              <w14:schemeClr w14:val="tx1"/>
            </w14:solidFill>
          </w14:textFill>
        </w:rPr>
        <w:t>2021</w:t>
      </w:r>
      <w:r>
        <w:rPr>
          <w:rFonts w:hint="default" w:ascii="仿宋_GB2312" w:hAnsi="仿宋_GB2312" w:eastAsia="仿宋_GB2312" w:cs="Times New Roman"/>
          <w:color w:val="000000" w:themeColor="text1"/>
          <w:kern w:val="2"/>
          <w:sz w:val="32"/>
          <w:szCs w:val="24"/>
          <w:lang w:val="en-US" w:eastAsia="zh-CN" w:bidi="ar-SA"/>
          <w14:textFill>
            <w14:solidFill>
              <w14:schemeClr w14:val="tx1"/>
            </w14:solidFill>
          </w14:textFill>
        </w:rPr>
        <w:t>年</w:t>
      </w:r>
      <w:r>
        <w:rPr>
          <w:rFonts w:hint="eastAsia" w:ascii="仿宋_GB2312" w:hAnsi="仿宋_GB2312" w:eastAsia="仿宋_GB2312" w:cs="Times New Roman"/>
          <w:color w:val="000000" w:themeColor="text1"/>
          <w:kern w:val="2"/>
          <w:sz w:val="32"/>
          <w:szCs w:val="24"/>
          <w:lang w:val="en-US" w:eastAsia="zh-CN" w:bidi="ar-SA"/>
          <w14:textFill>
            <w14:solidFill>
              <w14:schemeClr w14:val="tx1"/>
            </w14:solidFill>
          </w14:textFill>
        </w:rPr>
        <w:t>学院</w:t>
      </w:r>
      <w:r>
        <w:rPr>
          <w:rFonts w:hint="default" w:ascii="仿宋_GB2312" w:hAnsi="仿宋_GB2312" w:eastAsia="仿宋_GB2312" w:cs="Times New Roman"/>
          <w:color w:val="000000" w:themeColor="text1"/>
          <w:kern w:val="2"/>
          <w:sz w:val="32"/>
          <w:szCs w:val="24"/>
          <w:lang w:val="en-US" w:eastAsia="zh-CN" w:bidi="ar-SA"/>
          <w14:textFill>
            <w14:solidFill>
              <w14:schemeClr w14:val="tx1"/>
            </w14:solidFill>
          </w14:textFill>
        </w:rPr>
        <w:t>各项目按照预算有序执行，整体绩效自评结果良好。</w:t>
      </w:r>
      <w:r>
        <w:rPr>
          <w:rFonts w:hint="eastAsia" w:ascii="仿宋_GB2312" w:hAnsi="仿宋_GB2312" w:eastAsia="仿宋_GB2312" w:cs="Times New Roman"/>
          <w:color w:val="000000" w:themeColor="text1"/>
          <w:sz w:val="32"/>
          <w:szCs w:val="24"/>
          <w14:textFill>
            <w14:solidFill>
              <w14:schemeClr w14:val="tx1"/>
            </w14:solidFill>
          </w14:textFill>
        </w:rPr>
        <w:t>绩效自评结果</w:t>
      </w:r>
      <w:r>
        <w:rPr>
          <w:rFonts w:hint="eastAsia" w:ascii="仿宋_GB2312" w:hAnsi="仿宋_GB2312" w:eastAsia="仿宋_GB2312" w:cs="Times New Roman"/>
          <w:color w:val="000000" w:themeColor="text1"/>
          <w:sz w:val="32"/>
          <w:szCs w:val="24"/>
          <w:lang w:eastAsia="zh-CN"/>
          <w14:textFill>
            <w14:solidFill>
              <w14:schemeClr w14:val="tx1"/>
            </w14:solidFill>
          </w14:textFill>
        </w:rPr>
        <w:t>附后</w:t>
      </w:r>
      <w:r>
        <w:rPr>
          <w:rFonts w:hint="eastAsia" w:ascii="仿宋_GB2312" w:hAnsi="仿宋_GB2312" w:eastAsia="仿宋_GB2312" w:cs="Times New Roman"/>
          <w:color w:val="000000" w:themeColor="text1"/>
          <w:sz w:val="32"/>
          <w:szCs w:val="24"/>
          <w14:textFill>
            <w14:solidFill>
              <w14:schemeClr w14:val="tx1"/>
            </w14:solidFill>
          </w14:textFill>
        </w:rPr>
        <w:t>。</w:t>
      </w:r>
    </w:p>
    <w:p>
      <w:pPr>
        <w:pStyle w:val="16"/>
        <w:keepNext w:val="0"/>
        <w:keepLines w:val="0"/>
        <w:pageBreakBefore w:val="0"/>
        <w:widowControl w:val="0"/>
        <w:kinsoku/>
        <w:wordWrap/>
        <w:overflowPunct/>
        <w:topLinePunct w:val="0"/>
        <w:bidi w:val="0"/>
        <w:snapToGrid/>
        <w:spacing w:line="240" w:lineRule="auto"/>
        <w:ind w:firstLine="904" w:firstLineChars="200"/>
        <w:jc w:val="center"/>
        <w:textAlignment w:val="auto"/>
        <w:rPr>
          <w:rFonts w:hint="eastAsia" w:ascii="方正小标宋简体" w:hAnsi="宋体" w:eastAsia="方正小标宋简体" w:cs="Times New Roman"/>
          <w:color w:val="558ED5" w:themeColor="text2" w:themeTint="99"/>
          <w:spacing w:val="6"/>
          <w:kern w:val="0"/>
          <w:sz w:val="44"/>
          <w:szCs w:val="24"/>
          <w:lang w:val="en-US" w:eastAsia="zh-CN" w:bidi="ar-SA"/>
          <w14:textFill>
            <w14:solidFill>
              <w14:schemeClr w14:val="tx2">
                <w14:lumMod w14:val="60000"/>
                <w14:lumOff w14:val="40000"/>
              </w14:schemeClr>
            </w14:solidFill>
          </w14:textFill>
        </w:rPr>
      </w:pPr>
    </w:p>
    <w:p>
      <w:pPr>
        <w:pStyle w:val="16"/>
        <w:keepNext w:val="0"/>
        <w:keepLines w:val="0"/>
        <w:pageBreakBefore w:val="0"/>
        <w:widowControl w:val="0"/>
        <w:kinsoku/>
        <w:wordWrap/>
        <w:overflowPunct/>
        <w:topLinePunct w:val="0"/>
        <w:bidi w:val="0"/>
        <w:snapToGrid/>
        <w:spacing w:line="240" w:lineRule="auto"/>
        <w:ind w:firstLine="904" w:firstLineChars="200"/>
        <w:jc w:val="center"/>
        <w:textAlignment w:val="auto"/>
        <w:rPr>
          <w:rFonts w:hint="eastAsia" w:ascii="方正小标宋简体" w:hAnsi="宋体" w:eastAsia="方正小标宋简体" w:cs="Times New Roman"/>
          <w:color w:val="558ED5" w:themeColor="text2" w:themeTint="99"/>
          <w:spacing w:val="6"/>
          <w:kern w:val="0"/>
          <w:sz w:val="44"/>
          <w:szCs w:val="24"/>
          <w:lang w:val="en-US" w:eastAsia="zh-CN" w:bidi="ar-SA"/>
          <w14:textFill>
            <w14:solidFill>
              <w14:schemeClr w14:val="tx2">
                <w14:lumMod w14:val="60000"/>
                <w14:lumOff w14:val="40000"/>
              </w14:schemeClr>
            </w14:solidFill>
          </w14:textFill>
        </w:rPr>
      </w:pPr>
    </w:p>
    <w:p>
      <w:pPr>
        <w:pStyle w:val="16"/>
        <w:keepNext w:val="0"/>
        <w:keepLines w:val="0"/>
        <w:pageBreakBefore w:val="0"/>
        <w:widowControl w:val="0"/>
        <w:kinsoku/>
        <w:wordWrap/>
        <w:overflowPunct/>
        <w:topLinePunct w:val="0"/>
        <w:bidi w:val="0"/>
        <w:snapToGrid/>
        <w:spacing w:line="240" w:lineRule="auto"/>
        <w:ind w:firstLine="904" w:firstLineChars="200"/>
        <w:jc w:val="center"/>
        <w:textAlignment w:val="auto"/>
        <w:rPr>
          <w:rFonts w:hint="eastAsia" w:ascii="方正小标宋简体" w:hAnsi="宋体" w:eastAsia="方正小标宋简体" w:cs="Times New Roman"/>
          <w:color w:val="558ED5" w:themeColor="text2" w:themeTint="99"/>
          <w:spacing w:val="6"/>
          <w:kern w:val="0"/>
          <w:sz w:val="44"/>
          <w:szCs w:val="24"/>
          <w:lang w:val="en-US" w:eastAsia="zh-CN" w:bidi="ar-SA"/>
          <w14:textFill>
            <w14:solidFill>
              <w14:schemeClr w14:val="tx2">
                <w14:lumMod w14:val="60000"/>
                <w14:lumOff w14:val="40000"/>
              </w14:schemeClr>
            </w14:solidFill>
          </w14:textFill>
        </w:rPr>
      </w:pPr>
    </w:p>
    <w:p>
      <w:pPr>
        <w:pStyle w:val="16"/>
        <w:keepNext w:val="0"/>
        <w:keepLines w:val="0"/>
        <w:pageBreakBefore w:val="0"/>
        <w:widowControl/>
        <w:kinsoku/>
        <w:wordWrap/>
        <w:overflowPunct/>
        <w:topLinePunct w:val="0"/>
        <w:bidi w:val="0"/>
        <w:snapToGrid/>
        <w:spacing w:line="240" w:lineRule="auto"/>
        <w:ind w:firstLine="0" w:firstLineChars="0"/>
        <w:jc w:val="center"/>
        <w:textAlignment w:val="auto"/>
        <w:outlineLvl w:val="9"/>
        <w:rPr>
          <w:rFonts w:hint="eastAsia" w:ascii="黑体" w:eastAsia="黑体" w:cs="黑体" w:hAnsiTheme="minorHAnsi"/>
          <w:color w:val="000000"/>
          <w:spacing w:val="0"/>
          <w:kern w:val="0"/>
          <w:sz w:val="72"/>
          <w:szCs w:val="72"/>
          <w:lang w:val="en-US" w:eastAsia="zh-CN" w:bidi="ar-SA"/>
        </w:rPr>
      </w:pPr>
    </w:p>
    <w:p>
      <w:pPr>
        <w:pStyle w:val="16"/>
        <w:keepNext w:val="0"/>
        <w:keepLines w:val="0"/>
        <w:pageBreakBefore w:val="0"/>
        <w:widowControl/>
        <w:kinsoku/>
        <w:wordWrap/>
        <w:overflowPunct/>
        <w:topLinePunct w:val="0"/>
        <w:bidi w:val="0"/>
        <w:snapToGrid/>
        <w:spacing w:line="240" w:lineRule="auto"/>
        <w:ind w:firstLine="0" w:firstLineChars="0"/>
        <w:jc w:val="center"/>
        <w:textAlignment w:val="auto"/>
        <w:outlineLvl w:val="9"/>
        <w:rPr>
          <w:rFonts w:hint="eastAsia" w:ascii="黑体" w:eastAsia="黑体" w:cs="黑体" w:hAnsiTheme="minorHAnsi"/>
          <w:color w:val="000000"/>
          <w:spacing w:val="0"/>
          <w:kern w:val="0"/>
          <w:sz w:val="72"/>
          <w:szCs w:val="72"/>
          <w:lang w:val="en-US" w:eastAsia="zh-CN" w:bidi="ar-SA"/>
        </w:rPr>
      </w:pPr>
    </w:p>
    <w:p>
      <w:pPr>
        <w:pStyle w:val="16"/>
        <w:keepNext w:val="0"/>
        <w:keepLines w:val="0"/>
        <w:pageBreakBefore w:val="0"/>
        <w:widowControl/>
        <w:kinsoku/>
        <w:wordWrap/>
        <w:overflowPunct/>
        <w:topLinePunct w:val="0"/>
        <w:bidi w:val="0"/>
        <w:snapToGrid/>
        <w:spacing w:line="240" w:lineRule="auto"/>
        <w:ind w:firstLine="0" w:firstLineChars="0"/>
        <w:jc w:val="center"/>
        <w:textAlignment w:val="auto"/>
        <w:outlineLvl w:val="9"/>
        <w:rPr>
          <w:rFonts w:hint="eastAsia" w:ascii="黑体" w:eastAsia="黑体" w:cs="黑体" w:hAnsiTheme="minorHAnsi"/>
          <w:color w:val="000000"/>
          <w:spacing w:val="0"/>
          <w:kern w:val="0"/>
          <w:sz w:val="72"/>
          <w:szCs w:val="72"/>
          <w:lang w:val="en-US" w:eastAsia="zh-CN" w:bidi="ar-SA"/>
        </w:rPr>
      </w:pPr>
    </w:p>
    <w:p>
      <w:pPr>
        <w:pStyle w:val="16"/>
        <w:keepNext w:val="0"/>
        <w:keepLines w:val="0"/>
        <w:pageBreakBefore w:val="0"/>
        <w:widowControl/>
        <w:kinsoku/>
        <w:wordWrap/>
        <w:overflowPunct/>
        <w:topLinePunct w:val="0"/>
        <w:bidi w:val="0"/>
        <w:snapToGrid/>
        <w:spacing w:line="240" w:lineRule="auto"/>
        <w:ind w:firstLine="0" w:firstLineChars="0"/>
        <w:jc w:val="center"/>
        <w:textAlignment w:val="auto"/>
        <w:outlineLvl w:val="9"/>
        <w:rPr>
          <w:rFonts w:hint="eastAsia" w:ascii="黑体" w:eastAsia="黑体" w:cs="黑体" w:hAnsiTheme="minorHAnsi"/>
          <w:color w:val="000000"/>
          <w:spacing w:val="0"/>
          <w:kern w:val="0"/>
          <w:sz w:val="72"/>
          <w:szCs w:val="72"/>
          <w:lang w:val="en-US" w:eastAsia="zh-CN" w:bidi="ar-SA"/>
        </w:rPr>
      </w:pPr>
    </w:p>
    <w:p>
      <w:pPr>
        <w:pStyle w:val="16"/>
        <w:keepNext w:val="0"/>
        <w:keepLines w:val="0"/>
        <w:pageBreakBefore w:val="0"/>
        <w:widowControl/>
        <w:kinsoku/>
        <w:wordWrap/>
        <w:overflowPunct/>
        <w:topLinePunct w:val="0"/>
        <w:bidi w:val="0"/>
        <w:snapToGrid/>
        <w:spacing w:line="240" w:lineRule="auto"/>
        <w:ind w:firstLine="0" w:firstLineChars="0"/>
        <w:jc w:val="center"/>
        <w:textAlignment w:val="auto"/>
        <w:outlineLvl w:val="9"/>
        <w:rPr>
          <w:rFonts w:hint="eastAsia" w:ascii="黑体" w:eastAsia="黑体" w:cs="黑体" w:hAnsiTheme="minorHAnsi"/>
          <w:color w:val="000000"/>
          <w:spacing w:val="0"/>
          <w:kern w:val="0"/>
          <w:sz w:val="72"/>
          <w:szCs w:val="72"/>
          <w:lang w:val="en-US" w:eastAsia="zh-CN" w:bidi="ar-SA"/>
        </w:rPr>
      </w:pPr>
    </w:p>
    <w:p>
      <w:pPr>
        <w:pStyle w:val="16"/>
        <w:keepNext w:val="0"/>
        <w:keepLines w:val="0"/>
        <w:pageBreakBefore w:val="0"/>
        <w:widowControl/>
        <w:kinsoku/>
        <w:wordWrap/>
        <w:overflowPunct/>
        <w:topLinePunct w:val="0"/>
        <w:bidi w:val="0"/>
        <w:snapToGrid/>
        <w:spacing w:line="240" w:lineRule="auto"/>
        <w:ind w:firstLine="0" w:firstLineChars="0"/>
        <w:jc w:val="center"/>
        <w:textAlignment w:val="auto"/>
        <w:outlineLvl w:val="9"/>
        <w:rPr>
          <w:rFonts w:hint="eastAsia" w:ascii="黑体" w:eastAsia="黑体" w:cs="黑体" w:hAnsiTheme="minorHAnsi"/>
          <w:color w:val="000000"/>
          <w:spacing w:val="0"/>
          <w:kern w:val="0"/>
          <w:sz w:val="72"/>
          <w:szCs w:val="72"/>
          <w:lang w:val="en-US" w:eastAsia="zh-CN" w:bidi="ar-SA"/>
        </w:rPr>
      </w:pPr>
      <w:r>
        <w:rPr>
          <w:rFonts w:hint="eastAsia" w:ascii="黑体" w:eastAsia="黑体" w:cs="黑体" w:hAnsiTheme="minorHAnsi"/>
          <w:color w:val="000000" w:themeColor="text1"/>
          <w:spacing w:val="0"/>
          <w:kern w:val="0"/>
          <w:sz w:val="72"/>
          <w:szCs w:val="72"/>
          <w:lang w:val="en-US" w:eastAsia="zh-CN" w:bidi="ar-SA"/>
          <w14:textFill>
            <w14:solidFill>
              <w14:schemeClr w14:val="tx1"/>
            </w14:solidFill>
          </w14:textFill>
        </w:rPr>
        <w:t>第四部分</w:t>
      </w:r>
      <w:r>
        <w:rPr>
          <w:rFonts w:hint="eastAsia" w:ascii="黑体" w:eastAsia="黑体" w:cs="黑体" w:hAnsiTheme="minorHAnsi"/>
          <w:color w:val="000000"/>
          <w:spacing w:val="0"/>
          <w:kern w:val="0"/>
          <w:sz w:val="72"/>
          <w:szCs w:val="72"/>
          <w:lang w:val="en-US" w:eastAsia="zh-CN" w:bidi="ar-SA"/>
        </w:rPr>
        <w:br w:type="textWrapping"/>
      </w:r>
    </w:p>
    <w:p>
      <w:pPr>
        <w:pStyle w:val="16"/>
        <w:keepNext w:val="0"/>
        <w:keepLines w:val="0"/>
        <w:pageBreakBefore w:val="0"/>
        <w:widowControl/>
        <w:kinsoku/>
        <w:wordWrap/>
        <w:overflowPunct/>
        <w:topLinePunct w:val="0"/>
        <w:bidi w:val="0"/>
        <w:snapToGrid/>
        <w:spacing w:line="240" w:lineRule="auto"/>
        <w:ind w:firstLine="0" w:firstLineChars="0"/>
        <w:jc w:val="center"/>
        <w:textAlignment w:val="auto"/>
        <w:outlineLvl w:val="9"/>
        <w:rPr>
          <w:rFonts w:hint="eastAsia" w:ascii="黑体" w:eastAsia="黑体" w:cs="黑体" w:hAnsiTheme="minorHAnsi"/>
          <w:color w:val="000000" w:themeColor="text1"/>
          <w:spacing w:val="0"/>
          <w:kern w:val="0"/>
          <w:sz w:val="72"/>
          <w:szCs w:val="72"/>
          <w:lang w:val="en-US" w:eastAsia="zh-CN" w:bidi="ar-SA"/>
          <w14:textFill>
            <w14:solidFill>
              <w14:schemeClr w14:val="tx1"/>
            </w14:solidFill>
          </w14:textFill>
        </w:rPr>
      </w:pPr>
      <w:r>
        <w:rPr>
          <w:rFonts w:hint="eastAsia" w:ascii="黑体" w:eastAsia="黑体" w:cs="黑体" w:hAnsiTheme="minorHAnsi"/>
          <w:color w:val="000000" w:themeColor="text1"/>
          <w:spacing w:val="0"/>
          <w:kern w:val="0"/>
          <w:sz w:val="72"/>
          <w:szCs w:val="72"/>
          <w:lang w:val="en-US" w:eastAsia="zh-CN" w:bidi="ar-SA"/>
          <w14:textFill>
            <w14:solidFill>
              <w14:schemeClr w14:val="tx1"/>
            </w14:solidFill>
          </w14:textFill>
        </w:rPr>
        <w:t>名词解释</w:t>
      </w:r>
    </w:p>
    <w:p>
      <w:pPr>
        <w:ind w:firstLine="640" w:firstLineChars="200"/>
        <w:jc w:val="left"/>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pStyle w:val="2"/>
        <w:rPr>
          <w:rFonts w:hint="eastAsia" w:cs="黑体" w:asciiTheme="minorEastAsia" w:hAnsiTheme="minorEastAsia"/>
          <w:color w:val="000000" w:themeColor="text1"/>
          <w:kern w:val="0"/>
          <w:sz w:val="32"/>
          <w:szCs w:val="32"/>
          <w14:textFill>
            <w14:solidFill>
              <w14:schemeClr w14:val="tx1"/>
            </w14:solidFill>
          </w14:textFill>
        </w:rPr>
      </w:pPr>
    </w:p>
    <w:p>
      <w:pPr>
        <w:keepNext w:val="0"/>
        <w:keepLines w:val="0"/>
        <w:pageBreakBefore w:val="0"/>
        <w:widowControl w:val="0"/>
        <w:numPr>
          <w:ilvl w:val="0"/>
          <w:numId w:val="4"/>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财政拨款收入：指单位从同级政府财政部门取得的各类财政拨款。</w:t>
      </w:r>
    </w:p>
    <w:p>
      <w:pPr>
        <w:keepNext w:val="0"/>
        <w:keepLines w:val="0"/>
        <w:pageBreakBefore w:val="0"/>
        <w:widowControl w:val="0"/>
        <w:numPr>
          <w:ilvl w:val="0"/>
          <w:numId w:val="4"/>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三、经营收入：指事业单位在专业业务活动及其辅助活动之外开展非独立核算经营活动取得的收入。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四、其他收入：指单位取得的除上述收入以外的各项收入。主要包括存款利息收入、投资收益等。</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五、使用非财政拨款结余：指事业单位按照预算管理要求使用非财政拨款结余弥补收支差额。</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六、年初结转和结余：指单位以前年度尚未完成、结转到本年按有关规定继续使用的资金。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七、结余分配：指单位缴纳企业所得税以及非财政拨款结余或经营结余中提取各类结余。</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八、年末结转和结余：指单位按有关规定结转到下年或以后年度继续使用的资金。</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九、基本支出：指单位为保障机构正常运转、完成日常工作任务而发生的人员支出和公用支出。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十、项目支出：指单位为完成特定行政任务和事业发展目标在基本支出之外所发生的支出。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十一、经营支出：指事业单位在专业业务活动及其辅助活动之外开展非独立核算经营活动发生的支出。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十二、“三公”经费：指省级部门用一般公共预算财政拨款安排的因公出国（境）费、公务用车购置及运行维护费和公务接待费。因公出国（境）费反映单位公务出国 （境）的国际旅费、国内外城市间交通费、住宿费、伙食费、培训费、公杂费等支出；公务用车购置及运行维护费反映单位公 务用车购置支出（含车辆购置税）及燃料费、维修费、过路过桥费、保险费、安全奖励费用等支出；公务接待费反映单位按规定开支的各类公务接待（含外宾接待）支出。</w:t>
      </w: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3"/>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p>
    <w:p>
      <w:pPr>
        <w:pStyle w:val="16"/>
        <w:widowControl/>
        <w:numPr>
          <w:ilvl w:val="0"/>
          <w:numId w:val="5"/>
        </w:numPr>
        <w:spacing w:line="240" w:lineRule="auto"/>
        <w:ind w:firstLine="0"/>
        <w:jc w:val="center"/>
        <w:outlineLvl w:val="9"/>
        <w:rPr>
          <w:rFonts w:hint="eastAsia" w:ascii="黑体" w:eastAsia="黑体" w:cs="黑体" w:hAnsiTheme="minorHAnsi"/>
          <w:color w:val="000000"/>
          <w:spacing w:val="0"/>
          <w:kern w:val="0"/>
          <w:sz w:val="72"/>
          <w:szCs w:val="72"/>
          <w:lang w:val="en-US" w:eastAsia="zh-CN" w:bidi="ar-SA"/>
        </w:rPr>
      </w:pPr>
      <w:r>
        <w:rPr>
          <w:rFonts w:hint="eastAsia" w:ascii="黑体" w:eastAsia="黑体" w:cs="黑体" w:hAnsiTheme="minorHAnsi"/>
          <w:color w:val="000000"/>
          <w:spacing w:val="0"/>
          <w:kern w:val="0"/>
          <w:sz w:val="72"/>
          <w:szCs w:val="72"/>
          <w:lang w:val="en-US" w:eastAsia="zh-CN" w:bidi="ar-SA"/>
        </w:rPr>
        <w:br w:type="textWrapping"/>
      </w:r>
    </w:p>
    <w:p>
      <w:pPr>
        <w:pStyle w:val="16"/>
        <w:widowControl/>
        <w:spacing w:line="240" w:lineRule="auto"/>
        <w:jc w:val="center"/>
        <w:outlineLvl w:val="9"/>
        <w:rPr>
          <w:rFonts w:hint="eastAsia" w:cs="黑体"/>
          <w:color w:val="000000"/>
          <w:spacing w:val="0"/>
          <w:kern w:val="0"/>
          <w:sz w:val="72"/>
          <w:szCs w:val="72"/>
          <w:lang w:val="en-US" w:eastAsia="zh-CN" w:bidi="ar-SA"/>
        </w:rPr>
      </w:pPr>
      <w:r>
        <w:rPr>
          <w:rFonts w:hint="eastAsia" w:cs="黑体"/>
          <w:color w:val="000000"/>
          <w:spacing w:val="0"/>
          <w:kern w:val="0"/>
          <w:sz w:val="72"/>
          <w:szCs w:val="72"/>
          <w:lang w:val="en-US" w:eastAsia="zh-CN" w:bidi="ar-SA"/>
        </w:rPr>
        <w:t>附  件</w:t>
      </w:r>
    </w:p>
    <w:p>
      <w:pPr>
        <w:pStyle w:val="16"/>
        <w:widowControl/>
        <w:spacing w:line="240" w:lineRule="auto"/>
        <w:jc w:val="center"/>
        <w:outlineLvl w:val="9"/>
        <w:rPr>
          <w:rFonts w:hint="eastAsia" w:ascii="黑体" w:eastAsia="黑体" w:cs="黑体" w:hAnsiTheme="minorHAnsi"/>
          <w:color w:val="000000"/>
          <w:kern w:val="0"/>
          <w:sz w:val="72"/>
          <w:szCs w:val="72"/>
          <w:lang w:val="en-US" w:eastAsia="zh-CN"/>
        </w:rPr>
      </w:pPr>
      <w:r>
        <w:rPr>
          <w:rFonts w:hint="eastAsia" w:ascii="黑体" w:eastAsia="黑体" w:cs="黑体" w:hAnsiTheme="minorHAnsi"/>
          <w:color w:val="000000"/>
          <w:kern w:val="0"/>
          <w:sz w:val="72"/>
          <w:szCs w:val="72"/>
          <w:lang w:val="en-US" w:eastAsia="zh-CN"/>
        </w:rPr>
        <w:t xml:space="preserve"> </w:t>
      </w:r>
    </w:p>
    <w:p>
      <w:pPr>
        <w:pStyle w:val="16"/>
        <w:widowControl/>
        <w:spacing w:line="240" w:lineRule="auto"/>
        <w:jc w:val="center"/>
        <w:outlineLvl w:val="9"/>
        <w:rPr>
          <w:rFonts w:hint="eastAsia" w:ascii="黑体" w:eastAsia="黑体" w:cs="黑体" w:hAnsiTheme="minorHAnsi"/>
          <w:color w:val="000000"/>
          <w:kern w:val="0"/>
          <w:sz w:val="72"/>
          <w:szCs w:val="72"/>
          <w:lang w:val="en-US" w:eastAsia="zh-CN"/>
        </w:rPr>
      </w:pPr>
    </w:p>
    <w:p>
      <w:pPr>
        <w:pStyle w:val="16"/>
        <w:widowControl/>
        <w:spacing w:line="240" w:lineRule="auto"/>
        <w:jc w:val="center"/>
        <w:outlineLvl w:val="9"/>
        <w:rPr>
          <w:rFonts w:hint="eastAsia" w:ascii="黑体" w:eastAsia="黑体" w:cs="黑体" w:hAnsiTheme="minorHAnsi"/>
          <w:color w:val="000000"/>
          <w:kern w:val="0"/>
          <w:sz w:val="72"/>
          <w:szCs w:val="72"/>
          <w:lang w:val="en-US" w:eastAsia="zh-CN"/>
        </w:rPr>
      </w:pPr>
    </w:p>
    <w:p>
      <w:pPr>
        <w:pStyle w:val="16"/>
        <w:widowControl/>
        <w:spacing w:line="240" w:lineRule="auto"/>
        <w:jc w:val="center"/>
        <w:outlineLvl w:val="9"/>
        <w:rPr>
          <w:rFonts w:hint="eastAsia" w:ascii="黑体" w:eastAsia="黑体" w:cs="黑体" w:hAnsiTheme="minorHAnsi"/>
          <w:color w:val="000000"/>
          <w:kern w:val="0"/>
          <w:sz w:val="72"/>
          <w:szCs w:val="72"/>
          <w:lang w:val="en-US" w:eastAsia="zh-CN"/>
        </w:rPr>
      </w:pPr>
    </w:p>
    <w:p>
      <w:pPr>
        <w:pStyle w:val="16"/>
        <w:widowControl/>
        <w:spacing w:line="240" w:lineRule="auto"/>
        <w:jc w:val="center"/>
        <w:outlineLvl w:val="9"/>
        <w:rPr>
          <w:rFonts w:hint="eastAsia" w:ascii="黑体" w:eastAsia="黑体" w:cs="黑体" w:hAnsiTheme="minorHAnsi"/>
          <w:color w:val="000000"/>
          <w:kern w:val="0"/>
          <w:sz w:val="72"/>
          <w:szCs w:val="72"/>
          <w:lang w:val="en-US" w:eastAsia="zh-CN"/>
        </w:rPr>
      </w:pPr>
    </w:p>
    <w:p>
      <w:pPr>
        <w:pStyle w:val="16"/>
        <w:widowControl/>
        <w:spacing w:line="240" w:lineRule="auto"/>
        <w:jc w:val="center"/>
        <w:outlineLvl w:val="9"/>
        <w:rPr>
          <w:rFonts w:hint="eastAsia" w:ascii="黑体" w:eastAsia="黑体" w:cs="黑体" w:hAnsiTheme="minorHAnsi"/>
          <w:color w:val="000000"/>
          <w:kern w:val="0"/>
          <w:sz w:val="72"/>
          <w:szCs w:val="72"/>
          <w:lang w:val="en-US" w:eastAsia="zh-CN"/>
        </w:rPr>
      </w:pPr>
    </w:p>
    <w:p>
      <w:pPr>
        <w:spacing w:line="660" w:lineRule="exact"/>
        <w:jc w:val="center"/>
        <w:rPr>
          <w:rFonts w:hint="eastAsia" w:ascii="方正小标宋简体" w:hAnsi="宋体" w:eastAsia="方正小标宋简体" w:cs="宋体"/>
          <w:color w:val="000000"/>
          <w:kern w:val="0"/>
          <w:sz w:val="44"/>
          <w:szCs w:val="44"/>
        </w:rPr>
      </w:pPr>
      <w:r>
        <w:rPr>
          <w:rFonts w:hint="eastAsia" w:ascii="方正小标宋简体" w:hAnsi="宋体" w:eastAsia="方正小标宋简体" w:cs="宋体"/>
          <w:color w:val="000000"/>
          <w:kern w:val="0"/>
          <w:sz w:val="44"/>
          <w:szCs w:val="44"/>
        </w:rPr>
        <w:t>长沙环境保护职业技术学院</w:t>
      </w:r>
    </w:p>
    <w:p>
      <w:pPr>
        <w:spacing w:line="660" w:lineRule="exact"/>
        <w:jc w:val="center"/>
        <w:rPr>
          <w:rFonts w:hint="eastAsia" w:ascii="方正小标宋简体" w:hAnsi="宋体" w:eastAsia="方正小标宋简体" w:cs="宋体"/>
          <w:color w:val="000000"/>
          <w:kern w:val="0"/>
          <w:sz w:val="44"/>
          <w:szCs w:val="44"/>
          <w:lang w:val="en-US" w:eastAsia="zh-CN"/>
        </w:rPr>
      </w:pPr>
      <w:r>
        <w:rPr>
          <w:rFonts w:hint="eastAsia" w:ascii="方正小标宋简体" w:hAnsi="宋体" w:eastAsia="方正小标宋简体" w:cs="宋体"/>
          <w:color w:val="000000"/>
          <w:kern w:val="0"/>
          <w:sz w:val="44"/>
          <w:szCs w:val="44"/>
          <w:lang w:val="en-US" w:eastAsia="zh-CN"/>
        </w:rPr>
        <w:t>2021年度整体支出绩效评价报告</w:t>
      </w:r>
    </w:p>
    <w:p>
      <w:pPr>
        <w:ind w:firstLine="640" w:firstLineChars="200"/>
        <w:rPr>
          <w:rFonts w:hint="eastAsia" w:ascii="仿宋_GB2312" w:hAnsi="宋体" w:eastAsia="仿宋_GB2312" w:cs="宋体"/>
          <w:color w:val="000000"/>
          <w:spacing w:val="0"/>
          <w:kern w:val="0"/>
          <w:sz w:val="32"/>
          <w:szCs w:val="32"/>
        </w:rPr>
      </w:pPr>
    </w:p>
    <w:p>
      <w:pPr>
        <w:ind w:firstLine="640" w:firstLineChars="200"/>
        <w:rPr>
          <w:rFonts w:hint="eastAsia" w:ascii="仿宋_GB2312" w:hAnsi="宋体" w:eastAsia="仿宋_GB2312" w:cs="宋体"/>
          <w:color w:val="000000"/>
          <w:spacing w:val="0"/>
          <w:kern w:val="0"/>
          <w:sz w:val="32"/>
          <w:szCs w:val="32"/>
          <w:lang w:eastAsia="zh-CN"/>
        </w:rPr>
      </w:pPr>
      <w:r>
        <w:rPr>
          <w:rFonts w:hint="eastAsia" w:ascii="仿宋_GB2312" w:hAnsi="宋体" w:eastAsia="仿宋_GB2312" w:cs="宋体"/>
          <w:color w:val="000000"/>
          <w:spacing w:val="0"/>
          <w:kern w:val="0"/>
          <w:sz w:val="32"/>
          <w:szCs w:val="32"/>
        </w:rPr>
        <w:t>根据《湖南省财政厅关于开展202</w:t>
      </w:r>
      <w:r>
        <w:rPr>
          <w:rFonts w:hint="eastAsia" w:ascii="仿宋_GB2312" w:hAnsi="宋体" w:eastAsia="仿宋_GB2312" w:cs="宋体"/>
          <w:color w:val="000000"/>
          <w:spacing w:val="0"/>
          <w:kern w:val="0"/>
          <w:sz w:val="32"/>
          <w:szCs w:val="32"/>
          <w:lang w:val="en-US" w:eastAsia="zh-CN"/>
        </w:rPr>
        <w:t>1</w:t>
      </w:r>
      <w:r>
        <w:rPr>
          <w:rFonts w:hint="eastAsia" w:ascii="仿宋_GB2312" w:hAnsi="宋体" w:eastAsia="仿宋_GB2312" w:cs="宋体"/>
          <w:color w:val="000000"/>
          <w:spacing w:val="0"/>
          <w:kern w:val="0"/>
          <w:sz w:val="32"/>
          <w:szCs w:val="32"/>
        </w:rPr>
        <w:t>年度部门绩效自评工作的通知》（湘财绩[202</w:t>
      </w:r>
      <w:r>
        <w:rPr>
          <w:rFonts w:hint="eastAsia" w:ascii="仿宋_GB2312" w:hAnsi="宋体" w:eastAsia="仿宋_GB2312" w:cs="宋体"/>
          <w:color w:val="000000"/>
          <w:spacing w:val="0"/>
          <w:kern w:val="0"/>
          <w:sz w:val="32"/>
          <w:szCs w:val="32"/>
          <w:lang w:val="en-US" w:eastAsia="zh-CN"/>
        </w:rPr>
        <w:t>2</w:t>
      </w:r>
      <w:r>
        <w:rPr>
          <w:rFonts w:hint="eastAsia" w:ascii="仿宋_GB2312" w:hAnsi="宋体" w:eastAsia="仿宋_GB2312" w:cs="宋体"/>
          <w:color w:val="000000"/>
          <w:spacing w:val="0"/>
          <w:kern w:val="0"/>
          <w:sz w:val="32"/>
          <w:szCs w:val="32"/>
        </w:rPr>
        <w:t>]1号）</w:t>
      </w:r>
      <w:r>
        <w:rPr>
          <w:rFonts w:hint="eastAsia" w:ascii="仿宋_GB2312" w:hAnsi="宋体" w:eastAsia="仿宋_GB2312" w:cs="宋体"/>
          <w:color w:val="000000"/>
          <w:spacing w:val="0"/>
          <w:kern w:val="0"/>
          <w:sz w:val="32"/>
          <w:szCs w:val="32"/>
          <w:lang w:eastAsia="zh-CN"/>
        </w:rPr>
        <w:t>，《</w:t>
      </w:r>
      <w:r>
        <w:rPr>
          <w:rFonts w:hint="eastAsia" w:ascii="仿宋_GB2312" w:hAnsi="宋体" w:eastAsia="仿宋_GB2312" w:cs="宋体"/>
          <w:color w:val="000000"/>
          <w:spacing w:val="0"/>
          <w:kern w:val="0"/>
          <w:sz w:val="32"/>
          <w:szCs w:val="32"/>
          <w:lang w:val="en-US" w:eastAsia="zh-CN"/>
        </w:rPr>
        <w:t>湖南省生态环境厅办公室</w:t>
      </w:r>
      <w:r>
        <w:rPr>
          <w:rFonts w:hint="default" w:ascii="仿宋_GB2312" w:hAnsi="宋体" w:eastAsia="仿宋_GB2312" w:cs="宋体"/>
          <w:color w:val="000000"/>
          <w:spacing w:val="0"/>
          <w:kern w:val="0"/>
          <w:sz w:val="32"/>
          <w:szCs w:val="32"/>
          <w:lang w:val="en-US" w:eastAsia="zh-CN"/>
        </w:rPr>
        <w:t>关于开展2021年度部门整体支出绩效自评价工作的通知</w:t>
      </w:r>
      <w:r>
        <w:rPr>
          <w:rFonts w:hint="eastAsia" w:ascii="仿宋_GB2312" w:hAnsi="宋体" w:eastAsia="仿宋_GB2312" w:cs="宋体"/>
          <w:color w:val="000000"/>
          <w:spacing w:val="0"/>
          <w:kern w:val="0"/>
          <w:sz w:val="32"/>
          <w:szCs w:val="32"/>
          <w:lang w:val="en-US" w:eastAsia="zh-CN"/>
        </w:rPr>
        <w:t>》等要求，学院组织</w:t>
      </w:r>
      <w:r>
        <w:rPr>
          <w:rFonts w:hint="eastAsia" w:ascii="仿宋_GB2312" w:hAnsi="宋体" w:eastAsia="仿宋_GB2312" w:cs="宋体"/>
          <w:color w:val="000000"/>
          <w:spacing w:val="0"/>
          <w:kern w:val="0"/>
          <w:sz w:val="32"/>
          <w:szCs w:val="32"/>
        </w:rPr>
        <w:t>各职能处室、省级项目资金各主管部门及项目</w:t>
      </w:r>
      <w:r>
        <w:rPr>
          <w:rFonts w:hint="eastAsia" w:ascii="仿宋_GB2312" w:hAnsi="宋体" w:eastAsia="仿宋_GB2312" w:cs="宋体"/>
          <w:color w:val="000000"/>
          <w:spacing w:val="0"/>
          <w:kern w:val="0"/>
          <w:sz w:val="32"/>
          <w:szCs w:val="32"/>
          <w:lang w:eastAsia="zh-CN"/>
        </w:rPr>
        <w:t>负责人</w:t>
      </w:r>
      <w:r>
        <w:rPr>
          <w:rFonts w:hint="eastAsia" w:ascii="仿宋_GB2312" w:hAnsi="宋体" w:eastAsia="仿宋_GB2312" w:cs="宋体"/>
          <w:color w:val="000000"/>
          <w:spacing w:val="0"/>
          <w:kern w:val="0"/>
          <w:sz w:val="32"/>
          <w:szCs w:val="32"/>
        </w:rPr>
        <w:t>，认真开展了202</w:t>
      </w:r>
      <w:r>
        <w:rPr>
          <w:rFonts w:hint="eastAsia" w:ascii="仿宋_GB2312" w:hAnsi="宋体" w:eastAsia="仿宋_GB2312" w:cs="宋体"/>
          <w:color w:val="000000"/>
          <w:spacing w:val="0"/>
          <w:kern w:val="0"/>
          <w:sz w:val="32"/>
          <w:szCs w:val="32"/>
          <w:lang w:val="en-US" w:eastAsia="zh-CN"/>
        </w:rPr>
        <w:t>1</w:t>
      </w:r>
      <w:r>
        <w:rPr>
          <w:rFonts w:hint="eastAsia" w:ascii="仿宋_GB2312" w:hAnsi="宋体" w:eastAsia="仿宋_GB2312" w:cs="宋体"/>
          <w:color w:val="000000"/>
          <w:spacing w:val="0"/>
          <w:kern w:val="0"/>
          <w:sz w:val="32"/>
          <w:szCs w:val="32"/>
        </w:rPr>
        <w:t>年度部门财政预算资金及省级项目资金的绩效自评工作。现将自评工作开展及自评情况报告如下</w:t>
      </w:r>
      <w:r>
        <w:rPr>
          <w:rFonts w:hint="eastAsia" w:ascii="仿宋_GB2312" w:hAnsi="宋体" w:eastAsia="仿宋_GB2312" w:cs="宋体"/>
          <w:color w:val="000000"/>
          <w:spacing w:val="0"/>
          <w:kern w:val="0"/>
          <w:sz w:val="32"/>
          <w:szCs w:val="32"/>
          <w:lang w:val="en-US" w:eastAsia="zh-CN"/>
        </w:rPr>
        <w:t>:</w:t>
      </w:r>
    </w:p>
    <w:p>
      <w:pPr>
        <w:ind w:firstLine="640" w:firstLineChars="200"/>
        <w:rPr>
          <w:rFonts w:hint="eastAsia" w:ascii="黑体" w:hAnsi="黑体" w:eastAsia="黑体" w:cs="Times New Roman"/>
          <w:spacing w:val="0"/>
          <w:sz w:val="32"/>
          <w:szCs w:val="32"/>
          <w:lang w:val="en-US" w:eastAsia="zh-CN"/>
        </w:rPr>
      </w:pPr>
      <w:r>
        <w:rPr>
          <w:rFonts w:hint="eastAsia" w:ascii="黑体" w:hAnsi="黑体" w:eastAsia="黑体" w:cs="Times New Roman"/>
          <w:spacing w:val="0"/>
          <w:sz w:val="32"/>
          <w:szCs w:val="32"/>
          <w:lang w:val="en-US" w:eastAsia="zh-CN"/>
        </w:rPr>
        <w:t>一、学院基本情况</w:t>
      </w:r>
    </w:p>
    <w:p>
      <w:pPr>
        <w:ind w:firstLine="640" w:firstLineChars="200"/>
        <w:rPr>
          <w:rFonts w:hint="eastAsia" w:ascii="仿宋_GB2312" w:hAnsi="宋体" w:eastAsia="仿宋_GB2312" w:cs="宋体"/>
          <w:color w:val="000000"/>
          <w:spacing w:val="0"/>
          <w:kern w:val="0"/>
          <w:sz w:val="32"/>
          <w:szCs w:val="32"/>
          <w:lang w:eastAsia="zh-CN"/>
        </w:rPr>
      </w:pPr>
      <w:r>
        <w:rPr>
          <w:rFonts w:hint="eastAsia" w:ascii="仿宋_GB2312" w:hAnsi="宋体" w:eastAsia="仿宋_GB2312" w:cs="宋体"/>
          <w:color w:val="000000"/>
          <w:spacing w:val="0"/>
          <w:kern w:val="0"/>
          <w:sz w:val="32"/>
          <w:szCs w:val="32"/>
          <w:lang w:eastAsia="zh-CN"/>
        </w:rPr>
        <w:t>学院是为社会培养高素质技能型环保人才的高等职业院校，是生态环境部与湖南省人民政府共建的高职院校，以全日制高职专科学历教育为主，兼顾非全日制学历教育和非学历教育。学院发挥专业特色和人才培养优势，充分利用国家级专业技术人员继续教育基地、环保部“全国环保干部培训基地”平台，为生态环境保护主管部门、企事业单位提供行业培训与继续教育，提升在职人员素质，服务地方和区域经济社会的发展。</w:t>
      </w:r>
    </w:p>
    <w:p>
      <w:pPr>
        <w:ind w:firstLine="640" w:firstLineChars="200"/>
        <w:rPr>
          <w:rFonts w:hint="eastAsia" w:ascii="仿宋_GB2312" w:hAnsi="宋体" w:eastAsia="仿宋_GB2312" w:cs="宋体"/>
          <w:color w:val="000000"/>
          <w:spacing w:val="0"/>
          <w:kern w:val="0"/>
          <w:sz w:val="32"/>
          <w:szCs w:val="32"/>
        </w:rPr>
      </w:pPr>
      <w:r>
        <w:rPr>
          <w:rFonts w:hint="eastAsia" w:ascii="仿宋_GB2312" w:hAnsi="宋体" w:eastAsia="仿宋_GB2312" w:cs="宋体"/>
          <w:color w:val="000000"/>
          <w:spacing w:val="0"/>
          <w:kern w:val="0"/>
          <w:sz w:val="32"/>
          <w:szCs w:val="32"/>
          <w:lang w:eastAsia="zh-CN"/>
        </w:rPr>
        <w:t>学院</w:t>
      </w:r>
      <w:r>
        <w:rPr>
          <w:rFonts w:hint="eastAsia" w:ascii="仿宋_GB2312" w:hAnsi="宋体" w:eastAsia="仿宋_GB2312" w:cs="宋体"/>
          <w:color w:val="000000"/>
          <w:spacing w:val="0"/>
          <w:kern w:val="0"/>
          <w:sz w:val="32"/>
          <w:szCs w:val="32"/>
        </w:rPr>
        <w:t>纳入省财政厅预决算管理</w:t>
      </w:r>
      <w:r>
        <w:rPr>
          <w:rFonts w:hint="eastAsia" w:ascii="仿宋_GB2312" w:hAnsi="宋体" w:eastAsia="仿宋_GB2312" w:cs="宋体"/>
          <w:color w:val="000000"/>
          <w:spacing w:val="0"/>
          <w:kern w:val="0"/>
          <w:sz w:val="32"/>
          <w:szCs w:val="32"/>
          <w:lang w:eastAsia="zh-CN"/>
        </w:rPr>
        <w:t>，</w:t>
      </w:r>
      <w:r>
        <w:rPr>
          <w:rFonts w:hint="eastAsia" w:ascii="仿宋_GB2312" w:hAnsi="宋体" w:eastAsia="仿宋_GB2312" w:cs="宋体"/>
          <w:color w:val="000000"/>
          <w:spacing w:val="0"/>
          <w:kern w:val="0"/>
          <w:sz w:val="32"/>
          <w:szCs w:val="32"/>
        </w:rPr>
        <w:t>副</w:t>
      </w:r>
      <w:r>
        <w:rPr>
          <w:rFonts w:hint="eastAsia" w:ascii="仿宋_GB2312" w:hAnsi="宋体" w:eastAsia="仿宋_GB2312" w:cs="宋体"/>
          <w:color w:val="000000"/>
          <w:spacing w:val="0"/>
          <w:kern w:val="0"/>
          <w:sz w:val="32"/>
          <w:szCs w:val="32"/>
          <w:lang w:eastAsia="zh-CN"/>
        </w:rPr>
        <w:t>厅级</w:t>
      </w:r>
      <w:r>
        <w:rPr>
          <w:rFonts w:hint="eastAsia" w:ascii="仿宋_GB2312" w:hAnsi="宋体" w:eastAsia="仿宋_GB2312" w:cs="宋体"/>
          <w:color w:val="000000"/>
          <w:spacing w:val="0"/>
          <w:kern w:val="0"/>
          <w:sz w:val="32"/>
          <w:szCs w:val="32"/>
        </w:rPr>
        <w:t>公益二类</w:t>
      </w:r>
      <w:r>
        <w:rPr>
          <w:rFonts w:hint="eastAsia" w:ascii="仿宋_GB2312" w:hAnsi="宋体" w:eastAsia="仿宋_GB2312" w:cs="宋体"/>
          <w:color w:val="000000"/>
          <w:spacing w:val="0"/>
          <w:kern w:val="0"/>
          <w:sz w:val="32"/>
          <w:szCs w:val="32"/>
          <w:lang w:eastAsia="zh-CN"/>
        </w:rPr>
        <w:t>全额</w:t>
      </w:r>
      <w:r>
        <w:rPr>
          <w:rFonts w:hint="eastAsia" w:ascii="仿宋_GB2312" w:hAnsi="宋体" w:eastAsia="仿宋_GB2312" w:cs="宋体"/>
          <w:color w:val="000000"/>
          <w:spacing w:val="0"/>
          <w:kern w:val="0"/>
          <w:sz w:val="32"/>
          <w:szCs w:val="32"/>
        </w:rPr>
        <w:t>拨款事业单位</w:t>
      </w:r>
      <w:r>
        <w:rPr>
          <w:rFonts w:hint="eastAsia" w:ascii="仿宋_GB2312" w:hAnsi="宋体" w:eastAsia="仿宋_GB2312" w:cs="宋体"/>
          <w:color w:val="000000"/>
          <w:spacing w:val="0"/>
          <w:kern w:val="0"/>
          <w:sz w:val="32"/>
          <w:szCs w:val="32"/>
          <w:lang w:eastAsia="zh-CN"/>
        </w:rPr>
        <w:t>，内设</w:t>
      </w:r>
      <w:r>
        <w:rPr>
          <w:rFonts w:hint="eastAsia" w:ascii="仿宋_GB2312" w:hAnsi="宋体" w:eastAsia="仿宋_GB2312" w:cs="宋体"/>
          <w:color w:val="000000"/>
          <w:spacing w:val="0"/>
          <w:kern w:val="0"/>
          <w:sz w:val="32"/>
          <w:szCs w:val="32"/>
          <w:lang w:val="en-US" w:eastAsia="zh-CN"/>
        </w:rPr>
        <w:t>40个机构，其中党政机构15个，党群机构11个，教辅机构6个，教学系部8个。</w:t>
      </w:r>
      <w:r>
        <w:rPr>
          <w:rFonts w:hint="eastAsia" w:ascii="仿宋_GB2312" w:hAnsi="宋体" w:eastAsia="仿宋_GB2312" w:cs="宋体"/>
          <w:color w:val="000000"/>
          <w:spacing w:val="0"/>
          <w:kern w:val="0"/>
          <w:sz w:val="32"/>
          <w:szCs w:val="32"/>
        </w:rPr>
        <w:t>省编委核定</w:t>
      </w:r>
      <w:r>
        <w:rPr>
          <w:rFonts w:hint="eastAsia" w:ascii="仿宋_GB2312" w:hAnsi="宋体" w:eastAsia="仿宋_GB2312" w:cs="宋体"/>
          <w:color w:val="000000"/>
          <w:spacing w:val="0"/>
          <w:kern w:val="0"/>
          <w:sz w:val="32"/>
          <w:szCs w:val="32"/>
          <w:lang w:eastAsia="zh-CN"/>
        </w:rPr>
        <w:t>学院</w:t>
      </w:r>
      <w:r>
        <w:rPr>
          <w:rFonts w:hint="eastAsia" w:ascii="仿宋_GB2312" w:hAnsi="宋体" w:eastAsia="仿宋_GB2312" w:cs="宋体"/>
          <w:color w:val="000000"/>
          <w:spacing w:val="0"/>
          <w:kern w:val="0"/>
          <w:sz w:val="32"/>
          <w:szCs w:val="32"/>
        </w:rPr>
        <w:t>编制人数662人。至20</w:t>
      </w:r>
      <w:r>
        <w:rPr>
          <w:rFonts w:hint="eastAsia" w:ascii="仿宋_GB2312" w:hAnsi="宋体" w:eastAsia="仿宋_GB2312" w:cs="宋体"/>
          <w:color w:val="000000"/>
          <w:spacing w:val="0"/>
          <w:kern w:val="0"/>
          <w:sz w:val="32"/>
          <w:szCs w:val="32"/>
          <w:lang w:val="en-US" w:eastAsia="zh-CN"/>
        </w:rPr>
        <w:t>21</w:t>
      </w:r>
      <w:r>
        <w:rPr>
          <w:rFonts w:hint="eastAsia" w:ascii="仿宋_GB2312" w:hAnsi="宋体" w:eastAsia="仿宋_GB2312" w:cs="宋体"/>
          <w:color w:val="000000"/>
          <w:spacing w:val="0"/>
          <w:kern w:val="0"/>
          <w:sz w:val="32"/>
          <w:szCs w:val="32"/>
        </w:rPr>
        <w:t>年年末，学院在编人员</w:t>
      </w:r>
      <w:r>
        <w:rPr>
          <w:rFonts w:hint="eastAsia" w:ascii="仿宋_GB2312" w:hAnsi="宋体" w:eastAsia="仿宋_GB2312" w:cs="宋体"/>
          <w:color w:val="000000"/>
          <w:spacing w:val="0"/>
          <w:kern w:val="0"/>
          <w:sz w:val="32"/>
          <w:szCs w:val="32"/>
          <w:lang w:val="en-US" w:eastAsia="zh-CN"/>
        </w:rPr>
        <w:t>573</w:t>
      </w:r>
      <w:r>
        <w:rPr>
          <w:rFonts w:hint="eastAsia" w:ascii="仿宋_GB2312" w:hAnsi="宋体" w:eastAsia="仿宋_GB2312" w:cs="宋体"/>
          <w:color w:val="000000"/>
          <w:spacing w:val="0"/>
          <w:kern w:val="0"/>
          <w:sz w:val="32"/>
          <w:szCs w:val="32"/>
        </w:rPr>
        <w:t>人、非在编人员</w:t>
      </w:r>
      <w:r>
        <w:rPr>
          <w:rFonts w:hint="eastAsia" w:ascii="仿宋_GB2312" w:hAnsi="宋体" w:eastAsia="仿宋_GB2312" w:cs="宋体"/>
          <w:color w:val="000000"/>
          <w:spacing w:val="0"/>
          <w:kern w:val="0"/>
          <w:sz w:val="32"/>
          <w:szCs w:val="32"/>
          <w:lang w:val="en-US" w:eastAsia="zh-CN"/>
        </w:rPr>
        <w:t>66</w:t>
      </w:r>
      <w:r>
        <w:rPr>
          <w:rFonts w:hint="eastAsia" w:ascii="仿宋_GB2312" w:hAnsi="宋体" w:eastAsia="仿宋_GB2312" w:cs="宋体"/>
          <w:color w:val="000000"/>
          <w:spacing w:val="0"/>
          <w:kern w:val="0"/>
          <w:sz w:val="32"/>
          <w:szCs w:val="32"/>
        </w:rPr>
        <w:t>人、退休</w:t>
      </w:r>
      <w:r>
        <w:rPr>
          <w:rFonts w:hint="eastAsia" w:ascii="仿宋_GB2312" w:hAnsi="宋体" w:eastAsia="仿宋_GB2312" w:cs="宋体"/>
          <w:color w:val="000000"/>
          <w:spacing w:val="0"/>
          <w:kern w:val="0"/>
          <w:sz w:val="32"/>
          <w:szCs w:val="32"/>
          <w:lang w:val="en-US" w:eastAsia="zh-CN"/>
        </w:rPr>
        <w:t>120</w:t>
      </w:r>
      <w:r>
        <w:rPr>
          <w:rFonts w:hint="eastAsia" w:ascii="仿宋_GB2312" w:hAnsi="宋体" w:eastAsia="仿宋_GB2312" w:cs="宋体"/>
          <w:color w:val="000000"/>
          <w:spacing w:val="0"/>
          <w:kern w:val="0"/>
          <w:sz w:val="32"/>
          <w:szCs w:val="32"/>
        </w:rPr>
        <w:t>人、在校学生</w:t>
      </w:r>
      <w:r>
        <w:rPr>
          <w:rFonts w:hint="eastAsia" w:ascii="仿宋_GB2312" w:hAnsi="宋体" w:eastAsia="仿宋_GB2312" w:cs="宋体"/>
          <w:color w:val="000000"/>
          <w:spacing w:val="0"/>
          <w:kern w:val="0"/>
          <w:sz w:val="32"/>
          <w:szCs w:val="32"/>
          <w:lang w:val="en-US" w:eastAsia="zh-CN"/>
        </w:rPr>
        <w:t>10305</w:t>
      </w:r>
      <w:r>
        <w:rPr>
          <w:rFonts w:hint="eastAsia" w:ascii="仿宋_GB2312" w:hAnsi="宋体" w:eastAsia="仿宋_GB2312" w:cs="宋体"/>
          <w:color w:val="000000"/>
          <w:spacing w:val="0"/>
          <w:kern w:val="0"/>
          <w:sz w:val="32"/>
          <w:szCs w:val="32"/>
        </w:rPr>
        <w:t>人。</w:t>
      </w:r>
    </w:p>
    <w:p>
      <w:pPr>
        <w:ind w:firstLine="640" w:firstLineChars="200"/>
        <w:rPr>
          <w:rFonts w:hint="eastAsia" w:ascii="黑体" w:hAnsi="黑体" w:eastAsia="黑体" w:cs="Times New Roman"/>
          <w:spacing w:val="0"/>
          <w:sz w:val="32"/>
          <w:szCs w:val="32"/>
          <w:lang w:val="en-US" w:eastAsia="zh-CN"/>
        </w:rPr>
      </w:pPr>
      <w:r>
        <w:rPr>
          <w:rFonts w:hint="eastAsia" w:ascii="黑体" w:hAnsi="黑体" w:eastAsia="黑体" w:cs="Times New Roman"/>
          <w:spacing w:val="0"/>
          <w:sz w:val="32"/>
          <w:szCs w:val="32"/>
          <w:lang w:val="en-US" w:eastAsia="zh-CN"/>
        </w:rPr>
        <w:t>二、学院整体收入支出情况</w:t>
      </w:r>
    </w:p>
    <w:p>
      <w:pPr>
        <w:ind w:firstLine="643" w:firstLineChars="200"/>
        <w:rPr>
          <w:rFonts w:hint="eastAsia" w:ascii="仿宋_GB2312" w:hAnsi="微软雅黑" w:eastAsia="仿宋_GB2312" w:cs="Times New Roman"/>
          <w:b/>
          <w:spacing w:val="0"/>
          <w:sz w:val="32"/>
          <w:szCs w:val="32"/>
          <w:lang w:val="en-US" w:eastAsia="zh-CN"/>
        </w:rPr>
      </w:pPr>
      <w:r>
        <w:rPr>
          <w:rFonts w:hint="eastAsia" w:ascii="仿宋_GB2312" w:hAnsi="微软雅黑" w:eastAsia="仿宋_GB2312" w:cs="Times New Roman"/>
          <w:b/>
          <w:spacing w:val="0"/>
          <w:sz w:val="32"/>
          <w:szCs w:val="32"/>
          <w:lang w:val="en-US" w:eastAsia="zh-CN"/>
        </w:rPr>
        <w:t>（一）收入支出预决算安排情况</w:t>
      </w:r>
    </w:p>
    <w:p>
      <w:pPr>
        <w:ind w:firstLine="640" w:firstLineChars="200"/>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2021年学院预算收入15380万元，预算支出15380万元，决算收入21684.13万元、决算支出20108.25万元。具体收入支出结构明细如下：</w:t>
      </w:r>
    </w:p>
    <w:p>
      <w:pPr>
        <w:pStyle w:val="2"/>
        <w:ind w:firstLine="7680" w:firstLineChars="3200"/>
        <w:jc w:val="left"/>
        <w:rPr>
          <w:rFonts w:hint="eastAsia"/>
          <w:lang w:val="en-US" w:eastAsia="zh-CN"/>
        </w:rPr>
      </w:pPr>
      <w:r>
        <w:rPr>
          <w:rFonts w:hint="default" w:ascii="Times New Roman" w:hAnsi="Times New Roman" w:eastAsia="仿宋_GB2312" w:cs="Times New Roman"/>
          <w:sz w:val="24"/>
          <w:szCs w:val="24"/>
          <w:lang w:bidi="ar"/>
        </w:rPr>
        <w:t>金额单位：万元</w:t>
      </w:r>
    </w:p>
    <w:tbl>
      <w:tblPr>
        <w:tblStyle w:val="10"/>
        <w:tblW w:w="9537" w:type="dxa"/>
        <w:tblInd w:w="0" w:type="dxa"/>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Layout w:type="fixed"/>
        <w:tblCellMar>
          <w:top w:w="0" w:type="dxa"/>
          <w:left w:w="108" w:type="dxa"/>
          <w:bottom w:w="0" w:type="dxa"/>
          <w:right w:w="108" w:type="dxa"/>
        </w:tblCellMar>
      </w:tblPr>
      <w:tblGrid>
        <w:gridCol w:w="3235"/>
        <w:gridCol w:w="1534"/>
        <w:gridCol w:w="1435"/>
        <w:gridCol w:w="1849"/>
        <w:gridCol w:w="1484"/>
      </w:tblGrid>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748" w:hRule="atLeast"/>
        </w:trPr>
        <w:tc>
          <w:tcPr>
            <w:tcW w:w="32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center"/>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指标</w:t>
            </w:r>
          </w:p>
        </w:tc>
        <w:tc>
          <w:tcPr>
            <w:tcW w:w="1534"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预算数</w:t>
            </w:r>
          </w:p>
        </w:tc>
        <w:tc>
          <w:tcPr>
            <w:tcW w:w="143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比重（</w:t>
            </w:r>
            <w:r>
              <w:rPr>
                <w:rFonts w:hint="default" w:ascii="Times New Roman" w:hAnsi="Times New Roman" w:eastAsia="仿宋_GB2312" w:cs="Times New Roman"/>
                <w:color w:val="000000"/>
                <w:spacing w:val="0"/>
                <w:kern w:val="0"/>
                <w:sz w:val="21"/>
                <w:szCs w:val="21"/>
                <w:lang w:val="en-US" w:eastAsia="zh-CN"/>
              </w:rPr>
              <w:t>%</w:t>
            </w:r>
            <w:r>
              <w:rPr>
                <w:rFonts w:hint="default" w:ascii="Times New Roman" w:hAnsi="Times New Roman" w:eastAsia="仿宋_GB2312" w:cs="Times New Roman"/>
                <w:color w:val="000000"/>
                <w:spacing w:val="0"/>
                <w:kern w:val="0"/>
                <w:sz w:val="21"/>
                <w:szCs w:val="21"/>
                <w:lang w:eastAsia="zh-CN"/>
              </w:rPr>
              <w:t>）</w:t>
            </w:r>
          </w:p>
        </w:tc>
        <w:tc>
          <w:tcPr>
            <w:tcW w:w="1849"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仿宋_GB2312" w:cs="Times New Roman"/>
                <w:color w:val="000000"/>
                <w:spacing w:val="0"/>
                <w:kern w:val="0"/>
                <w:sz w:val="21"/>
                <w:szCs w:val="21"/>
                <w:lang w:val="en-US" w:eastAsia="zh-CN" w:bidi="ar-SA"/>
              </w:rPr>
            </w:pPr>
            <w:r>
              <w:rPr>
                <w:rFonts w:hint="default" w:ascii="Times New Roman" w:hAnsi="Times New Roman" w:eastAsia="仿宋_GB2312" w:cs="Times New Roman"/>
                <w:color w:val="000000"/>
                <w:spacing w:val="0"/>
                <w:kern w:val="0"/>
                <w:sz w:val="21"/>
                <w:szCs w:val="21"/>
                <w:lang w:val="en-US" w:eastAsia="zh-CN" w:bidi="ar-SA"/>
              </w:rPr>
              <w:t>决算数</w:t>
            </w:r>
          </w:p>
        </w:tc>
        <w:tc>
          <w:tcPr>
            <w:tcW w:w="1484" w:type="dxa"/>
            <w:tcBorders>
              <w:tl2br w:val="nil"/>
              <w:tr2bl w:val="nil"/>
            </w:tcBorders>
            <w:noWrap w:val="0"/>
            <w:vAlign w:val="center"/>
          </w:tcPr>
          <w:p>
            <w:pPr>
              <w:keepNext w:val="0"/>
              <w:keepLines w:val="0"/>
              <w:suppressLineNumbers w:val="0"/>
              <w:spacing w:before="0" w:beforeAutospacing="0" w:after="0" w:afterAutospacing="0"/>
              <w:ind w:left="0" w:right="0" w:firstLine="210" w:firstLineChars="100"/>
              <w:jc w:val="both"/>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比重（</w:t>
            </w:r>
            <w:r>
              <w:rPr>
                <w:rFonts w:hint="default" w:ascii="Times New Roman" w:hAnsi="Times New Roman" w:eastAsia="仿宋_GB2312" w:cs="Times New Roman"/>
                <w:color w:val="000000"/>
                <w:spacing w:val="0"/>
                <w:kern w:val="0"/>
                <w:sz w:val="21"/>
                <w:szCs w:val="21"/>
                <w:lang w:val="en-US" w:eastAsia="zh-CN"/>
              </w:rPr>
              <w:t>%</w:t>
            </w:r>
            <w:r>
              <w:rPr>
                <w:rFonts w:hint="default" w:ascii="Times New Roman" w:hAnsi="Times New Roman" w:eastAsia="仿宋_GB2312" w:cs="Times New Roman"/>
                <w:color w:val="000000"/>
                <w:spacing w:val="0"/>
                <w:kern w:val="0"/>
                <w:sz w:val="21"/>
                <w:szCs w:val="21"/>
                <w:lang w:eastAsia="zh-CN"/>
              </w:rPr>
              <w:t>）</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85" w:hRule="atLeast"/>
        </w:trPr>
        <w:tc>
          <w:tcPr>
            <w:tcW w:w="32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一、本年收入</w:t>
            </w:r>
          </w:p>
        </w:tc>
        <w:tc>
          <w:tcPr>
            <w:tcW w:w="153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15380</w:t>
            </w:r>
          </w:p>
        </w:tc>
        <w:tc>
          <w:tcPr>
            <w:tcW w:w="14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p>
        </w:tc>
        <w:tc>
          <w:tcPr>
            <w:tcW w:w="1849"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bidi="ar-SA"/>
              </w:rPr>
            </w:pPr>
            <w:r>
              <w:rPr>
                <w:rFonts w:hint="default" w:ascii="Times New Roman" w:hAnsi="Times New Roman" w:eastAsia="仿宋_GB2312" w:cs="Times New Roman"/>
                <w:color w:val="000000"/>
                <w:spacing w:val="0"/>
                <w:kern w:val="0"/>
                <w:sz w:val="21"/>
                <w:szCs w:val="21"/>
                <w:lang w:val="en-US" w:eastAsia="zh-CN"/>
              </w:rPr>
              <w:t>21684.13</w:t>
            </w:r>
          </w:p>
        </w:tc>
        <w:tc>
          <w:tcPr>
            <w:tcW w:w="148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rPr>
            </w:pP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85" w:hRule="atLeast"/>
        </w:trPr>
        <w:tc>
          <w:tcPr>
            <w:tcW w:w="3235" w:type="dxa"/>
            <w:tcBorders>
              <w:tl2br w:val="nil"/>
              <w:tr2bl w:val="nil"/>
            </w:tcBorders>
            <w:noWrap w:val="0"/>
            <w:vAlign w:val="center"/>
          </w:tcPr>
          <w:p>
            <w:pPr>
              <w:keepNext w:val="0"/>
              <w:keepLines w:val="0"/>
              <w:suppressLineNumbers w:val="0"/>
              <w:spacing w:before="0" w:beforeAutospacing="0" w:after="0" w:afterAutospacing="0"/>
              <w:ind w:left="0" w:right="0"/>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1、一般公共预算财政拨款</w:t>
            </w:r>
          </w:p>
        </w:tc>
        <w:tc>
          <w:tcPr>
            <w:tcW w:w="1534" w:type="dxa"/>
            <w:tcBorders>
              <w:tl2br w:val="nil"/>
              <w:tr2bl w:val="nil"/>
            </w:tcBorders>
            <w:noWrap w:val="0"/>
            <w:vAlign w:val="center"/>
          </w:tcPr>
          <w:p>
            <w:pPr>
              <w:keepNext w:val="0"/>
              <w:keepLines w:val="0"/>
              <w:suppressLineNumbers w:val="0"/>
              <w:spacing w:before="0" w:beforeAutospacing="0" w:after="0" w:afterAutospacing="0"/>
              <w:ind w:left="0" w:right="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8644.27</w:t>
            </w:r>
          </w:p>
        </w:tc>
        <w:tc>
          <w:tcPr>
            <w:tcW w:w="14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56.20</w:t>
            </w:r>
          </w:p>
        </w:tc>
        <w:tc>
          <w:tcPr>
            <w:tcW w:w="1849"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bidi="ar-SA"/>
              </w:rPr>
            </w:pPr>
            <w:r>
              <w:rPr>
                <w:rFonts w:hint="default" w:ascii="Times New Roman" w:hAnsi="Times New Roman" w:eastAsia="仿宋_GB2312" w:cs="Times New Roman"/>
                <w:color w:val="000000"/>
                <w:spacing w:val="0"/>
                <w:kern w:val="0"/>
                <w:sz w:val="21"/>
                <w:szCs w:val="21"/>
                <w:lang w:val="en-US" w:eastAsia="zh-CN"/>
              </w:rPr>
              <w:t>14227.13</w:t>
            </w:r>
          </w:p>
        </w:tc>
        <w:tc>
          <w:tcPr>
            <w:tcW w:w="148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65.61</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85" w:hRule="atLeast"/>
        </w:trPr>
        <w:tc>
          <w:tcPr>
            <w:tcW w:w="32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2、事业收入</w:t>
            </w:r>
          </w:p>
        </w:tc>
        <w:tc>
          <w:tcPr>
            <w:tcW w:w="153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6230</w:t>
            </w:r>
          </w:p>
        </w:tc>
        <w:tc>
          <w:tcPr>
            <w:tcW w:w="14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40.51</w:t>
            </w:r>
          </w:p>
        </w:tc>
        <w:tc>
          <w:tcPr>
            <w:tcW w:w="1849"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bidi="ar-SA"/>
              </w:rPr>
            </w:pPr>
            <w:r>
              <w:rPr>
                <w:rFonts w:hint="default" w:ascii="Times New Roman" w:hAnsi="Times New Roman" w:eastAsia="仿宋_GB2312" w:cs="Times New Roman"/>
                <w:color w:val="000000"/>
                <w:spacing w:val="0"/>
                <w:kern w:val="0"/>
                <w:sz w:val="21"/>
                <w:szCs w:val="21"/>
                <w:lang w:val="en-US" w:eastAsia="zh-CN"/>
              </w:rPr>
              <w:t>6295.27</w:t>
            </w:r>
          </w:p>
        </w:tc>
        <w:tc>
          <w:tcPr>
            <w:tcW w:w="148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29.03</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85" w:hRule="atLeast"/>
        </w:trPr>
        <w:tc>
          <w:tcPr>
            <w:tcW w:w="32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3、经营收入</w:t>
            </w:r>
          </w:p>
        </w:tc>
        <w:tc>
          <w:tcPr>
            <w:tcW w:w="153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505.73</w:t>
            </w:r>
          </w:p>
        </w:tc>
        <w:tc>
          <w:tcPr>
            <w:tcW w:w="14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3.29</w:t>
            </w:r>
          </w:p>
        </w:tc>
        <w:tc>
          <w:tcPr>
            <w:tcW w:w="1849"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bidi="ar-SA"/>
              </w:rPr>
            </w:pPr>
            <w:r>
              <w:rPr>
                <w:rFonts w:hint="default" w:ascii="Times New Roman" w:hAnsi="Times New Roman" w:eastAsia="仿宋_GB2312" w:cs="Times New Roman"/>
                <w:color w:val="000000"/>
                <w:spacing w:val="0"/>
                <w:kern w:val="0"/>
                <w:sz w:val="21"/>
                <w:szCs w:val="21"/>
                <w:lang w:val="en-US" w:eastAsia="zh-CN"/>
              </w:rPr>
              <w:t>1036.77</w:t>
            </w:r>
          </w:p>
        </w:tc>
        <w:tc>
          <w:tcPr>
            <w:tcW w:w="148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4.78</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85" w:hRule="atLeast"/>
        </w:trPr>
        <w:tc>
          <w:tcPr>
            <w:tcW w:w="32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4、其他收入</w:t>
            </w:r>
          </w:p>
        </w:tc>
        <w:tc>
          <w:tcPr>
            <w:tcW w:w="153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rPr>
            </w:pPr>
          </w:p>
        </w:tc>
        <w:tc>
          <w:tcPr>
            <w:tcW w:w="14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p>
        </w:tc>
        <w:tc>
          <w:tcPr>
            <w:tcW w:w="1849"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bidi="ar-SA"/>
              </w:rPr>
            </w:pPr>
            <w:r>
              <w:rPr>
                <w:rFonts w:hint="default" w:ascii="Times New Roman" w:hAnsi="Times New Roman" w:eastAsia="仿宋_GB2312" w:cs="Times New Roman"/>
                <w:color w:val="000000"/>
                <w:spacing w:val="0"/>
                <w:kern w:val="0"/>
                <w:sz w:val="21"/>
                <w:szCs w:val="21"/>
                <w:lang w:val="en-US" w:eastAsia="zh-CN"/>
              </w:rPr>
              <w:t>124.96</w:t>
            </w:r>
          </w:p>
        </w:tc>
        <w:tc>
          <w:tcPr>
            <w:tcW w:w="148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0.58</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85" w:hRule="atLeast"/>
        </w:trPr>
        <w:tc>
          <w:tcPr>
            <w:tcW w:w="32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二、本年支出</w:t>
            </w:r>
          </w:p>
        </w:tc>
        <w:tc>
          <w:tcPr>
            <w:tcW w:w="153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15380</w:t>
            </w:r>
          </w:p>
        </w:tc>
        <w:tc>
          <w:tcPr>
            <w:tcW w:w="14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p>
        </w:tc>
        <w:tc>
          <w:tcPr>
            <w:tcW w:w="1849"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bidi="ar-SA"/>
              </w:rPr>
            </w:pPr>
            <w:r>
              <w:rPr>
                <w:rFonts w:hint="default" w:ascii="Times New Roman" w:hAnsi="Times New Roman" w:eastAsia="仿宋_GB2312" w:cs="Times New Roman"/>
                <w:color w:val="000000"/>
                <w:spacing w:val="0"/>
                <w:kern w:val="0"/>
                <w:sz w:val="21"/>
                <w:szCs w:val="21"/>
                <w:lang w:val="en-US" w:eastAsia="zh-CN"/>
              </w:rPr>
              <w:t>20108.25</w:t>
            </w:r>
          </w:p>
        </w:tc>
        <w:tc>
          <w:tcPr>
            <w:tcW w:w="148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rPr>
            </w:pP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85" w:hRule="atLeast"/>
        </w:trPr>
        <w:tc>
          <w:tcPr>
            <w:tcW w:w="32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1、人员经费</w:t>
            </w:r>
          </w:p>
        </w:tc>
        <w:tc>
          <w:tcPr>
            <w:tcW w:w="1534" w:type="dxa"/>
            <w:tcBorders>
              <w:tl2br w:val="nil"/>
              <w:tr2bl w:val="nil"/>
            </w:tcBorders>
            <w:noWrap w:val="0"/>
            <w:vAlign w:val="center"/>
          </w:tcPr>
          <w:p>
            <w:pPr>
              <w:keepNext w:val="0"/>
              <w:keepLines w:val="0"/>
              <w:suppressLineNumbers w:val="0"/>
              <w:spacing w:before="0" w:beforeAutospacing="0" w:after="0" w:afterAutospacing="0"/>
              <w:ind w:left="0" w:right="0" w:firstLine="210" w:firstLineChars="1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11320.97</w:t>
            </w:r>
          </w:p>
        </w:tc>
        <w:tc>
          <w:tcPr>
            <w:tcW w:w="14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73.61</w:t>
            </w:r>
          </w:p>
        </w:tc>
        <w:tc>
          <w:tcPr>
            <w:tcW w:w="1849"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bidi="ar-SA"/>
              </w:rPr>
            </w:pPr>
            <w:r>
              <w:rPr>
                <w:rFonts w:hint="default" w:ascii="Times New Roman" w:hAnsi="Times New Roman" w:eastAsia="仿宋_GB2312" w:cs="Times New Roman"/>
                <w:color w:val="000000"/>
                <w:spacing w:val="0"/>
                <w:kern w:val="0"/>
                <w:sz w:val="21"/>
                <w:szCs w:val="21"/>
                <w:lang w:val="en-US" w:eastAsia="zh-CN"/>
              </w:rPr>
              <w:t>11296.79</w:t>
            </w:r>
          </w:p>
        </w:tc>
        <w:tc>
          <w:tcPr>
            <w:tcW w:w="148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56.18</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85" w:hRule="atLeast"/>
        </w:trPr>
        <w:tc>
          <w:tcPr>
            <w:tcW w:w="32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2、日常公用经费</w:t>
            </w:r>
          </w:p>
        </w:tc>
        <w:tc>
          <w:tcPr>
            <w:tcW w:w="153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766.50</w:t>
            </w:r>
          </w:p>
        </w:tc>
        <w:tc>
          <w:tcPr>
            <w:tcW w:w="14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4.98</w:t>
            </w:r>
          </w:p>
        </w:tc>
        <w:tc>
          <w:tcPr>
            <w:tcW w:w="1849"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bidi="ar-SA"/>
              </w:rPr>
            </w:pPr>
            <w:r>
              <w:rPr>
                <w:rFonts w:hint="default" w:ascii="Times New Roman" w:hAnsi="Times New Roman" w:eastAsia="仿宋_GB2312" w:cs="Times New Roman"/>
                <w:color w:val="000000"/>
                <w:spacing w:val="0"/>
                <w:kern w:val="0"/>
                <w:sz w:val="21"/>
                <w:szCs w:val="21"/>
                <w:lang w:val="en-US" w:eastAsia="zh-CN"/>
              </w:rPr>
              <w:t>947.53</w:t>
            </w:r>
          </w:p>
        </w:tc>
        <w:tc>
          <w:tcPr>
            <w:tcW w:w="148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4.71</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85" w:hRule="atLeast"/>
        </w:trPr>
        <w:tc>
          <w:tcPr>
            <w:tcW w:w="32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3、行政事业类项目</w:t>
            </w:r>
          </w:p>
        </w:tc>
        <w:tc>
          <w:tcPr>
            <w:tcW w:w="153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2786.8</w:t>
            </w:r>
          </w:p>
        </w:tc>
        <w:tc>
          <w:tcPr>
            <w:tcW w:w="14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18.12</w:t>
            </w:r>
          </w:p>
        </w:tc>
        <w:tc>
          <w:tcPr>
            <w:tcW w:w="1849"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bidi="ar-SA"/>
              </w:rPr>
            </w:pPr>
            <w:r>
              <w:rPr>
                <w:rFonts w:hint="default" w:ascii="Times New Roman" w:hAnsi="Times New Roman" w:eastAsia="仿宋_GB2312" w:cs="Times New Roman"/>
                <w:color w:val="000000"/>
                <w:spacing w:val="0"/>
                <w:kern w:val="0"/>
                <w:sz w:val="21"/>
                <w:szCs w:val="21"/>
                <w:lang w:val="en-US" w:eastAsia="zh-CN"/>
              </w:rPr>
              <w:t>6950.81</w:t>
            </w:r>
          </w:p>
        </w:tc>
        <w:tc>
          <w:tcPr>
            <w:tcW w:w="148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34.57</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779" w:hRule="atLeast"/>
        </w:trPr>
        <w:tc>
          <w:tcPr>
            <w:tcW w:w="32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4、经营支出</w:t>
            </w:r>
          </w:p>
        </w:tc>
        <w:tc>
          <w:tcPr>
            <w:tcW w:w="153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505.73</w:t>
            </w:r>
          </w:p>
        </w:tc>
        <w:tc>
          <w:tcPr>
            <w:tcW w:w="1435"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3.29</w:t>
            </w:r>
          </w:p>
        </w:tc>
        <w:tc>
          <w:tcPr>
            <w:tcW w:w="1849"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bidi="ar-SA"/>
              </w:rPr>
            </w:pPr>
            <w:r>
              <w:rPr>
                <w:rFonts w:hint="default" w:ascii="Times New Roman" w:hAnsi="Times New Roman" w:eastAsia="仿宋_GB2312" w:cs="Times New Roman"/>
                <w:color w:val="000000"/>
                <w:spacing w:val="0"/>
                <w:kern w:val="0"/>
                <w:sz w:val="21"/>
                <w:szCs w:val="21"/>
                <w:lang w:val="en-US" w:eastAsia="zh-CN"/>
              </w:rPr>
              <w:t>913.12</w:t>
            </w:r>
          </w:p>
        </w:tc>
        <w:tc>
          <w:tcPr>
            <w:tcW w:w="148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right"/>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4.54</w:t>
            </w:r>
          </w:p>
        </w:tc>
      </w:tr>
    </w:tbl>
    <w:p>
      <w:pPr>
        <w:ind w:firstLine="643" w:firstLineChars="200"/>
        <w:rPr>
          <w:rFonts w:hint="eastAsia" w:ascii="仿宋_GB2312" w:hAnsi="微软雅黑" w:eastAsia="仿宋_GB2312" w:cs="Times New Roman"/>
          <w:b/>
          <w:spacing w:val="0"/>
          <w:sz w:val="32"/>
          <w:szCs w:val="32"/>
          <w:lang w:val="en-US" w:eastAsia="zh-CN"/>
        </w:rPr>
      </w:pPr>
      <w:r>
        <w:rPr>
          <w:rFonts w:hint="eastAsia" w:ascii="仿宋_GB2312" w:hAnsi="微软雅黑" w:eastAsia="仿宋_GB2312" w:cs="Times New Roman"/>
          <w:b/>
          <w:spacing w:val="0"/>
          <w:sz w:val="32"/>
          <w:szCs w:val="32"/>
          <w:lang w:val="en-US" w:eastAsia="zh-CN"/>
        </w:rPr>
        <w:t>（二）收入支出决算执行情况</w:t>
      </w:r>
    </w:p>
    <w:p>
      <w:pPr>
        <w:ind w:firstLine="640" w:firstLineChars="200"/>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1.2021年决算收入21684.13万元，较去年20586.48万元增加1097.65万元，增幅5.33%，决算支出20108.25万元，较去年19097.7万元增加1010.55万元，增幅5.29%，各项收入支出决算执行情况明细如下：</w:t>
      </w:r>
    </w:p>
    <w:tbl>
      <w:tblPr>
        <w:tblStyle w:val="10"/>
        <w:tblpPr w:leftFromText="180" w:rightFromText="180" w:vertAnchor="text" w:horzAnchor="page" w:tblpX="1355" w:tblpY="366"/>
        <w:tblOverlap w:val="never"/>
        <w:tblW w:w="9618" w:type="dxa"/>
        <w:jc w:val="center"/>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Layout w:type="fixed"/>
        <w:tblCellMar>
          <w:top w:w="0" w:type="dxa"/>
          <w:left w:w="108" w:type="dxa"/>
          <w:bottom w:w="0" w:type="dxa"/>
          <w:right w:w="108" w:type="dxa"/>
        </w:tblCellMar>
      </w:tblPr>
      <w:tblGrid>
        <w:gridCol w:w="1658"/>
        <w:gridCol w:w="1342"/>
        <w:gridCol w:w="1223"/>
        <w:gridCol w:w="1356"/>
        <w:gridCol w:w="1078"/>
        <w:gridCol w:w="2961"/>
      </w:tblGrid>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813" w:hRule="atLeast"/>
          <w:jc w:val="center"/>
        </w:trPr>
        <w:tc>
          <w:tcPr>
            <w:tcW w:w="1658"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指标</w:t>
            </w:r>
          </w:p>
        </w:tc>
        <w:tc>
          <w:tcPr>
            <w:tcW w:w="134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上</w:t>
            </w:r>
            <w:r>
              <w:rPr>
                <w:rFonts w:hint="default" w:ascii="Times New Roman" w:hAnsi="Times New Roman" w:eastAsia="仿宋_GB2312" w:cs="Times New Roman"/>
                <w:color w:val="000000"/>
                <w:spacing w:val="0"/>
                <w:kern w:val="0"/>
                <w:sz w:val="21"/>
                <w:szCs w:val="21"/>
              </w:rPr>
              <w:t>年</w:t>
            </w:r>
            <w:r>
              <w:rPr>
                <w:rFonts w:hint="default" w:ascii="Times New Roman" w:hAnsi="Times New Roman" w:eastAsia="仿宋_GB2312" w:cs="Times New Roman"/>
                <w:color w:val="000000"/>
                <w:spacing w:val="0"/>
                <w:kern w:val="0"/>
                <w:sz w:val="21"/>
                <w:szCs w:val="21"/>
                <w:lang w:eastAsia="zh-CN"/>
              </w:rPr>
              <w:t>数</w:t>
            </w:r>
          </w:p>
        </w:tc>
        <w:tc>
          <w:tcPr>
            <w:tcW w:w="1223"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本</w:t>
            </w:r>
            <w:r>
              <w:rPr>
                <w:rFonts w:hint="default" w:ascii="Times New Roman" w:hAnsi="Times New Roman" w:eastAsia="仿宋_GB2312" w:cs="Times New Roman"/>
                <w:color w:val="000000"/>
                <w:spacing w:val="0"/>
                <w:kern w:val="0"/>
                <w:sz w:val="21"/>
                <w:szCs w:val="21"/>
              </w:rPr>
              <w:t>年</w:t>
            </w:r>
            <w:r>
              <w:rPr>
                <w:rFonts w:hint="default" w:ascii="Times New Roman" w:hAnsi="Times New Roman" w:eastAsia="仿宋_GB2312" w:cs="Times New Roman"/>
                <w:color w:val="000000"/>
                <w:spacing w:val="0"/>
                <w:kern w:val="0"/>
                <w:sz w:val="21"/>
                <w:szCs w:val="21"/>
                <w:lang w:eastAsia="zh-CN"/>
              </w:rPr>
              <w:t>数</w:t>
            </w:r>
          </w:p>
        </w:tc>
        <w:tc>
          <w:tcPr>
            <w:tcW w:w="135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比上年增减</w:t>
            </w:r>
          </w:p>
        </w:tc>
        <w:tc>
          <w:tcPr>
            <w:tcW w:w="107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增加</w:t>
            </w:r>
            <w:r>
              <w:rPr>
                <w:rFonts w:hint="default" w:ascii="Times New Roman" w:hAnsi="Times New Roman" w:eastAsia="仿宋_GB2312" w:cs="Times New Roman"/>
                <w:color w:val="000000"/>
                <w:spacing w:val="0"/>
                <w:kern w:val="0"/>
                <w:sz w:val="21"/>
                <w:szCs w:val="21"/>
                <w:lang w:eastAsia="zh-CN"/>
              </w:rPr>
              <w:t>（</w:t>
            </w:r>
            <w:r>
              <w:rPr>
                <w:rFonts w:hint="default" w:ascii="Times New Roman" w:hAnsi="Times New Roman" w:eastAsia="仿宋_GB2312" w:cs="Times New Roman"/>
                <w:color w:val="000000"/>
                <w:spacing w:val="0"/>
                <w:kern w:val="0"/>
                <w:sz w:val="21"/>
                <w:szCs w:val="21"/>
              </w:rPr>
              <w:t>%</w:t>
            </w:r>
            <w:r>
              <w:rPr>
                <w:rFonts w:hint="default" w:ascii="Times New Roman" w:hAnsi="Times New Roman" w:eastAsia="仿宋_GB2312" w:cs="Times New Roman"/>
                <w:color w:val="000000"/>
                <w:spacing w:val="0"/>
                <w:kern w:val="0"/>
                <w:sz w:val="21"/>
                <w:szCs w:val="21"/>
                <w:lang w:eastAsia="zh-CN"/>
              </w:rPr>
              <w:t>）</w:t>
            </w:r>
          </w:p>
        </w:tc>
        <w:tc>
          <w:tcPr>
            <w:tcW w:w="296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原因</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853" w:hRule="atLeast"/>
          <w:jc w:val="center"/>
        </w:trPr>
        <w:tc>
          <w:tcPr>
            <w:tcW w:w="1658"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一、本年收入</w:t>
            </w:r>
          </w:p>
        </w:tc>
        <w:tc>
          <w:tcPr>
            <w:tcW w:w="134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20586.48</w:t>
            </w:r>
          </w:p>
        </w:tc>
        <w:tc>
          <w:tcPr>
            <w:tcW w:w="1223"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21684.13</w:t>
            </w:r>
          </w:p>
        </w:tc>
        <w:tc>
          <w:tcPr>
            <w:tcW w:w="135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1097.65</w:t>
            </w:r>
          </w:p>
        </w:tc>
        <w:tc>
          <w:tcPr>
            <w:tcW w:w="107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5.33</w:t>
            </w:r>
          </w:p>
        </w:tc>
        <w:tc>
          <w:tcPr>
            <w:tcW w:w="296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420" w:firstLineChars="200"/>
              <w:jc w:val="both"/>
              <w:textAlignment w:val="auto"/>
              <w:rPr>
                <w:rFonts w:hint="default" w:ascii="Times New Roman" w:hAnsi="Times New Roman" w:eastAsia="仿宋_GB2312" w:cs="Times New Roman"/>
                <w:color w:val="000000"/>
                <w:spacing w:val="0"/>
                <w:kern w:val="0"/>
                <w:sz w:val="21"/>
                <w:szCs w:val="21"/>
              </w:rPr>
            </w:pP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1132" w:hRule="atLeast"/>
          <w:jc w:val="center"/>
        </w:trPr>
        <w:tc>
          <w:tcPr>
            <w:tcW w:w="1658"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1、一般公共预算财政拨款</w:t>
            </w:r>
          </w:p>
        </w:tc>
        <w:tc>
          <w:tcPr>
            <w:tcW w:w="134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12529.62</w:t>
            </w:r>
          </w:p>
        </w:tc>
        <w:tc>
          <w:tcPr>
            <w:tcW w:w="1223"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14227.13</w:t>
            </w:r>
          </w:p>
        </w:tc>
        <w:tc>
          <w:tcPr>
            <w:tcW w:w="135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1697.51</w:t>
            </w:r>
          </w:p>
        </w:tc>
        <w:tc>
          <w:tcPr>
            <w:tcW w:w="107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lang w:val="en-US" w:eastAsia="zh-CN"/>
              </w:rPr>
              <w:t>13.55</w:t>
            </w:r>
          </w:p>
        </w:tc>
        <w:tc>
          <w:tcPr>
            <w:tcW w:w="296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主要增加高校基建补短板资金、基础教育支出、高校基础设施建设资金等基建、维修资金</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774" w:hRule="atLeast"/>
          <w:jc w:val="center"/>
        </w:trPr>
        <w:tc>
          <w:tcPr>
            <w:tcW w:w="1658"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2、事业收入</w:t>
            </w:r>
          </w:p>
        </w:tc>
        <w:tc>
          <w:tcPr>
            <w:tcW w:w="134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6810.87</w:t>
            </w:r>
          </w:p>
        </w:tc>
        <w:tc>
          <w:tcPr>
            <w:tcW w:w="1223"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6295.27</w:t>
            </w:r>
          </w:p>
        </w:tc>
        <w:tc>
          <w:tcPr>
            <w:tcW w:w="135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-515.6</w:t>
            </w:r>
          </w:p>
        </w:tc>
        <w:tc>
          <w:tcPr>
            <w:tcW w:w="107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-7.57</w:t>
            </w:r>
          </w:p>
        </w:tc>
        <w:tc>
          <w:tcPr>
            <w:tcW w:w="296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按学院实际使用确认当年事业收入</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91" w:hRule="atLeast"/>
          <w:jc w:val="center"/>
        </w:trPr>
        <w:tc>
          <w:tcPr>
            <w:tcW w:w="1658"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3、经营收入</w:t>
            </w:r>
          </w:p>
        </w:tc>
        <w:tc>
          <w:tcPr>
            <w:tcW w:w="134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806.77</w:t>
            </w:r>
          </w:p>
        </w:tc>
        <w:tc>
          <w:tcPr>
            <w:tcW w:w="1223"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1036.77</w:t>
            </w:r>
          </w:p>
        </w:tc>
        <w:tc>
          <w:tcPr>
            <w:tcW w:w="135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230</w:t>
            </w:r>
          </w:p>
        </w:tc>
        <w:tc>
          <w:tcPr>
            <w:tcW w:w="107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28.51</w:t>
            </w:r>
          </w:p>
        </w:tc>
        <w:tc>
          <w:tcPr>
            <w:tcW w:w="296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科研项目、培训项目等较上年增加</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1065" w:hRule="atLeast"/>
          <w:jc w:val="center"/>
        </w:trPr>
        <w:tc>
          <w:tcPr>
            <w:tcW w:w="1658"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4、其他收入</w:t>
            </w:r>
          </w:p>
        </w:tc>
        <w:tc>
          <w:tcPr>
            <w:tcW w:w="134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439.22</w:t>
            </w:r>
          </w:p>
        </w:tc>
        <w:tc>
          <w:tcPr>
            <w:tcW w:w="1223"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124.96</w:t>
            </w:r>
          </w:p>
        </w:tc>
        <w:tc>
          <w:tcPr>
            <w:tcW w:w="135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-314.26</w:t>
            </w:r>
          </w:p>
        </w:tc>
        <w:tc>
          <w:tcPr>
            <w:tcW w:w="107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-71.55</w:t>
            </w:r>
          </w:p>
        </w:tc>
        <w:tc>
          <w:tcPr>
            <w:tcW w:w="296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2020年</w:t>
            </w:r>
            <w:r>
              <w:rPr>
                <w:rFonts w:hint="default" w:ascii="Times New Roman" w:hAnsi="Times New Roman" w:eastAsia="仿宋_GB2312" w:cs="Times New Roman"/>
                <w:color w:val="000000"/>
                <w:spacing w:val="0"/>
                <w:kern w:val="0"/>
                <w:sz w:val="21"/>
                <w:szCs w:val="21"/>
                <w:lang w:eastAsia="zh-CN"/>
              </w:rPr>
              <w:t>长期投资的公司上缴投资收益</w:t>
            </w:r>
            <w:r>
              <w:rPr>
                <w:rFonts w:hint="default" w:ascii="Times New Roman" w:hAnsi="Times New Roman" w:eastAsia="仿宋_GB2312" w:cs="Times New Roman"/>
                <w:color w:val="000000"/>
                <w:spacing w:val="0"/>
                <w:kern w:val="0"/>
                <w:sz w:val="21"/>
                <w:szCs w:val="21"/>
                <w:lang w:val="en-US" w:eastAsia="zh-CN"/>
              </w:rPr>
              <w:t>200万元，捐赠收入162万元</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738" w:hRule="atLeast"/>
          <w:jc w:val="center"/>
        </w:trPr>
        <w:tc>
          <w:tcPr>
            <w:tcW w:w="1658"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二、本年支出</w:t>
            </w:r>
          </w:p>
        </w:tc>
        <w:tc>
          <w:tcPr>
            <w:tcW w:w="134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19097.70</w:t>
            </w:r>
          </w:p>
        </w:tc>
        <w:tc>
          <w:tcPr>
            <w:tcW w:w="1223"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20108.25</w:t>
            </w:r>
          </w:p>
        </w:tc>
        <w:tc>
          <w:tcPr>
            <w:tcW w:w="135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1010.55</w:t>
            </w:r>
          </w:p>
        </w:tc>
        <w:tc>
          <w:tcPr>
            <w:tcW w:w="107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5.29</w:t>
            </w:r>
          </w:p>
        </w:tc>
        <w:tc>
          <w:tcPr>
            <w:tcW w:w="296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420" w:firstLineChars="200"/>
              <w:jc w:val="both"/>
              <w:textAlignment w:val="auto"/>
              <w:rPr>
                <w:rFonts w:hint="default" w:ascii="Times New Roman" w:hAnsi="Times New Roman" w:eastAsia="仿宋_GB2312" w:cs="Times New Roman"/>
                <w:color w:val="000000"/>
                <w:spacing w:val="0"/>
                <w:kern w:val="0"/>
                <w:sz w:val="21"/>
                <w:szCs w:val="21"/>
              </w:rPr>
            </w:pP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741" w:hRule="atLeast"/>
          <w:jc w:val="center"/>
        </w:trPr>
        <w:tc>
          <w:tcPr>
            <w:tcW w:w="1658"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1、人员经费</w:t>
            </w:r>
          </w:p>
        </w:tc>
        <w:tc>
          <w:tcPr>
            <w:tcW w:w="134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10738.70</w:t>
            </w:r>
          </w:p>
        </w:tc>
        <w:tc>
          <w:tcPr>
            <w:tcW w:w="1223"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11296.79</w:t>
            </w:r>
          </w:p>
        </w:tc>
        <w:tc>
          <w:tcPr>
            <w:tcW w:w="135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558.09</w:t>
            </w:r>
          </w:p>
        </w:tc>
        <w:tc>
          <w:tcPr>
            <w:tcW w:w="107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5.2</w:t>
            </w:r>
          </w:p>
        </w:tc>
        <w:tc>
          <w:tcPr>
            <w:tcW w:w="296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420" w:firstLineChars="200"/>
              <w:jc w:val="both"/>
              <w:textAlignment w:val="auto"/>
              <w:rPr>
                <w:rFonts w:hint="default" w:ascii="Times New Roman" w:hAnsi="Times New Roman" w:eastAsia="仿宋_GB2312" w:cs="Times New Roman"/>
                <w:color w:val="000000"/>
                <w:spacing w:val="0"/>
                <w:kern w:val="0"/>
                <w:sz w:val="21"/>
                <w:szCs w:val="21"/>
                <w:lang w:val="en-US" w:eastAsia="zh-CN"/>
              </w:rPr>
            </w:pP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1140" w:hRule="atLeast"/>
          <w:jc w:val="center"/>
        </w:trPr>
        <w:tc>
          <w:tcPr>
            <w:tcW w:w="1658"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2、日常公用经费</w:t>
            </w:r>
          </w:p>
        </w:tc>
        <w:tc>
          <w:tcPr>
            <w:tcW w:w="134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947.72</w:t>
            </w:r>
          </w:p>
        </w:tc>
        <w:tc>
          <w:tcPr>
            <w:tcW w:w="1223"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947.53</w:t>
            </w:r>
          </w:p>
        </w:tc>
        <w:tc>
          <w:tcPr>
            <w:tcW w:w="135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-0.19</w:t>
            </w:r>
          </w:p>
        </w:tc>
        <w:tc>
          <w:tcPr>
            <w:tcW w:w="107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lang w:val="en-US" w:eastAsia="zh-CN"/>
              </w:rPr>
              <w:t>-0.02</w:t>
            </w:r>
          </w:p>
        </w:tc>
        <w:tc>
          <w:tcPr>
            <w:tcW w:w="296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厉行节约，压减日常公用经费</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744" w:hRule="atLeast"/>
          <w:jc w:val="center"/>
        </w:trPr>
        <w:tc>
          <w:tcPr>
            <w:tcW w:w="1658"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行政事业类项目</w:t>
            </w:r>
          </w:p>
        </w:tc>
        <w:tc>
          <w:tcPr>
            <w:tcW w:w="134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6554.31</w:t>
            </w:r>
          </w:p>
        </w:tc>
        <w:tc>
          <w:tcPr>
            <w:tcW w:w="1223"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6950.81</w:t>
            </w:r>
          </w:p>
        </w:tc>
        <w:tc>
          <w:tcPr>
            <w:tcW w:w="135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396.5</w:t>
            </w:r>
          </w:p>
        </w:tc>
        <w:tc>
          <w:tcPr>
            <w:tcW w:w="107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6.05</w:t>
            </w:r>
          </w:p>
        </w:tc>
        <w:tc>
          <w:tcPr>
            <w:tcW w:w="296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both"/>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非常年项目上年结束，今年新增</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881" w:hRule="atLeast"/>
          <w:jc w:val="center"/>
        </w:trPr>
        <w:tc>
          <w:tcPr>
            <w:tcW w:w="1658"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4、经营支出</w:t>
            </w:r>
          </w:p>
        </w:tc>
        <w:tc>
          <w:tcPr>
            <w:tcW w:w="134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856.97</w:t>
            </w:r>
          </w:p>
        </w:tc>
        <w:tc>
          <w:tcPr>
            <w:tcW w:w="1223"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913.12</w:t>
            </w:r>
          </w:p>
        </w:tc>
        <w:tc>
          <w:tcPr>
            <w:tcW w:w="135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56.15</w:t>
            </w:r>
          </w:p>
        </w:tc>
        <w:tc>
          <w:tcPr>
            <w:tcW w:w="1078"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6.55</w:t>
            </w:r>
          </w:p>
        </w:tc>
        <w:tc>
          <w:tcPr>
            <w:tcW w:w="296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科研项目、培训项目等较上年增加</w:t>
            </w:r>
          </w:p>
        </w:tc>
      </w:tr>
    </w:tbl>
    <w:p>
      <w:pPr>
        <w:pStyle w:val="2"/>
        <w:ind w:left="7770" w:leftChars="3200" w:hanging="1050" w:hangingChars="500"/>
        <w:jc w:val="left"/>
        <w:rPr>
          <w:rFonts w:hint="eastAsia"/>
          <w:lang w:val="en-US" w:eastAsia="zh-CN"/>
        </w:rPr>
      </w:pPr>
      <w:r>
        <w:rPr>
          <w:rFonts w:hint="eastAsia"/>
          <w:spacing w:val="0"/>
          <w:lang w:val="en-US" w:eastAsia="zh-CN"/>
        </w:rPr>
        <w:t xml:space="preserve">     </w:t>
      </w:r>
      <w:r>
        <w:rPr>
          <w:rFonts w:hint="default" w:ascii="Times New Roman" w:hAnsi="Times New Roman" w:eastAsia="仿宋_GB2312" w:cs="Times New Roman"/>
          <w:sz w:val="24"/>
          <w:szCs w:val="24"/>
          <w:lang w:bidi="ar"/>
        </w:rPr>
        <w:t>金额单位：万元</w:t>
      </w:r>
      <w:r>
        <w:rPr>
          <w:rFonts w:hint="eastAsia"/>
          <w:spacing w:val="0"/>
          <w:lang w:val="en-US" w:eastAsia="zh-CN"/>
        </w:rPr>
        <w:t xml:space="preserve">                                                                       </w:t>
      </w:r>
    </w:p>
    <w:p>
      <w:pPr>
        <w:pStyle w:val="2"/>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2.2021年决算收入21684.13万元，较年初预算17174.60万元增加4509.53万元，增幅26.26%；2021年决算支出20108.25万元，较年初预算17174.6万元增加4728.25万元，增幅27.53%。各项收入支出预决算情况明细如下：</w:t>
      </w:r>
    </w:p>
    <w:p>
      <w:pPr>
        <w:pStyle w:val="2"/>
        <w:ind w:left="7920" w:leftChars="3200" w:hanging="1200" w:hangingChars="500"/>
        <w:jc w:val="left"/>
        <w:rPr>
          <w:rFonts w:hint="default" w:ascii="Times New Roman" w:hAnsi="Times New Roman" w:eastAsia="仿宋_GB2312" w:cs="Times New Roman"/>
          <w:sz w:val="24"/>
          <w:szCs w:val="24"/>
          <w:lang w:bidi="ar"/>
        </w:rPr>
      </w:pPr>
    </w:p>
    <w:p>
      <w:pPr>
        <w:pStyle w:val="2"/>
        <w:jc w:val="right"/>
        <w:rPr>
          <w:rFonts w:hint="eastAsia"/>
          <w:lang w:val="en-US" w:eastAsia="zh-CN"/>
        </w:rPr>
      </w:pPr>
      <w:r>
        <w:rPr>
          <w:rFonts w:hint="default" w:ascii="Times New Roman" w:hAnsi="Times New Roman" w:eastAsia="仿宋_GB2312" w:cs="Times New Roman"/>
          <w:sz w:val="24"/>
          <w:szCs w:val="24"/>
          <w:lang w:bidi="ar"/>
        </w:rPr>
        <w:t>金额单位：万元</w:t>
      </w:r>
    </w:p>
    <w:tbl>
      <w:tblPr>
        <w:tblStyle w:val="10"/>
        <w:tblW w:w="9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1"/>
        <w:gridCol w:w="1323"/>
        <w:gridCol w:w="1588"/>
        <w:gridCol w:w="1182"/>
        <w:gridCol w:w="4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691" w:type="dxa"/>
            <w:tcBorders>
              <w:top w:val="single" w:color="auto" w:sz="12" w:space="0"/>
              <w:left w:val="nil"/>
              <w:bottom w:val="dashSmallGap" w:color="auto" w:sz="4" w:space="0"/>
              <w:right w:val="dashSmallGap" w:color="auto" w:sz="4" w:space="0"/>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指标</w:t>
            </w:r>
          </w:p>
        </w:tc>
        <w:tc>
          <w:tcPr>
            <w:tcW w:w="1323" w:type="dxa"/>
            <w:tcBorders>
              <w:top w:val="single" w:color="auto" w:sz="12"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rPr>
              <w:t>预算数</w:t>
            </w:r>
          </w:p>
        </w:tc>
        <w:tc>
          <w:tcPr>
            <w:tcW w:w="1588" w:type="dxa"/>
            <w:tcBorders>
              <w:top w:val="single" w:color="auto" w:sz="12"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rPr>
              <w:t>决算数</w:t>
            </w:r>
          </w:p>
        </w:tc>
        <w:tc>
          <w:tcPr>
            <w:tcW w:w="1182" w:type="dxa"/>
            <w:tcBorders>
              <w:top w:val="single" w:color="auto" w:sz="12"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rPr>
              <w:t>增减额</w:t>
            </w:r>
          </w:p>
        </w:tc>
        <w:tc>
          <w:tcPr>
            <w:tcW w:w="4034" w:type="dxa"/>
            <w:tcBorders>
              <w:top w:val="single" w:color="auto" w:sz="12" w:space="0"/>
              <w:left w:val="dashSmallGap" w:color="auto" w:sz="4" w:space="0"/>
              <w:bottom w:val="dashSmallGap" w:color="auto"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691" w:type="dxa"/>
            <w:tcBorders>
              <w:top w:val="dashSmallGap" w:color="auto" w:sz="4" w:space="0"/>
              <w:left w:val="nil"/>
              <w:bottom w:val="dashSmallGap" w:color="auto" w:sz="4" w:space="0"/>
              <w:right w:val="dashSmallGap" w:color="auto" w:sz="4" w:space="0"/>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一、</w:t>
            </w:r>
            <w:r>
              <w:rPr>
                <w:rFonts w:hint="default" w:ascii="Times New Roman" w:hAnsi="Times New Roman" w:eastAsia="仿宋_GB2312" w:cs="Times New Roman"/>
                <w:color w:val="000000"/>
                <w:spacing w:val="0"/>
                <w:kern w:val="0"/>
                <w:sz w:val="21"/>
                <w:szCs w:val="21"/>
                <w:lang w:eastAsia="zh-CN"/>
              </w:rPr>
              <w:t>收入总计</w:t>
            </w:r>
          </w:p>
        </w:tc>
        <w:tc>
          <w:tcPr>
            <w:tcW w:w="1323"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17174.60</w:t>
            </w:r>
          </w:p>
        </w:tc>
        <w:tc>
          <w:tcPr>
            <w:tcW w:w="1588"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21684.13</w:t>
            </w:r>
          </w:p>
        </w:tc>
        <w:tc>
          <w:tcPr>
            <w:tcW w:w="1182"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4509.53</w:t>
            </w:r>
          </w:p>
        </w:tc>
        <w:tc>
          <w:tcPr>
            <w:tcW w:w="4034" w:type="dxa"/>
            <w:tcBorders>
              <w:top w:val="dashSmallGap" w:color="auto" w:sz="4" w:space="0"/>
              <w:left w:val="dashSmallGap" w:color="auto" w:sz="4" w:space="0"/>
              <w:bottom w:val="dashSmallGap" w:color="auto"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预算资金包含</w:t>
            </w:r>
            <w:r>
              <w:rPr>
                <w:rFonts w:hint="default" w:ascii="Times New Roman" w:hAnsi="Times New Roman" w:eastAsia="仿宋_GB2312" w:cs="Times New Roman"/>
                <w:color w:val="000000"/>
                <w:spacing w:val="0"/>
                <w:kern w:val="0"/>
                <w:sz w:val="21"/>
                <w:szCs w:val="21"/>
                <w:lang w:val="en-US" w:eastAsia="zh-CN"/>
              </w:rPr>
              <w:t>2021年年初结转结余资金1794.60万元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trPr>
        <w:tc>
          <w:tcPr>
            <w:tcW w:w="1691" w:type="dxa"/>
            <w:tcBorders>
              <w:top w:val="dashSmallGap" w:color="auto" w:sz="4" w:space="0"/>
              <w:left w:val="nil"/>
              <w:bottom w:val="dashSmallGap" w:color="auto" w:sz="4" w:space="0"/>
              <w:right w:val="dashSmallGap" w:color="auto" w:sz="4" w:space="0"/>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1</w:t>
            </w:r>
            <w:r>
              <w:rPr>
                <w:rFonts w:hint="default" w:ascii="Times New Roman" w:hAnsi="Times New Roman" w:eastAsia="仿宋_GB2312" w:cs="Times New Roman"/>
                <w:color w:val="000000"/>
                <w:spacing w:val="0"/>
                <w:kern w:val="0"/>
                <w:sz w:val="21"/>
                <w:szCs w:val="21"/>
                <w:lang w:val="en-US" w:eastAsia="zh-CN"/>
              </w:rPr>
              <w:t>.</w:t>
            </w:r>
            <w:r>
              <w:rPr>
                <w:rFonts w:hint="default" w:ascii="Times New Roman" w:hAnsi="Times New Roman" w:eastAsia="仿宋_GB2312" w:cs="Times New Roman"/>
                <w:color w:val="000000"/>
                <w:spacing w:val="0"/>
                <w:kern w:val="0"/>
                <w:sz w:val="21"/>
                <w:szCs w:val="21"/>
              </w:rPr>
              <w:t>一般公共预算财政拨款</w:t>
            </w:r>
          </w:p>
        </w:tc>
        <w:tc>
          <w:tcPr>
            <w:tcW w:w="1323"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8644.27</w:t>
            </w:r>
          </w:p>
        </w:tc>
        <w:tc>
          <w:tcPr>
            <w:tcW w:w="1588"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14227.13</w:t>
            </w:r>
          </w:p>
        </w:tc>
        <w:tc>
          <w:tcPr>
            <w:tcW w:w="1182"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5582.86</w:t>
            </w:r>
          </w:p>
        </w:tc>
        <w:tc>
          <w:tcPr>
            <w:tcW w:w="4034" w:type="dxa"/>
            <w:tcBorders>
              <w:top w:val="dashSmallGap" w:color="auto" w:sz="4" w:space="0"/>
              <w:left w:val="dashSmallGap" w:color="auto" w:sz="4" w:space="0"/>
              <w:bottom w:val="dashSmallGap" w:color="auto"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Times New Roman" w:hAnsi="Times New Roman" w:eastAsia="仿宋_GB2312" w:cs="Times New Roman"/>
                <w:color w:val="000000"/>
                <w:spacing w:val="0"/>
                <w:kern w:val="0"/>
                <w:sz w:val="21"/>
                <w:szCs w:val="21"/>
                <w:lang w:val="en-US"/>
              </w:rPr>
            </w:pPr>
            <w:r>
              <w:rPr>
                <w:rFonts w:hint="default" w:ascii="Times New Roman" w:hAnsi="Times New Roman" w:eastAsia="仿宋_GB2312" w:cs="Times New Roman"/>
                <w:color w:val="000000"/>
                <w:spacing w:val="0"/>
                <w:kern w:val="0"/>
                <w:sz w:val="21"/>
                <w:szCs w:val="21"/>
              </w:rPr>
              <w:t>预算只含基本拨款，年中追加了</w:t>
            </w:r>
            <w:r>
              <w:rPr>
                <w:rFonts w:hint="default" w:ascii="Times New Roman" w:hAnsi="Times New Roman" w:eastAsia="仿宋_GB2312" w:cs="Times New Roman"/>
                <w:color w:val="000000"/>
                <w:spacing w:val="0"/>
                <w:kern w:val="0"/>
                <w:sz w:val="21"/>
                <w:szCs w:val="21"/>
                <w:lang w:eastAsia="zh-CN"/>
              </w:rPr>
              <w:t>高校基础设施建设资金</w:t>
            </w:r>
            <w:r>
              <w:rPr>
                <w:rFonts w:hint="default" w:ascii="Times New Roman" w:hAnsi="Times New Roman" w:eastAsia="仿宋_GB2312" w:cs="Times New Roman"/>
                <w:color w:val="000000"/>
                <w:spacing w:val="0"/>
                <w:kern w:val="0"/>
                <w:sz w:val="21"/>
                <w:szCs w:val="21"/>
                <w:lang w:val="en-US" w:eastAsia="zh-CN"/>
              </w:rPr>
              <w:t>、</w:t>
            </w:r>
            <w:r>
              <w:rPr>
                <w:rFonts w:hint="default" w:ascii="Times New Roman" w:hAnsi="Times New Roman" w:eastAsia="仿宋_GB2312" w:cs="Times New Roman"/>
                <w:color w:val="000000"/>
                <w:spacing w:val="0"/>
                <w:kern w:val="0"/>
                <w:sz w:val="21"/>
                <w:szCs w:val="21"/>
              </w:rPr>
              <w:t>2019年中央水污染防治专项资金</w:t>
            </w:r>
            <w:r>
              <w:rPr>
                <w:rFonts w:hint="default" w:ascii="Times New Roman" w:hAnsi="Times New Roman" w:eastAsia="仿宋_GB2312" w:cs="Times New Roman"/>
                <w:color w:val="000000"/>
                <w:spacing w:val="0"/>
                <w:kern w:val="0"/>
                <w:sz w:val="21"/>
                <w:szCs w:val="21"/>
                <w:lang w:val="en-US" w:eastAsia="zh-CN"/>
              </w:rPr>
              <w:t>、就业补助专项（省级）、</w:t>
            </w:r>
            <w:r>
              <w:rPr>
                <w:rFonts w:hint="default" w:ascii="Times New Roman" w:hAnsi="Times New Roman" w:eastAsia="仿宋_GB2312" w:cs="Times New Roman"/>
                <w:color w:val="000000"/>
                <w:spacing w:val="0"/>
                <w:kern w:val="0"/>
                <w:sz w:val="21"/>
                <w:szCs w:val="21"/>
                <w:lang w:eastAsia="zh-CN"/>
              </w:rPr>
              <w:t>高职生均拨款资金</w:t>
            </w:r>
            <w:r>
              <w:rPr>
                <w:rFonts w:hint="default" w:ascii="Times New Roman" w:hAnsi="Times New Roman" w:eastAsia="仿宋_GB2312" w:cs="Times New Roman"/>
                <w:color w:val="000000"/>
                <w:spacing w:val="0"/>
                <w:kern w:val="0"/>
                <w:sz w:val="21"/>
                <w:szCs w:val="21"/>
                <w:lang w:val="en-US" w:eastAsia="zh-CN"/>
              </w:rPr>
              <w:t>、高校学生资助补助、双一流专项资金、高校基建规划补短板等项目资金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1" w:type="dxa"/>
            <w:tcBorders>
              <w:top w:val="dashSmallGap" w:color="auto" w:sz="4" w:space="0"/>
              <w:left w:val="nil"/>
              <w:bottom w:val="dashSmallGap" w:color="auto" w:sz="4" w:space="0"/>
              <w:right w:val="dashSmallGap" w:color="auto" w:sz="4" w:space="0"/>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2</w:t>
            </w:r>
            <w:r>
              <w:rPr>
                <w:rFonts w:hint="default" w:ascii="Times New Roman" w:hAnsi="Times New Roman" w:eastAsia="仿宋_GB2312" w:cs="Times New Roman"/>
                <w:color w:val="000000"/>
                <w:spacing w:val="0"/>
                <w:kern w:val="0"/>
                <w:sz w:val="21"/>
                <w:szCs w:val="21"/>
                <w:lang w:val="en-US" w:eastAsia="zh-CN"/>
              </w:rPr>
              <w:t>.</w:t>
            </w:r>
            <w:r>
              <w:rPr>
                <w:rFonts w:hint="default" w:ascii="Times New Roman" w:hAnsi="Times New Roman" w:eastAsia="仿宋_GB2312" w:cs="Times New Roman"/>
                <w:color w:val="000000"/>
                <w:spacing w:val="0"/>
                <w:kern w:val="0"/>
                <w:sz w:val="21"/>
                <w:szCs w:val="21"/>
              </w:rPr>
              <w:t>事业收入</w:t>
            </w:r>
          </w:p>
        </w:tc>
        <w:tc>
          <w:tcPr>
            <w:tcW w:w="1323"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6230</w:t>
            </w:r>
          </w:p>
        </w:tc>
        <w:tc>
          <w:tcPr>
            <w:tcW w:w="1588"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6295.27</w:t>
            </w:r>
          </w:p>
        </w:tc>
        <w:tc>
          <w:tcPr>
            <w:tcW w:w="1182"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65.27</w:t>
            </w:r>
          </w:p>
        </w:tc>
        <w:tc>
          <w:tcPr>
            <w:tcW w:w="4034" w:type="dxa"/>
            <w:tcBorders>
              <w:top w:val="dashSmallGap" w:color="auto" w:sz="4" w:space="0"/>
              <w:left w:val="dashSmallGap" w:color="auto" w:sz="4" w:space="0"/>
              <w:bottom w:val="dashSmallGap" w:color="auto"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按实际使用事业收入确认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1691" w:type="dxa"/>
            <w:tcBorders>
              <w:top w:val="dashSmallGap" w:color="auto" w:sz="4" w:space="0"/>
              <w:left w:val="nil"/>
              <w:bottom w:val="dashSmallGap" w:color="auto" w:sz="4" w:space="0"/>
              <w:right w:val="dashSmallGap" w:color="auto" w:sz="4" w:space="0"/>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3</w:t>
            </w:r>
            <w:r>
              <w:rPr>
                <w:rFonts w:hint="default" w:ascii="Times New Roman" w:hAnsi="Times New Roman" w:eastAsia="仿宋_GB2312" w:cs="Times New Roman"/>
                <w:color w:val="000000"/>
                <w:spacing w:val="0"/>
                <w:kern w:val="0"/>
                <w:sz w:val="21"/>
                <w:szCs w:val="21"/>
                <w:lang w:val="en-US" w:eastAsia="zh-CN"/>
              </w:rPr>
              <w:t>.</w:t>
            </w:r>
            <w:r>
              <w:rPr>
                <w:rFonts w:hint="default" w:ascii="Times New Roman" w:hAnsi="Times New Roman" w:eastAsia="仿宋_GB2312" w:cs="Times New Roman"/>
                <w:color w:val="000000"/>
                <w:spacing w:val="0"/>
                <w:kern w:val="0"/>
                <w:sz w:val="21"/>
                <w:szCs w:val="21"/>
              </w:rPr>
              <w:t>经营收入</w:t>
            </w:r>
          </w:p>
        </w:tc>
        <w:tc>
          <w:tcPr>
            <w:tcW w:w="1323"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lang w:val="en-US" w:eastAsia="zh-CN"/>
              </w:rPr>
              <w:t>505.73</w:t>
            </w:r>
          </w:p>
        </w:tc>
        <w:tc>
          <w:tcPr>
            <w:tcW w:w="1588"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1036.77</w:t>
            </w:r>
          </w:p>
        </w:tc>
        <w:tc>
          <w:tcPr>
            <w:tcW w:w="1182"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531.04</w:t>
            </w:r>
          </w:p>
        </w:tc>
        <w:tc>
          <w:tcPr>
            <w:tcW w:w="4034" w:type="dxa"/>
            <w:tcBorders>
              <w:top w:val="dashSmallGap" w:color="auto" w:sz="4" w:space="0"/>
              <w:left w:val="dashSmallGap" w:color="auto" w:sz="4" w:space="0"/>
              <w:bottom w:val="dashSmallGap" w:color="auto"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经营性创收不属财政性资金，视本年实际取得的培训类创收和技术服务类收入而定。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691" w:type="dxa"/>
            <w:tcBorders>
              <w:top w:val="dashSmallGap" w:color="auto" w:sz="4" w:space="0"/>
              <w:left w:val="nil"/>
              <w:bottom w:val="dashSmallGap" w:color="auto" w:sz="4" w:space="0"/>
              <w:right w:val="dashSmallGap" w:color="auto" w:sz="4" w:space="0"/>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4</w:t>
            </w:r>
            <w:r>
              <w:rPr>
                <w:rFonts w:hint="default" w:ascii="Times New Roman" w:hAnsi="Times New Roman" w:eastAsia="仿宋_GB2312" w:cs="Times New Roman"/>
                <w:color w:val="000000"/>
                <w:spacing w:val="0"/>
                <w:kern w:val="0"/>
                <w:sz w:val="21"/>
                <w:szCs w:val="21"/>
                <w:lang w:val="en-US" w:eastAsia="zh-CN"/>
              </w:rPr>
              <w:t>.</w:t>
            </w:r>
            <w:r>
              <w:rPr>
                <w:rFonts w:hint="default" w:ascii="Times New Roman" w:hAnsi="Times New Roman" w:eastAsia="仿宋_GB2312" w:cs="Times New Roman"/>
                <w:color w:val="000000"/>
                <w:spacing w:val="0"/>
                <w:kern w:val="0"/>
                <w:sz w:val="21"/>
                <w:szCs w:val="21"/>
              </w:rPr>
              <w:t>其他收入</w:t>
            </w:r>
          </w:p>
        </w:tc>
        <w:tc>
          <w:tcPr>
            <w:tcW w:w="1323"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rPr>
            </w:pPr>
          </w:p>
        </w:tc>
        <w:tc>
          <w:tcPr>
            <w:tcW w:w="1588"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124.96</w:t>
            </w:r>
          </w:p>
        </w:tc>
        <w:tc>
          <w:tcPr>
            <w:tcW w:w="1182"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124.96</w:t>
            </w:r>
          </w:p>
        </w:tc>
        <w:tc>
          <w:tcPr>
            <w:tcW w:w="4034" w:type="dxa"/>
            <w:tcBorders>
              <w:top w:val="dashSmallGap" w:color="auto" w:sz="4" w:space="0"/>
              <w:left w:val="dashSmallGap" w:color="auto" w:sz="4" w:space="0"/>
              <w:bottom w:val="dashSmallGap" w:color="auto"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课题专项收入的不确定性，年初未造预算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691" w:type="dxa"/>
            <w:tcBorders>
              <w:top w:val="dashSmallGap" w:color="auto" w:sz="4" w:space="0"/>
              <w:left w:val="nil"/>
              <w:bottom w:val="dashSmallGap" w:color="auto" w:sz="4" w:space="0"/>
              <w:right w:val="dashSmallGap" w:color="auto" w:sz="4" w:space="0"/>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5.上年结转</w:t>
            </w:r>
          </w:p>
        </w:tc>
        <w:tc>
          <w:tcPr>
            <w:tcW w:w="1323"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1794.60</w:t>
            </w:r>
          </w:p>
        </w:tc>
        <w:tc>
          <w:tcPr>
            <w:tcW w:w="1588"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lang w:val="en-US" w:eastAsia="zh-CN"/>
              </w:rPr>
            </w:pPr>
          </w:p>
        </w:tc>
        <w:tc>
          <w:tcPr>
            <w:tcW w:w="1182"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lang w:val="en-US" w:eastAsia="zh-CN"/>
              </w:rPr>
            </w:pPr>
          </w:p>
        </w:tc>
        <w:tc>
          <w:tcPr>
            <w:tcW w:w="4034" w:type="dxa"/>
            <w:tcBorders>
              <w:top w:val="dashSmallGap" w:color="auto" w:sz="4" w:space="0"/>
              <w:left w:val="dashSmallGap" w:color="auto" w:sz="4" w:space="0"/>
              <w:bottom w:val="dashSmallGap" w:color="auto"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2021年之前预算未将结转结余编入年初预算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1" w:type="dxa"/>
            <w:tcBorders>
              <w:top w:val="dashSmallGap" w:color="auto" w:sz="4" w:space="0"/>
              <w:left w:val="nil"/>
              <w:bottom w:val="dashSmallGap" w:color="auto" w:sz="4" w:space="0"/>
              <w:right w:val="dashSmallGap" w:color="auto" w:sz="4" w:space="0"/>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rPr>
              <w:t>二、</w:t>
            </w:r>
            <w:r>
              <w:rPr>
                <w:rFonts w:hint="default" w:ascii="Times New Roman" w:hAnsi="Times New Roman" w:eastAsia="仿宋_GB2312" w:cs="Times New Roman"/>
                <w:color w:val="000000"/>
                <w:spacing w:val="0"/>
                <w:kern w:val="0"/>
                <w:sz w:val="21"/>
                <w:szCs w:val="21"/>
                <w:lang w:eastAsia="zh-CN"/>
              </w:rPr>
              <w:t>支出总计</w:t>
            </w:r>
          </w:p>
        </w:tc>
        <w:tc>
          <w:tcPr>
            <w:tcW w:w="1323"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17174.6</w:t>
            </w:r>
          </w:p>
        </w:tc>
        <w:tc>
          <w:tcPr>
            <w:tcW w:w="1588"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20108.25</w:t>
            </w:r>
          </w:p>
        </w:tc>
        <w:tc>
          <w:tcPr>
            <w:tcW w:w="1182"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4728.25</w:t>
            </w:r>
          </w:p>
        </w:tc>
        <w:tc>
          <w:tcPr>
            <w:tcW w:w="4034" w:type="dxa"/>
            <w:tcBorders>
              <w:top w:val="dashSmallGap" w:color="auto" w:sz="4" w:space="0"/>
              <w:left w:val="dashSmallGap" w:color="auto" w:sz="4" w:space="0"/>
              <w:bottom w:val="dashSmallGap" w:color="auto"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420" w:firstLineChars="200"/>
              <w:jc w:val="left"/>
              <w:textAlignment w:val="auto"/>
              <w:rPr>
                <w:rFonts w:hint="default" w:ascii="Times New Roman" w:hAnsi="Times New Roman" w:eastAsia="仿宋_GB2312" w:cs="Times New Roman"/>
                <w:color w:val="000000"/>
                <w:spacing w:val="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1" w:type="dxa"/>
            <w:tcBorders>
              <w:top w:val="dashSmallGap" w:color="auto" w:sz="4" w:space="0"/>
              <w:left w:val="nil"/>
              <w:bottom w:val="dashSmallGap" w:color="auto" w:sz="4" w:space="0"/>
              <w:right w:val="dashSmallGap" w:color="auto" w:sz="4" w:space="0"/>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1</w:t>
            </w:r>
            <w:r>
              <w:rPr>
                <w:rFonts w:hint="default" w:ascii="Times New Roman" w:hAnsi="Times New Roman" w:eastAsia="仿宋_GB2312" w:cs="Times New Roman"/>
                <w:color w:val="000000"/>
                <w:spacing w:val="0"/>
                <w:kern w:val="0"/>
                <w:sz w:val="21"/>
                <w:szCs w:val="21"/>
                <w:lang w:val="en-US" w:eastAsia="zh-CN"/>
              </w:rPr>
              <w:t>.</w:t>
            </w:r>
            <w:r>
              <w:rPr>
                <w:rFonts w:hint="default" w:ascii="Times New Roman" w:hAnsi="Times New Roman" w:eastAsia="仿宋_GB2312" w:cs="Times New Roman"/>
                <w:color w:val="000000"/>
                <w:spacing w:val="0"/>
                <w:kern w:val="0"/>
                <w:sz w:val="21"/>
                <w:szCs w:val="21"/>
              </w:rPr>
              <w:t>人员经费</w:t>
            </w:r>
          </w:p>
        </w:tc>
        <w:tc>
          <w:tcPr>
            <w:tcW w:w="1323"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11238.47</w:t>
            </w:r>
          </w:p>
        </w:tc>
        <w:tc>
          <w:tcPr>
            <w:tcW w:w="1588"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11296.79</w:t>
            </w:r>
          </w:p>
        </w:tc>
        <w:tc>
          <w:tcPr>
            <w:tcW w:w="1182"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58.32</w:t>
            </w:r>
          </w:p>
        </w:tc>
        <w:tc>
          <w:tcPr>
            <w:tcW w:w="4034" w:type="dxa"/>
            <w:tcBorders>
              <w:top w:val="dashSmallGap" w:color="auto" w:sz="4" w:space="0"/>
              <w:left w:val="dashSmallGap" w:color="auto" w:sz="4" w:space="0"/>
              <w:bottom w:val="dashSmallGap" w:color="auto"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五险一金严格按要求年检后较上年增加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6" w:hRule="atLeast"/>
        </w:trPr>
        <w:tc>
          <w:tcPr>
            <w:tcW w:w="1691" w:type="dxa"/>
            <w:tcBorders>
              <w:top w:val="dashSmallGap" w:color="auto" w:sz="4" w:space="0"/>
              <w:left w:val="nil"/>
              <w:bottom w:val="dashSmallGap" w:color="auto" w:sz="4" w:space="0"/>
              <w:right w:val="dashSmallGap" w:color="auto" w:sz="4" w:space="0"/>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lang w:val="en-US" w:eastAsia="zh-CN"/>
              </w:rPr>
              <w:t>2.</w:t>
            </w:r>
            <w:r>
              <w:rPr>
                <w:rFonts w:hint="default" w:ascii="Times New Roman" w:hAnsi="Times New Roman" w:eastAsia="仿宋_GB2312" w:cs="Times New Roman"/>
                <w:color w:val="000000"/>
                <w:spacing w:val="0"/>
                <w:kern w:val="0"/>
                <w:sz w:val="21"/>
                <w:szCs w:val="21"/>
              </w:rPr>
              <w:t>日常公用经费</w:t>
            </w:r>
          </w:p>
        </w:tc>
        <w:tc>
          <w:tcPr>
            <w:tcW w:w="1323"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849</w:t>
            </w:r>
          </w:p>
        </w:tc>
        <w:tc>
          <w:tcPr>
            <w:tcW w:w="1588"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947.53</w:t>
            </w:r>
          </w:p>
        </w:tc>
        <w:tc>
          <w:tcPr>
            <w:tcW w:w="1182"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98.53</w:t>
            </w:r>
          </w:p>
        </w:tc>
        <w:tc>
          <w:tcPr>
            <w:tcW w:w="4034" w:type="dxa"/>
            <w:tcBorders>
              <w:top w:val="dashSmallGap" w:color="auto" w:sz="4" w:space="0"/>
              <w:left w:val="dashSmallGap" w:color="auto" w:sz="4" w:space="0"/>
              <w:bottom w:val="dashSmallGap" w:color="auto"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工会经费增加103.42万元、维修（护）费增加13.11万元、委托业务费增加11.67万元、咨询费增加8.33万元、专用材料费增加3.64万元、会议费增加3.38万元、印刷费增加2.55万元、邮电费增加2.48万元、其他交通费增加1.46万元、办公费增加0.25万元、差旅费减少35.75万元、租赁费减少8.26万元、公务接待费减少6.94万元、其他商品和服务支出减少4.54万元、培训费减少2.94万元、劳务费减少2.6万元、公务用车运行维护费减少0.88万元、物业管理费减少1.35万元、设备购置等费用增加11.50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1691" w:type="dxa"/>
            <w:tcBorders>
              <w:top w:val="dashSmallGap" w:color="auto" w:sz="4" w:space="0"/>
              <w:left w:val="nil"/>
              <w:bottom w:val="dashSmallGap" w:color="auto" w:sz="4" w:space="0"/>
              <w:right w:val="dashSmallGap" w:color="auto" w:sz="4" w:space="0"/>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3</w:t>
            </w:r>
            <w:r>
              <w:rPr>
                <w:rFonts w:hint="default" w:ascii="Times New Roman" w:hAnsi="Times New Roman" w:eastAsia="仿宋_GB2312" w:cs="Times New Roman"/>
                <w:color w:val="000000"/>
                <w:spacing w:val="0"/>
                <w:kern w:val="0"/>
                <w:sz w:val="21"/>
                <w:szCs w:val="21"/>
                <w:lang w:val="en-US" w:eastAsia="zh-CN"/>
              </w:rPr>
              <w:t>.</w:t>
            </w:r>
            <w:r>
              <w:rPr>
                <w:rFonts w:hint="default" w:ascii="Times New Roman" w:hAnsi="Times New Roman" w:eastAsia="仿宋_GB2312" w:cs="Times New Roman"/>
                <w:color w:val="000000"/>
                <w:spacing w:val="0"/>
                <w:kern w:val="0"/>
                <w:sz w:val="21"/>
                <w:szCs w:val="21"/>
              </w:rPr>
              <w:t>行政事业类项目</w:t>
            </w:r>
          </w:p>
        </w:tc>
        <w:tc>
          <w:tcPr>
            <w:tcW w:w="1323"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4581.4</w:t>
            </w:r>
          </w:p>
        </w:tc>
        <w:tc>
          <w:tcPr>
            <w:tcW w:w="1588"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6950.81</w:t>
            </w:r>
          </w:p>
        </w:tc>
        <w:tc>
          <w:tcPr>
            <w:tcW w:w="1182" w:type="dxa"/>
            <w:tcBorders>
              <w:top w:val="dashSmallGap" w:color="auto" w:sz="4" w:space="0"/>
              <w:left w:val="dashSmallGap" w:color="auto" w:sz="4" w:space="0"/>
              <w:bottom w:val="dashSmallGap" w:color="auto" w:sz="4"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2369.41</w:t>
            </w:r>
          </w:p>
        </w:tc>
        <w:tc>
          <w:tcPr>
            <w:tcW w:w="4034" w:type="dxa"/>
            <w:tcBorders>
              <w:top w:val="dashSmallGap" w:color="auto" w:sz="4" w:space="0"/>
              <w:left w:val="dashSmallGap" w:color="auto" w:sz="4" w:space="0"/>
              <w:bottom w:val="dashSmallGap" w:color="auto"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年度执行中，增加一般预算拨款项目资金5582.86万元，实际使用2574.42万元，年初安排项目预算存在结转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1691" w:type="dxa"/>
            <w:tcBorders>
              <w:top w:val="dashSmallGap" w:color="auto" w:sz="4" w:space="0"/>
              <w:left w:val="nil"/>
              <w:bottom w:val="single" w:color="auto" w:sz="12" w:space="0"/>
              <w:right w:val="dashSmallGap" w:color="auto" w:sz="4" w:space="0"/>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color w:val="000000"/>
                <w:spacing w:val="0"/>
                <w:kern w:val="0"/>
                <w:sz w:val="21"/>
                <w:szCs w:val="21"/>
              </w:rPr>
            </w:pPr>
            <w:r>
              <w:rPr>
                <w:rFonts w:hint="default" w:ascii="Times New Roman" w:hAnsi="Times New Roman" w:eastAsia="仿宋_GB2312" w:cs="Times New Roman"/>
                <w:color w:val="000000"/>
                <w:spacing w:val="0"/>
                <w:kern w:val="0"/>
                <w:sz w:val="21"/>
                <w:szCs w:val="21"/>
              </w:rPr>
              <w:t>4</w:t>
            </w:r>
            <w:r>
              <w:rPr>
                <w:rFonts w:hint="default" w:ascii="Times New Roman" w:hAnsi="Times New Roman" w:eastAsia="仿宋_GB2312" w:cs="Times New Roman"/>
                <w:color w:val="000000"/>
                <w:spacing w:val="0"/>
                <w:kern w:val="0"/>
                <w:sz w:val="21"/>
                <w:szCs w:val="21"/>
                <w:lang w:val="en-US" w:eastAsia="zh-CN"/>
              </w:rPr>
              <w:t>.</w:t>
            </w:r>
            <w:r>
              <w:rPr>
                <w:rFonts w:hint="default" w:ascii="Times New Roman" w:hAnsi="Times New Roman" w:eastAsia="仿宋_GB2312" w:cs="Times New Roman"/>
                <w:color w:val="000000"/>
                <w:spacing w:val="0"/>
                <w:kern w:val="0"/>
                <w:sz w:val="21"/>
                <w:szCs w:val="21"/>
              </w:rPr>
              <w:t>经营支出</w:t>
            </w:r>
          </w:p>
        </w:tc>
        <w:tc>
          <w:tcPr>
            <w:tcW w:w="1323" w:type="dxa"/>
            <w:tcBorders>
              <w:top w:val="dashSmallGap" w:color="auto" w:sz="4" w:space="0"/>
              <w:left w:val="dashSmallGap" w:color="auto" w:sz="4" w:space="0"/>
              <w:bottom w:val="single" w:color="auto" w:sz="12"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505.73</w:t>
            </w:r>
          </w:p>
        </w:tc>
        <w:tc>
          <w:tcPr>
            <w:tcW w:w="1588" w:type="dxa"/>
            <w:tcBorders>
              <w:top w:val="dashSmallGap" w:color="auto" w:sz="4" w:space="0"/>
              <w:left w:val="dashSmallGap" w:color="auto" w:sz="4" w:space="0"/>
              <w:bottom w:val="single" w:color="auto" w:sz="12"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913.12</w:t>
            </w:r>
          </w:p>
        </w:tc>
        <w:tc>
          <w:tcPr>
            <w:tcW w:w="1182" w:type="dxa"/>
            <w:tcBorders>
              <w:top w:val="dashSmallGap" w:color="auto" w:sz="4" w:space="0"/>
              <w:left w:val="dashSmallGap" w:color="auto" w:sz="4" w:space="0"/>
              <w:bottom w:val="single" w:color="auto" w:sz="12" w:space="0"/>
              <w:right w:val="dashSmallGap"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407.39</w:t>
            </w:r>
          </w:p>
        </w:tc>
        <w:tc>
          <w:tcPr>
            <w:tcW w:w="4034" w:type="dxa"/>
            <w:tcBorders>
              <w:top w:val="dashSmallGap" w:color="auto" w:sz="4" w:space="0"/>
              <w:left w:val="dashSmallGap" w:color="auto" w:sz="4" w:space="0"/>
              <w:bottom w:val="single" w:color="auto" w:sz="12"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left"/>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rPr>
              <w:t>经营性创收不属财政性资金，支出中主要包含与收入相匹配项目的培训类和技术服务类等创收开支</w:t>
            </w:r>
          </w:p>
        </w:tc>
      </w:tr>
    </w:tbl>
    <w:p>
      <w:pPr>
        <w:ind w:firstLine="640" w:firstLineChars="200"/>
        <w:rPr>
          <w:rFonts w:hint="eastAsia" w:ascii="黑体" w:hAnsi="黑体" w:eastAsia="黑体" w:cs="Times New Roman"/>
          <w:spacing w:val="0"/>
          <w:sz w:val="32"/>
          <w:szCs w:val="32"/>
          <w:lang w:val="en-US" w:eastAsia="zh-CN"/>
        </w:rPr>
      </w:pPr>
      <w:r>
        <w:rPr>
          <w:rFonts w:hint="eastAsia" w:ascii="黑体" w:hAnsi="黑体" w:eastAsia="黑体" w:cs="Times New Roman"/>
          <w:spacing w:val="0"/>
          <w:sz w:val="32"/>
          <w:szCs w:val="32"/>
          <w:lang w:val="en-US" w:eastAsia="zh-CN"/>
        </w:rPr>
        <w:t>二、基本支出情况</w:t>
      </w:r>
    </w:p>
    <w:p>
      <w:pPr>
        <w:ind w:firstLine="643" w:firstLineChars="200"/>
        <w:rPr>
          <w:rFonts w:hint="eastAsia" w:ascii="仿宋_GB2312" w:hAnsi="微软雅黑" w:eastAsia="仿宋_GB2312" w:cs="Times New Roman"/>
          <w:b/>
          <w:spacing w:val="0"/>
          <w:sz w:val="32"/>
          <w:szCs w:val="32"/>
          <w:lang w:val="en-US" w:eastAsia="zh-CN"/>
        </w:rPr>
      </w:pPr>
      <w:bookmarkStart w:id="1" w:name="_Toc6622"/>
      <w:bookmarkStart w:id="2" w:name="_Toc20699"/>
      <w:bookmarkStart w:id="3" w:name="_Toc29802"/>
      <w:bookmarkStart w:id="4" w:name="_Toc24119"/>
      <w:bookmarkStart w:id="5" w:name="_Toc20252"/>
      <w:bookmarkStart w:id="6" w:name="_Toc23934"/>
      <w:bookmarkStart w:id="7" w:name="_Toc43020966"/>
      <w:bookmarkStart w:id="8" w:name="_Toc8221"/>
      <w:r>
        <w:rPr>
          <w:rFonts w:hint="eastAsia" w:ascii="仿宋_GB2312" w:hAnsi="微软雅黑" w:eastAsia="仿宋_GB2312" w:cs="Times New Roman"/>
          <w:b/>
          <w:spacing w:val="0"/>
          <w:sz w:val="32"/>
          <w:szCs w:val="32"/>
          <w:lang w:val="en-US" w:eastAsia="zh-CN"/>
        </w:rPr>
        <w:t>（一）基本支出经费收支预决算情况</w:t>
      </w:r>
      <w:bookmarkEnd w:id="1"/>
      <w:bookmarkEnd w:id="2"/>
      <w:bookmarkEnd w:id="3"/>
      <w:bookmarkEnd w:id="4"/>
      <w:bookmarkEnd w:id="5"/>
      <w:bookmarkEnd w:id="6"/>
      <w:bookmarkEnd w:id="7"/>
      <w:bookmarkEnd w:id="8"/>
    </w:p>
    <w:p>
      <w:pPr>
        <w:ind w:firstLine="640" w:firstLineChars="200"/>
        <w:rPr>
          <w:rFonts w:hint="eastAsia" w:ascii="仿宋_GB2312" w:hAnsi="宋体" w:eastAsia="仿宋_GB2312" w:cs="宋体"/>
          <w:color w:val="000000"/>
          <w:spacing w:val="0"/>
          <w:kern w:val="0"/>
          <w:sz w:val="32"/>
          <w:szCs w:val="32"/>
        </w:rPr>
      </w:pPr>
      <w:r>
        <w:rPr>
          <w:rFonts w:hint="eastAsia" w:ascii="仿宋_GB2312" w:hAnsi="宋体" w:eastAsia="仿宋_GB2312" w:cs="宋体"/>
          <w:color w:val="000000"/>
          <w:spacing w:val="0"/>
          <w:kern w:val="0"/>
          <w:sz w:val="32"/>
          <w:szCs w:val="32"/>
        </w:rPr>
        <w:t>本年年初基本支出预算收入</w:t>
      </w:r>
      <w:r>
        <w:rPr>
          <w:rFonts w:hint="eastAsia" w:ascii="仿宋_GB2312" w:hAnsi="宋体" w:eastAsia="仿宋_GB2312" w:cs="宋体"/>
          <w:color w:val="auto"/>
          <w:spacing w:val="0"/>
          <w:kern w:val="0"/>
          <w:sz w:val="32"/>
          <w:szCs w:val="32"/>
          <w:highlight w:val="none"/>
          <w:lang w:val="en-US" w:eastAsia="zh-CN"/>
        </w:rPr>
        <w:t>12087.47</w:t>
      </w:r>
      <w:r>
        <w:rPr>
          <w:rFonts w:hint="eastAsia" w:ascii="仿宋_GB2312" w:hAnsi="宋体" w:eastAsia="仿宋_GB2312" w:cs="宋体"/>
          <w:color w:val="auto"/>
          <w:spacing w:val="0"/>
          <w:kern w:val="0"/>
          <w:sz w:val="32"/>
          <w:szCs w:val="32"/>
          <w:highlight w:val="none"/>
        </w:rPr>
        <w:t>万元，</w:t>
      </w:r>
      <w:r>
        <w:rPr>
          <w:rFonts w:hint="eastAsia" w:ascii="仿宋_GB2312" w:hAnsi="宋体" w:eastAsia="仿宋_GB2312" w:cs="宋体"/>
          <w:color w:val="auto"/>
          <w:spacing w:val="0"/>
          <w:kern w:val="0"/>
          <w:sz w:val="32"/>
          <w:szCs w:val="32"/>
          <w:highlight w:val="none"/>
          <w:lang w:eastAsia="zh-CN"/>
        </w:rPr>
        <w:t>基本支出决算</w:t>
      </w:r>
      <w:r>
        <w:rPr>
          <w:rFonts w:hint="eastAsia" w:ascii="仿宋_GB2312" w:hAnsi="宋体" w:eastAsia="仿宋_GB2312" w:cs="宋体"/>
          <w:color w:val="auto"/>
          <w:spacing w:val="0"/>
          <w:kern w:val="0"/>
          <w:sz w:val="32"/>
          <w:szCs w:val="32"/>
          <w:highlight w:val="none"/>
          <w:lang w:val="en-US" w:eastAsia="zh-CN"/>
        </w:rPr>
        <w:t>12244.32万元，决算支出中人员经费占比92.26%，商品和服务支出占比7.74%。</w:t>
      </w:r>
      <w:r>
        <w:rPr>
          <w:rFonts w:hint="eastAsia" w:ascii="仿宋_GB2312" w:hAnsi="宋体" w:eastAsia="仿宋_GB2312" w:cs="宋体"/>
          <w:color w:val="000000"/>
          <w:spacing w:val="0"/>
          <w:kern w:val="0"/>
          <w:sz w:val="32"/>
          <w:szCs w:val="32"/>
        </w:rPr>
        <w:t>各款级经费科目预算执行情况如下：</w:t>
      </w:r>
    </w:p>
    <w:p>
      <w:pPr>
        <w:pStyle w:val="2"/>
        <w:jc w:val="right"/>
        <w:rPr>
          <w:rFonts w:hint="eastAsia"/>
        </w:rPr>
      </w:pPr>
      <w:r>
        <w:rPr>
          <w:rFonts w:hint="default" w:ascii="Times New Roman" w:hAnsi="Times New Roman" w:eastAsia="仿宋_GB2312" w:cs="Times New Roman"/>
          <w:sz w:val="24"/>
          <w:szCs w:val="24"/>
          <w:lang w:bidi="ar"/>
        </w:rPr>
        <w:t>金额单位：万元</w:t>
      </w:r>
    </w:p>
    <w:tbl>
      <w:tblPr>
        <w:tblStyle w:val="10"/>
        <w:tblpPr w:leftFromText="180" w:rightFromText="180" w:vertAnchor="text" w:horzAnchor="page" w:tblpXSpec="center" w:tblpY="60"/>
        <w:tblOverlap w:val="never"/>
        <w:tblW w:w="8537" w:type="dxa"/>
        <w:jc w:val="center"/>
        <w:tblBorders>
          <w:top w:val="single" w:color="000000" w:sz="12" w:space="0"/>
          <w:left w:val="none" w:color="auto" w:sz="0" w:space="0"/>
          <w:bottom w:val="single" w:color="000000" w:sz="12" w:space="0"/>
          <w:right w:val="none" w:color="auto" w:sz="0" w:space="0"/>
          <w:insideH w:val="dashSmallGap" w:color="000000" w:sz="4" w:space="0"/>
          <w:insideV w:val="dashSmallGap" w:color="000000" w:sz="4" w:space="0"/>
        </w:tblBorders>
        <w:tblLayout w:type="fixed"/>
        <w:tblCellMar>
          <w:top w:w="0" w:type="dxa"/>
          <w:left w:w="108" w:type="dxa"/>
          <w:bottom w:w="0" w:type="dxa"/>
          <w:right w:w="108" w:type="dxa"/>
        </w:tblCellMar>
      </w:tblPr>
      <w:tblGrid>
        <w:gridCol w:w="1778"/>
        <w:gridCol w:w="1619"/>
        <w:gridCol w:w="1694"/>
        <w:gridCol w:w="1694"/>
        <w:gridCol w:w="1752"/>
      </w:tblGrid>
      <w:tr>
        <w:tblPrEx>
          <w:tblBorders>
            <w:top w:val="single" w:color="000000" w:sz="12" w:space="0"/>
            <w:left w:val="none" w:color="auto" w:sz="0" w:space="0"/>
            <w:bottom w:val="single" w:color="000000" w:sz="12" w:space="0"/>
            <w:right w:val="none" w:color="auto" w:sz="0" w:space="0"/>
            <w:insideH w:val="dashSmallGap" w:color="000000" w:sz="4" w:space="0"/>
            <w:insideV w:val="dashSmallGap" w:color="000000" w:sz="4" w:space="0"/>
          </w:tblBorders>
          <w:tblCellMar>
            <w:top w:w="0" w:type="dxa"/>
            <w:left w:w="108" w:type="dxa"/>
            <w:bottom w:w="0" w:type="dxa"/>
            <w:right w:w="108" w:type="dxa"/>
          </w:tblCellMar>
        </w:tblPrEx>
        <w:trPr>
          <w:trHeight w:val="572" w:hRule="atLeast"/>
          <w:jc w:val="center"/>
        </w:trPr>
        <w:tc>
          <w:tcPr>
            <w:tcW w:w="1778" w:type="dxa"/>
            <w:tcBorders>
              <w:tl2br w:val="nil"/>
              <w:tr2bl w:val="nil"/>
            </w:tcBorders>
            <w:noWrap/>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pacing w:val="0"/>
                <w:kern w:val="0"/>
                <w:sz w:val="21"/>
                <w:szCs w:val="21"/>
              </w:rPr>
            </w:pPr>
            <w:bookmarkStart w:id="9" w:name="_Toc19319"/>
            <w:bookmarkStart w:id="10" w:name="_Toc5344"/>
            <w:bookmarkStart w:id="11" w:name="_Toc43020968"/>
            <w:bookmarkStart w:id="12" w:name="_Toc678"/>
            <w:bookmarkStart w:id="13" w:name="_Toc27992"/>
            <w:bookmarkStart w:id="14" w:name="_Toc2172"/>
            <w:bookmarkStart w:id="15" w:name="_Toc27316"/>
            <w:bookmarkStart w:id="16" w:name="_Toc3522"/>
            <w:r>
              <w:rPr>
                <w:rFonts w:hint="eastAsia" w:ascii="仿宋" w:hAnsi="仿宋" w:eastAsia="仿宋" w:cs="仿宋"/>
                <w:color w:val="000000"/>
                <w:spacing w:val="0"/>
                <w:kern w:val="0"/>
                <w:sz w:val="21"/>
                <w:szCs w:val="21"/>
              </w:rPr>
              <w:t>经济分类名称</w:t>
            </w:r>
          </w:p>
        </w:tc>
        <w:tc>
          <w:tcPr>
            <w:tcW w:w="1619"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本年</w:t>
            </w:r>
            <w:r>
              <w:rPr>
                <w:rFonts w:hint="eastAsia" w:ascii="仿宋" w:hAnsi="仿宋" w:eastAsia="仿宋" w:cs="仿宋"/>
                <w:sz w:val="21"/>
                <w:szCs w:val="21"/>
              </w:rPr>
              <w:t>预算金额</w:t>
            </w:r>
          </w:p>
        </w:tc>
        <w:tc>
          <w:tcPr>
            <w:tcW w:w="1694"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jc w:val="center"/>
              <w:textAlignment w:val="auto"/>
              <w:rPr>
                <w:rFonts w:hint="eastAsia" w:ascii="仿宋" w:hAnsi="仿宋" w:eastAsia="仿宋" w:cs="仿宋"/>
                <w:color w:val="000000"/>
                <w:spacing w:val="0"/>
                <w:kern w:val="0"/>
                <w:sz w:val="21"/>
                <w:szCs w:val="21"/>
                <w:lang w:eastAsia="zh-CN"/>
              </w:rPr>
            </w:pPr>
            <w:r>
              <w:rPr>
                <w:rFonts w:hint="eastAsia" w:ascii="仿宋" w:hAnsi="仿宋" w:eastAsia="仿宋" w:cs="仿宋"/>
                <w:color w:val="000000"/>
                <w:spacing w:val="0"/>
                <w:kern w:val="0"/>
                <w:sz w:val="21"/>
                <w:szCs w:val="21"/>
                <w:lang w:eastAsia="zh-CN"/>
              </w:rPr>
              <w:t>比重（</w:t>
            </w:r>
            <w:r>
              <w:rPr>
                <w:rFonts w:hint="eastAsia" w:ascii="仿宋" w:hAnsi="仿宋" w:eastAsia="仿宋" w:cs="仿宋"/>
                <w:color w:val="000000"/>
                <w:spacing w:val="0"/>
                <w:kern w:val="0"/>
                <w:sz w:val="21"/>
                <w:szCs w:val="21"/>
                <w:lang w:val="en-US" w:eastAsia="zh-CN"/>
              </w:rPr>
              <w:t>%</w:t>
            </w:r>
            <w:r>
              <w:rPr>
                <w:rFonts w:hint="eastAsia" w:ascii="仿宋" w:hAnsi="仿宋" w:eastAsia="仿宋" w:cs="仿宋"/>
                <w:color w:val="000000"/>
                <w:spacing w:val="0"/>
                <w:kern w:val="0"/>
                <w:sz w:val="21"/>
                <w:szCs w:val="21"/>
                <w:lang w:eastAsia="zh-CN"/>
              </w:rPr>
              <w:t>）</w:t>
            </w:r>
          </w:p>
        </w:tc>
        <w:tc>
          <w:tcPr>
            <w:tcW w:w="1694"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000000"/>
                <w:spacing w:val="0"/>
                <w:kern w:val="0"/>
                <w:sz w:val="21"/>
                <w:szCs w:val="21"/>
                <w:lang w:val="en-US" w:eastAsia="zh-CN" w:bidi="ar-SA"/>
              </w:rPr>
            </w:pPr>
            <w:r>
              <w:rPr>
                <w:rFonts w:hint="eastAsia" w:ascii="仿宋" w:hAnsi="仿宋" w:eastAsia="仿宋" w:cs="仿宋"/>
                <w:sz w:val="21"/>
                <w:szCs w:val="21"/>
                <w:lang w:eastAsia="zh-CN"/>
              </w:rPr>
              <w:t>决算支出金额</w:t>
            </w:r>
          </w:p>
        </w:tc>
        <w:tc>
          <w:tcPr>
            <w:tcW w:w="1752"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00" w:lineRule="exact"/>
              <w:ind w:left="0" w:right="0" w:firstLine="420" w:firstLineChars="200"/>
              <w:jc w:val="center"/>
              <w:textAlignment w:val="auto"/>
              <w:rPr>
                <w:rFonts w:hint="eastAsia" w:ascii="仿宋" w:hAnsi="仿宋" w:eastAsia="仿宋" w:cs="仿宋"/>
                <w:color w:val="000000"/>
                <w:spacing w:val="0"/>
                <w:kern w:val="0"/>
                <w:sz w:val="21"/>
                <w:szCs w:val="21"/>
                <w:lang w:eastAsia="zh-CN"/>
              </w:rPr>
            </w:pPr>
            <w:r>
              <w:rPr>
                <w:rFonts w:hint="eastAsia" w:ascii="仿宋" w:hAnsi="仿宋" w:eastAsia="仿宋" w:cs="仿宋"/>
                <w:color w:val="000000"/>
                <w:spacing w:val="0"/>
                <w:kern w:val="0"/>
                <w:sz w:val="21"/>
                <w:szCs w:val="21"/>
                <w:lang w:eastAsia="zh-CN"/>
              </w:rPr>
              <w:t>比重（</w:t>
            </w:r>
            <w:r>
              <w:rPr>
                <w:rFonts w:hint="eastAsia" w:ascii="仿宋" w:hAnsi="仿宋" w:eastAsia="仿宋" w:cs="仿宋"/>
                <w:color w:val="000000"/>
                <w:spacing w:val="0"/>
                <w:kern w:val="0"/>
                <w:sz w:val="21"/>
                <w:szCs w:val="21"/>
                <w:lang w:val="en-US" w:eastAsia="zh-CN"/>
              </w:rPr>
              <w:t>%</w:t>
            </w:r>
            <w:r>
              <w:rPr>
                <w:rFonts w:hint="eastAsia" w:ascii="仿宋" w:hAnsi="仿宋" w:eastAsia="仿宋" w:cs="仿宋"/>
                <w:color w:val="000000"/>
                <w:spacing w:val="0"/>
                <w:kern w:val="0"/>
                <w:sz w:val="21"/>
                <w:szCs w:val="21"/>
                <w:lang w:eastAsia="zh-CN"/>
              </w:rPr>
              <w:t>）</w:t>
            </w:r>
          </w:p>
        </w:tc>
      </w:tr>
      <w:tr>
        <w:tblPrEx>
          <w:tblBorders>
            <w:top w:val="single" w:color="000000" w:sz="12" w:space="0"/>
            <w:left w:val="none" w:color="auto" w:sz="0" w:space="0"/>
            <w:bottom w:val="single" w:color="000000" w:sz="12" w:space="0"/>
            <w:right w:val="none" w:color="auto" w:sz="0" w:space="0"/>
            <w:insideH w:val="dashSmallGap" w:color="000000" w:sz="4" w:space="0"/>
            <w:insideV w:val="dashSmallGap" w:color="000000" w:sz="4" w:space="0"/>
          </w:tblBorders>
          <w:tblCellMar>
            <w:top w:w="0" w:type="dxa"/>
            <w:left w:w="108" w:type="dxa"/>
            <w:bottom w:w="0" w:type="dxa"/>
            <w:right w:w="108" w:type="dxa"/>
          </w:tblCellMar>
        </w:tblPrEx>
        <w:trPr>
          <w:trHeight w:val="537" w:hRule="atLeast"/>
          <w:jc w:val="center"/>
        </w:trPr>
        <w:tc>
          <w:tcPr>
            <w:tcW w:w="1778" w:type="dxa"/>
            <w:tcBorders>
              <w:tl2br w:val="nil"/>
              <w:tr2bl w:val="nil"/>
            </w:tcBorders>
            <w:noWrap/>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pacing w:val="0"/>
                <w:kern w:val="0"/>
                <w:sz w:val="21"/>
                <w:szCs w:val="21"/>
                <w:lang w:eastAsia="zh-CN"/>
              </w:rPr>
            </w:pPr>
            <w:r>
              <w:rPr>
                <w:rFonts w:hint="eastAsia" w:ascii="仿宋" w:hAnsi="仿宋" w:eastAsia="仿宋" w:cs="仿宋"/>
                <w:color w:val="000000"/>
                <w:spacing w:val="0"/>
                <w:kern w:val="0"/>
                <w:sz w:val="21"/>
                <w:szCs w:val="21"/>
                <w:lang w:eastAsia="zh-CN"/>
              </w:rPr>
              <w:t>人员经费</w:t>
            </w:r>
          </w:p>
        </w:tc>
        <w:tc>
          <w:tcPr>
            <w:tcW w:w="1619"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center"/>
              <w:rPr>
                <w:rFonts w:hint="eastAsia" w:ascii="仿宋" w:hAnsi="仿宋" w:eastAsia="仿宋" w:cs="仿宋"/>
                <w:color w:val="000000"/>
                <w:spacing w:val="0"/>
                <w:kern w:val="0"/>
                <w:sz w:val="21"/>
                <w:szCs w:val="21"/>
                <w:lang w:val="en-US" w:eastAsia="zh-CN"/>
              </w:rPr>
            </w:pPr>
            <w:r>
              <w:rPr>
                <w:rFonts w:hint="eastAsia" w:ascii="仿宋" w:hAnsi="仿宋" w:eastAsia="仿宋" w:cs="仿宋"/>
                <w:color w:val="000000"/>
                <w:spacing w:val="0"/>
                <w:kern w:val="0"/>
                <w:sz w:val="21"/>
                <w:szCs w:val="21"/>
                <w:lang w:val="en-US" w:eastAsia="zh-CN"/>
              </w:rPr>
              <w:t>11320.97</w:t>
            </w:r>
          </w:p>
        </w:tc>
        <w:tc>
          <w:tcPr>
            <w:tcW w:w="169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center"/>
              <w:rPr>
                <w:rFonts w:hint="eastAsia" w:ascii="仿宋" w:hAnsi="仿宋" w:eastAsia="仿宋" w:cs="仿宋"/>
                <w:color w:val="000000"/>
                <w:spacing w:val="0"/>
                <w:kern w:val="0"/>
                <w:sz w:val="21"/>
                <w:szCs w:val="21"/>
                <w:lang w:val="en-US" w:eastAsia="zh-CN"/>
              </w:rPr>
            </w:pPr>
            <w:r>
              <w:rPr>
                <w:rFonts w:hint="eastAsia" w:ascii="仿宋" w:hAnsi="仿宋" w:eastAsia="仿宋" w:cs="仿宋"/>
                <w:color w:val="000000"/>
                <w:spacing w:val="0"/>
                <w:kern w:val="0"/>
                <w:sz w:val="21"/>
                <w:szCs w:val="21"/>
                <w:lang w:val="en-US" w:eastAsia="zh-CN"/>
              </w:rPr>
              <w:t>93.66</w:t>
            </w:r>
          </w:p>
        </w:tc>
        <w:tc>
          <w:tcPr>
            <w:tcW w:w="1694"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center"/>
              <w:rPr>
                <w:rFonts w:hint="eastAsia" w:ascii="仿宋" w:hAnsi="仿宋" w:eastAsia="仿宋" w:cs="仿宋"/>
                <w:color w:val="000000"/>
                <w:spacing w:val="0"/>
                <w:kern w:val="0"/>
                <w:sz w:val="21"/>
                <w:szCs w:val="21"/>
                <w:lang w:val="en-US" w:eastAsia="zh-CN" w:bidi="ar-SA"/>
              </w:rPr>
            </w:pPr>
            <w:r>
              <w:rPr>
                <w:rFonts w:hint="eastAsia" w:ascii="仿宋" w:hAnsi="仿宋" w:eastAsia="仿宋" w:cs="仿宋"/>
                <w:color w:val="000000"/>
                <w:spacing w:val="0"/>
                <w:kern w:val="0"/>
                <w:sz w:val="21"/>
                <w:szCs w:val="21"/>
                <w:lang w:val="en-US" w:eastAsia="zh-CN"/>
              </w:rPr>
              <w:t>11296.79</w:t>
            </w:r>
          </w:p>
        </w:tc>
        <w:tc>
          <w:tcPr>
            <w:tcW w:w="1752" w:type="dxa"/>
            <w:tcBorders>
              <w:tl2br w:val="nil"/>
              <w:tr2bl w:val="nil"/>
            </w:tcBorders>
            <w:noWrap w:val="0"/>
            <w:vAlign w:val="center"/>
          </w:tcPr>
          <w:p>
            <w:pPr>
              <w:keepNext w:val="0"/>
              <w:keepLines w:val="0"/>
              <w:suppressLineNumbers w:val="0"/>
              <w:spacing w:before="0" w:beforeAutospacing="0" w:after="0" w:afterAutospacing="0"/>
              <w:ind w:left="0" w:right="0" w:firstLine="420" w:firstLineChars="200"/>
              <w:jc w:val="center"/>
              <w:rPr>
                <w:rFonts w:hint="eastAsia" w:ascii="仿宋" w:hAnsi="仿宋" w:eastAsia="仿宋" w:cs="仿宋"/>
                <w:color w:val="000000"/>
                <w:spacing w:val="0"/>
                <w:kern w:val="0"/>
                <w:sz w:val="21"/>
                <w:szCs w:val="21"/>
                <w:lang w:val="en-US" w:eastAsia="zh-CN"/>
              </w:rPr>
            </w:pPr>
            <w:r>
              <w:rPr>
                <w:rFonts w:hint="eastAsia" w:ascii="仿宋" w:hAnsi="仿宋" w:eastAsia="仿宋" w:cs="仿宋"/>
                <w:color w:val="000000"/>
                <w:spacing w:val="0"/>
                <w:kern w:val="0"/>
                <w:sz w:val="21"/>
                <w:szCs w:val="21"/>
                <w:lang w:val="en-US" w:eastAsia="zh-CN"/>
              </w:rPr>
              <w:t>92.26</w:t>
            </w:r>
          </w:p>
        </w:tc>
      </w:tr>
      <w:tr>
        <w:tblPrEx>
          <w:tblBorders>
            <w:top w:val="single" w:color="000000" w:sz="12" w:space="0"/>
            <w:left w:val="none" w:color="auto" w:sz="0" w:space="0"/>
            <w:bottom w:val="single" w:color="000000" w:sz="12" w:space="0"/>
            <w:right w:val="none" w:color="auto" w:sz="0" w:space="0"/>
            <w:insideH w:val="dashSmallGap" w:color="000000" w:sz="4" w:space="0"/>
            <w:insideV w:val="dashSmallGap" w:color="000000" w:sz="4" w:space="0"/>
          </w:tblBorders>
          <w:tblCellMar>
            <w:top w:w="0" w:type="dxa"/>
            <w:left w:w="108" w:type="dxa"/>
            <w:bottom w:w="0" w:type="dxa"/>
            <w:right w:w="108" w:type="dxa"/>
          </w:tblCellMar>
        </w:tblPrEx>
        <w:trPr>
          <w:trHeight w:val="537" w:hRule="atLeast"/>
          <w:jc w:val="center"/>
        </w:trPr>
        <w:tc>
          <w:tcPr>
            <w:tcW w:w="1778"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pacing w:val="0"/>
                <w:kern w:val="0"/>
                <w:sz w:val="21"/>
                <w:szCs w:val="21"/>
              </w:rPr>
            </w:pPr>
            <w:r>
              <w:rPr>
                <w:rFonts w:hint="eastAsia" w:ascii="仿宋" w:hAnsi="仿宋" w:eastAsia="仿宋" w:cs="仿宋"/>
                <w:color w:val="000000"/>
                <w:spacing w:val="0"/>
                <w:kern w:val="0"/>
                <w:sz w:val="21"/>
                <w:szCs w:val="21"/>
              </w:rPr>
              <w:t>商品和服务支出</w:t>
            </w:r>
          </w:p>
        </w:tc>
        <w:tc>
          <w:tcPr>
            <w:tcW w:w="1619" w:type="dxa"/>
            <w:tcBorders>
              <w:tl2br w:val="nil"/>
              <w:tr2bl w:val="nil"/>
            </w:tcBorders>
            <w:noWrap/>
            <w:vAlign w:val="center"/>
          </w:tcPr>
          <w:p>
            <w:pPr>
              <w:keepNext w:val="0"/>
              <w:keepLines w:val="0"/>
              <w:suppressLineNumbers w:val="0"/>
              <w:spacing w:before="0" w:beforeAutospacing="0" w:after="0" w:afterAutospacing="0"/>
              <w:ind w:left="0" w:right="0" w:firstLine="420" w:firstLineChars="200"/>
              <w:jc w:val="center"/>
              <w:rPr>
                <w:rFonts w:hint="eastAsia" w:ascii="仿宋" w:hAnsi="仿宋" w:eastAsia="仿宋" w:cs="仿宋"/>
                <w:color w:val="000000"/>
                <w:spacing w:val="0"/>
                <w:kern w:val="0"/>
                <w:sz w:val="21"/>
                <w:szCs w:val="21"/>
                <w:lang w:val="en-US" w:eastAsia="zh-CN"/>
              </w:rPr>
            </w:pPr>
            <w:r>
              <w:rPr>
                <w:rFonts w:hint="eastAsia" w:ascii="仿宋" w:hAnsi="仿宋" w:eastAsia="仿宋" w:cs="仿宋"/>
                <w:color w:val="000000"/>
                <w:spacing w:val="0"/>
                <w:kern w:val="0"/>
                <w:sz w:val="21"/>
                <w:szCs w:val="21"/>
                <w:lang w:val="en-US" w:eastAsia="zh-CN"/>
              </w:rPr>
              <w:t>766.50</w:t>
            </w:r>
          </w:p>
        </w:tc>
        <w:tc>
          <w:tcPr>
            <w:tcW w:w="1694" w:type="dxa"/>
            <w:tcBorders>
              <w:tl2br w:val="nil"/>
              <w:tr2bl w:val="nil"/>
            </w:tcBorders>
            <w:noWrap/>
            <w:vAlign w:val="center"/>
          </w:tcPr>
          <w:p>
            <w:pPr>
              <w:keepNext w:val="0"/>
              <w:keepLines w:val="0"/>
              <w:suppressLineNumbers w:val="0"/>
              <w:spacing w:before="0" w:beforeAutospacing="0" w:after="0" w:afterAutospacing="0"/>
              <w:ind w:left="0" w:right="0" w:firstLine="420" w:firstLineChars="200"/>
              <w:jc w:val="center"/>
              <w:rPr>
                <w:rFonts w:hint="eastAsia" w:ascii="仿宋" w:hAnsi="仿宋" w:eastAsia="仿宋" w:cs="仿宋"/>
                <w:color w:val="000000"/>
                <w:spacing w:val="0"/>
                <w:kern w:val="0"/>
                <w:sz w:val="21"/>
                <w:szCs w:val="21"/>
                <w:lang w:val="en-US" w:eastAsia="zh-CN"/>
              </w:rPr>
            </w:pPr>
            <w:r>
              <w:rPr>
                <w:rFonts w:hint="eastAsia" w:ascii="仿宋" w:hAnsi="仿宋" w:eastAsia="仿宋" w:cs="仿宋"/>
                <w:color w:val="000000"/>
                <w:spacing w:val="0"/>
                <w:kern w:val="0"/>
                <w:sz w:val="21"/>
                <w:szCs w:val="21"/>
                <w:lang w:val="en-US" w:eastAsia="zh-CN"/>
              </w:rPr>
              <w:t>6.34</w:t>
            </w:r>
          </w:p>
        </w:tc>
        <w:tc>
          <w:tcPr>
            <w:tcW w:w="1694" w:type="dxa"/>
            <w:tcBorders>
              <w:tl2br w:val="nil"/>
              <w:tr2bl w:val="nil"/>
            </w:tcBorders>
            <w:noWrap/>
            <w:vAlign w:val="center"/>
          </w:tcPr>
          <w:p>
            <w:pPr>
              <w:keepNext w:val="0"/>
              <w:keepLines w:val="0"/>
              <w:suppressLineNumbers w:val="0"/>
              <w:spacing w:before="0" w:beforeAutospacing="0" w:after="0" w:afterAutospacing="0"/>
              <w:ind w:left="0" w:right="0" w:firstLine="420" w:firstLineChars="200"/>
              <w:jc w:val="center"/>
              <w:rPr>
                <w:rFonts w:hint="eastAsia" w:ascii="仿宋" w:hAnsi="仿宋" w:eastAsia="仿宋" w:cs="仿宋"/>
                <w:color w:val="000000"/>
                <w:spacing w:val="0"/>
                <w:kern w:val="0"/>
                <w:sz w:val="21"/>
                <w:szCs w:val="21"/>
                <w:lang w:val="en-US" w:eastAsia="zh-CN" w:bidi="ar-SA"/>
              </w:rPr>
            </w:pPr>
            <w:r>
              <w:rPr>
                <w:rFonts w:hint="eastAsia" w:ascii="仿宋" w:hAnsi="仿宋" w:eastAsia="仿宋" w:cs="仿宋"/>
                <w:color w:val="000000"/>
                <w:spacing w:val="0"/>
                <w:kern w:val="0"/>
                <w:sz w:val="21"/>
                <w:szCs w:val="21"/>
                <w:lang w:val="en-US" w:eastAsia="zh-CN"/>
              </w:rPr>
              <w:t>947.53</w:t>
            </w:r>
          </w:p>
        </w:tc>
        <w:tc>
          <w:tcPr>
            <w:tcW w:w="1752" w:type="dxa"/>
            <w:tcBorders>
              <w:tl2br w:val="nil"/>
              <w:tr2bl w:val="nil"/>
            </w:tcBorders>
            <w:noWrap/>
            <w:vAlign w:val="center"/>
          </w:tcPr>
          <w:p>
            <w:pPr>
              <w:keepNext w:val="0"/>
              <w:keepLines w:val="0"/>
              <w:suppressLineNumbers w:val="0"/>
              <w:spacing w:before="0" w:beforeAutospacing="0" w:after="0" w:afterAutospacing="0"/>
              <w:ind w:left="0" w:right="0" w:firstLine="420" w:firstLineChars="200"/>
              <w:jc w:val="center"/>
              <w:rPr>
                <w:rFonts w:hint="eastAsia" w:ascii="仿宋" w:hAnsi="仿宋" w:eastAsia="仿宋" w:cs="仿宋"/>
                <w:color w:val="000000"/>
                <w:spacing w:val="0"/>
                <w:kern w:val="0"/>
                <w:sz w:val="21"/>
                <w:szCs w:val="21"/>
                <w:lang w:val="en-US" w:eastAsia="zh-CN"/>
              </w:rPr>
            </w:pPr>
            <w:r>
              <w:rPr>
                <w:rFonts w:hint="eastAsia" w:ascii="仿宋" w:hAnsi="仿宋" w:eastAsia="仿宋" w:cs="仿宋"/>
                <w:color w:val="000000"/>
                <w:spacing w:val="0"/>
                <w:kern w:val="0"/>
                <w:sz w:val="21"/>
                <w:szCs w:val="21"/>
                <w:lang w:val="en-US" w:eastAsia="zh-CN"/>
              </w:rPr>
              <w:t>7.74</w:t>
            </w:r>
          </w:p>
        </w:tc>
      </w:tr>
      <w:tr>
        <w:tblPrEx>
          <w:tblBorders>
            <w:top w:val="single" w:color="000000" w:sz="12" w:space="0"/>
            <w:left w:val="none" w:color="auto" w:sz="0" w:space="0"/>
            <w:bottom w:val="single" w:color="000000" w:sz="12" w:space="0"/>
            <w:right w:val="none" w:color="auto" w:sz="0" w:space="0"/>
            <w:insideH w:val="dashSmallGap" w:color="000000" w:sz="4" w:space="0"/>
            <w:insideV w:val="dashSmallGap" w:color="000000" w:sz="4" w:space="0"/>
          </w:tblBorders>
          <w:tblCellMar>
            <w:top w:w="0" w:type="dxa"/>
            <w:left w:w="108" w:type="dxa"/>
            <w:bottom w:w="0" w:type="dxa"/>
            <w:right w:w="108" w:type="dxa"/>
          </w:tblCellMar>
        </w:tblPrEx>
        <w:trPr>
          <w:trHeight w:val="589" w:hRule="atLeast"/>
          <w:jc w:val="center"/>
        </w:trPr>
        <w:tc>
          <w:tcPr>
            <w:tcW w:w="1778" w:type="dxa"/>
            <w:tcBorders>
              <w:tl2br w:val="nil"/>
              <w:tr2bl w:val="nil"/>
            </w:tcBorders>
            <w:noWrap/>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pacing w:val="0"/>
                <w:kern w:val="0"/>
                <w:sz w:val="21"/>
                <w:szCs w:val="21"/>
              </w:rPr>
            </w:pPr>
            <w:r>
              <w:rPr>
                <w:rFonts w:hint="eastAsia" w:ascii="仿宋" w:hAnsi="仿宋" w:eastAsia="仿宋" w:cs="仿宋"/>
                <w:color w:val="000000"/>
                <w:spacing w:val="0"/>
                <w:kern w:val="0"/>
                <w:sz w:val="21"/>
                <w:szCs w:val="21"/>
                <w:lang w:eastAsia="zh-CN"/>
              </w:rPr>
              <w:t>基本支出</w:t>
            </w:r>
            <w:r>
              <w:rPr>
                <w:rFonts w:hint="eastAsia" w:ascii="仿宋" w:hAnsi="仿宋" w:eastAsia="仿宋" w:cs="仿宋"/>
                <w:color w:val="000000"/>
                <w:spacing w:val="0"/>
                <w:kern w:val="0"/>
                <w:sz w:val="21"/>
                <w:szCs w:val="21"/>
              </w:rPr>
              <w:t>合计</w:t>
            </w:r>
          </w:p>
        </w:tc>
        <w:tc>
          <w:tcPr>
            <w:tcW w:w="1619" w:type="dxa"/>
            <w:tcBorders>
              <w:tl2br w:val="nil"/>
              <w:tr2bl w:val="nil"/>
            </w:tcBorders>
            <w:noWrap/>
            <w:vAlign w:val="center"/>
          </w:tcPr>
          <w:p>
            <w:pPr>
              <w:keepNext w:val="0"/>
              <w:keepLines w:val="0"/>
              <w:suppressLineNumbers w:val="0"/>
              <w:spacing w:before="0" w:beforeAutospacing="0" w:after="0" w:afterAutospacing="0"/>
              <w:ind w:left="0" w:right="0" w:firstLine="420" w:firstLineChars="200"/>
              <w:jc w:val="center"/>
              <w:rPr>
                <w:rFonts w:hint="eastAsia" w:ascii="仿宋" w:hAnsi="仿宋" w:eastAsia="仿宋" w:cs="仿宋"/>
                <w:color w:val="000000"/>
                <w:spacing w:val="0"/>
                <w:kern w:val="0"/>
                <w:sz w:val="21"/>
                <w:szCs w:val="21"/>
                <w:lang w:val="en-US" w:eastAsia="zh-CN"/>
              </w:rPr>
            </w:pPr>
            <w:r>
              <w:rPr>
                <w:rFonts w:hint="eastAsia" w:ascii="仿宋" w:hAnsi="仿宋" w:eastAsia="仿宋" w:cs="仿宋"/>
                <w:color w:val="000000"/>
                <w:spacing w:val="0"/>
                <w:kern w:val="0"/>
                <w:sz w:val="21"/>
                <w:szCs w:val="21"/>
                <w:lang w:val="en-US" w:eastAsia="zh-CN"/>
              </w:rPr>
              <w:t>12087.47</w:t>
            </w:r>
          </w:p>
        </w:tc>
        <w:tc>
          <w:tcPr>
            <w:tcW w:w="1694" w:type="dxa"/>
            <w:tcBorders>
              <w:tl2br w:val="nil"/>
              <w:tr2bl w:val="nil"/>
            </w:tcBorders>
            <w:noWrap/>
            <w:vAlign w:val="center"/>
          </w:tcPr>
          <w:p>
            <w:pPr>
              <w:keepNext w:val="0"/>
              <w:keepLines w:val="0"/>
              <w:suppressLineNumbers w:val="0"/>
              <w:spacing w:before="0" w:beforeAutospacing="0" w:after="0" w:afterAutospacing="0"/>
              <w:ind w:left="0" w:right="0" w:firstLine="420" w:firstLineChars="200"/>
              <w:jc w:val="center"/>
              <w:rPr>
                <w:rFonts w:hint="eastAsia" w:ascii="仿宋" w:hAnsi="仿宋" w:eastAsia="仿宋" w:cs="仿宋"/>
                <w:color w:val="000000"/>
                <w:spacing w:val="0"/>
                <w:kern w:val="0"/>
                <w:sz w:val="21"/>
                <w:szCs w:val="21"/>
                <w:lang w:val="en-US" w:eastAsia="zh-CN"/>
              </w:rPr>
            </w:pPr>
          </w:p>
        </w:tc>
        <w:tc>
          <w:tcPr>
            <w:tcW w:w="1694" w:type="dxa"/>
            <w:tcBorders>
              <w:tl2br w:val="nil"/>
              <w:tr2bl w:val="nil"/>
            </w:tcBorders>
            <w:noWrap/>
            <w:vAlign w:val="center"/>
          </w:tcPr>
          <w:p>
            <w:pPr>
              <w:keepNext w:val="0"/>
              <w:keepLines w:val="0"/>
              <w:suppressLineNumbers w:val="0"/>
              <w:spacing w:before="0" w:beforeAutospacing="0" w:after="0" w:afterAutospacing="0"/>
              <w:ind w:left="0" w:right="0" w:firstLine="420" w:firstLineChars="200"/>
              <w:jc w:val="center"/>
              <w:rPr>
                <w:rFonts w:hint="eastAsia" w:ascii="仿宋" w:hAnsi="仿宋" w:eastAsia="仿宋" w:cs="仿宋"/>
                <w:color w:val="000000"/>
                <w:spacing w:val="0"/>
                <w:kern w:val="0"/>
                <w:sz w:val="21"/>
                <w:szCs w:val="21"/>
                <w:lang w:val="en-US" w:eastAsia="zh-CN" w:bidi="ar-SA"/>
              </w:rPr>
            </w:pPr>
            <w:r>
              <w:rPr>
                <w:rFonts w:hint="eastAsia" w:ascii="仿宋" w:hAnsi="仿宋" w:eastAsia="仿宋" w:cs="仿宋"/>
                <w:color w:val="000000"/>
                <w:spacing w:val="0"/>
                <w:kern w:val="0"/>
                <w:sz w:val="21"/>
                <w:szCs w:val="21"/>
                <w:lang w:val="en-US" w:eastAsia="zh-CN"/>
              </w:rPr>
              <w:t>12244.32</w:t>
            </w:r>
          </w:p>
        </w:tc>
        <w:tc>
          <w:tcPr>
            <w:tcW w:w="1752" w:type="dxa"/>
            <w:tcBorders>
              <w:tl2br w:val="nil"/>
              <w:tr2bl w:val="nil"/>
            </w:tcBorders>
            <w:noWrap/>
            <w:vAlign w:val="center"/>
          </w:tcPr>
          <w:p>
            <w:pPr>
              <w:keepNext w:val="0"/>
              <w:keepLines w:val="0"/>
              <w:suppressLineNumbers w:val="0"/>
              <w:spacing w:before="0" w:beforeAutospacing="0" w:after="0" w:afterAutospacing="0"/>
              <w:ind w:left="0" w:right="0" w:firstLine="420" w:firstLineChars="200"/>
              <w:jc w:val="center"/>
              <w:rPr>
                <w:rFonts w:hint="eastAsia" w:ascii="仿宋" w:hAnsi="仿宋" w:eastAsia="仿宋" w:cs="仿宋"/>
                <w:color w:val="000000"/>
                <w:spacing w:val="0"/>
                <w:kern w:val="0"/>
                <w:sz w:val="21"/>
                <w:szCs w:val="21"/>
                <w:lang w:val="en-US" w:eastAsia="zh-CN"/>
              </w:rPr>
            </w:pPr>
          </w:p>
        </w:tc>
      </w:tr>
      <w:bookmarkEnd w:id="9"/>
      <w:bookmarkEnd w:id="10"/>
      <w:bookmarkEnd w:id="11"/>
      <w:bookmarkEnd w:id="12"/>
      <w:bookmarkEnd w:id="13"/>
      <w:bookmarkEnd w:id="14"/>
      <w:bookmarkEnd w:id="15"/>
      <w:bookmarkEnd w:id="16"/>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ind w:firstLine="643" w:firstLineChars="200"/>
        <w:textAlignment w:val="auto"/>
        <w:rPr>
          <w:rFonts w:hint="eastAsia" w:ascii="仿宋_GB2312" w:hAnsi="微软雅黑" w:eastAsia="仿宋_GB2312" w:cs="Times New Roman"/>
          <w:b/>
          <w:spacing w:val="0"/>
          <w:sz w:val="32"/>
          <w:szCs w:val="32"/>
          <w:lang w:val="en-US" w:eastAsia="zh-CN"/>
        </w:rPr>
      </w:pPr>
      <w:r>
        <w:rPr>
          <w:rFonts w:hint="eastAsia" w:ascii="仿宋_GB2312" w:hAnsi="微软雅黑" w:eastAsia="仿宋_GB2312" w:cs="Times New Roman"/>
          <w:b/>
          <w:spacing w:val="0"/>
          <w:kern w:val="2"/>
          <w:sz w:val="32"/>
          <w:szCs w:val="32"/>
          <w:lang w:val="en-US" w:eastAsia="zh-CN" w:bidi="ar-SA"/>
        </w:rPr>
        <w:t>（二）</w:t>
      </w:r>
      <w:r>
        <w:rPr>
          <w:rFonts w:hint="eastAsia" w:ascii="仿宋_GB2312" w:hAnsi="微软雅黑" w:eastAsia="仿宋_GB2312" w:cs="Times New Roman"/>
          <w:b/>
          <w:spacing w:val="0"/>
          <w:sz w:val="32"/>
          <w:szCs w:val="32"/>
          <w:lang w:val="en-US" w:eastAsia="zh-CN"/>
        </w:rPr>
        <w:t>基本支出经费与去年比较</w:t>
      </w:r>
    </w:p>
    <w:p>
      <w:pPr>
        <w:pStyle w:val="2"/>
        <w:jc w:val="right"/>
        <w:rPr>
          <w:rFonts w:hint="default" w:ascii="Times New Roman" w:hAnsi="Times New Roman" w:eastAsia="仿宋_GB2312" w:cs="Times New Roman"/>
          <w:sz w:val="24"/>
          <w:szCs w:val="24"/>
          <w:lang w:bidi="ar"/>
        </w:rPr>
      </w:pPr>
    </w:p>
    <w:p>
      <w:pPr>
        <w:pStyle w:val="2"/>
        <w:jc w:val="right"/>
        <w:rPr>
          <w:rFonts w:hint="eastAsia"/>
        </w:rPr>
      </w:pPr>
      <w:r>
        <w:rPr>
          <w:rFonts w:hint="default" w:ascii="Times New Roman" w:hAnsi="Times New Roman" w:eastAsia="仿宋_GB2312" w:cs="Times New Roman"/>
          <w:sz w:val="24"/>
          <w:szCs w:val="24"/>
          <w:lang w:bidi="ar"/>
        </w:rPr>
        <w:t>金额单位：万元</w:t>
      </w:r>
    </w:p>
    <w:tbl>
      <w:tblPr>
        <w:tblStyle w:val="10"/>
        <w:tblW w:w="9736" w:type="dxa"/>
        <w:tblInd w:w="0" w:type="dxa"/>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Layout w:type="fixed"/>
        <w:tblCellMar>
          <w:top w:w="0" w:type="dxa"/>
          <w:left w:w="108" w:type="dxa"/>
          <w:bottom w:w="0" w:type="dxa"/>
          <w:right w:w="108" w:type="dxa"/>
        </w:tblCellMar>
      </w:tblPr>
      <w:tblGrid>
        <w:gridCol w:w="1292"/>
        <w:gridCol w:w="1342"/>
        <w:gridCol w:w="1564"/>
        <w:gridCol w:w="1089"/>
        <w:gridCol w:w="1172"/>
        <w:gridCol w:w="3277"/>
      </w:tblGrid>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64" w:hRule="atLeast"/>
        </w:trPr>
        <w:tc>
          <w:tcPr>
            <w:tcW w:w="1292" w:type="dxa"/>
            <w:tcBorders>
              <w:tl2br w:val="nil"/>
              <w:tr2bl w:val="nil"/>
            </w:tcBorders>
            <w:noWrap w:val="0"/>
            <w:tcMar>
              <w:left w:w="0" w:type="dxa"/>
              <w:right w:w="0"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指标</w:t>
            </w:r>
          </w:p>
        </w:tc>
        <w:tc>
          <w:tcPr>
            <w:tcW w:w="134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2020年</w:t>
            </w:r>
            <w:r>
              <w:rPr>
                <w:rFonts w:hint="default" w:ascii="Times New Roman" w:hAnsi="Times New Roman" w:eastAsia="仿宋" w:cs="Times New Roman"/>
                <w:color w:val="000000"/>
                <w:spacing w:val="0"/>
                <w:kern w:val="0"/>
                <w:sz w:val="21"/>
                <w:szCs w:val="21"/>
                <w:lang w:eastAsia="zh-CN"/>
              </w:rPr>
              <w:t>决算</w:t>
            </w:r>
          </w:p>
        </w:tc>
        <w:tc>
          <w:tcPr>
            <w:tcW w:w="1564"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val="en-US" w:eastAsia="zh-CN"/>
              </w:rPr>
              <w:t>2021年决算</w:t>
            </w:r>
          </w:p>
        </w:tc>
        <w:tc>
          <w:tcPr>
            <w:tcW w:w="1089"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增减额</w:t>
            </w:r>
          </w:p>
        </w:tc>
        <w:tc>
          <w:tcPr>
            <w:tcW w:w="117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eastAsia="zh-CN"/>
              </w:rPr>
              <w:t>增减（</w:t>
            </w:r>
            <w:r>
              <w:rPr>
                <w:rFonts w:hint="default" w:ascii="Times New Roman" w:hAnsi="Times New Roman" w:eastAsia="仿宋" w:cs="Times New Roman"/>
                <w:color w:val="000000"/>
                <w:spacing w:val="0"/>
                <w:kern w:val="0"/>
                <w:sz w:val="21"/>
                <w:szCs w:val="21"/>
                <w:lang w:val="en-US" w:eastAsia="zh-CN"/>
              </w:rPr>
              <w:t>%</w:t>
            </w:r>
            <w:r>
              <w:rPr>
                <w:rFonts w:hint="default" w:ascii="Times New Roman" w:hAnsi="Times New Roman" w:eastAsia="仿宋" w:cs="Times New Roman"/>
                <w:color w:val="000000"/>
                <w:spacing w:val="0"/>
                <w:kern w:val="0"/>
                <w:sz w:val="21"/>
                <w:szCs w:val="21"/>
                <w:lang w:eastAsia="zh-CN"/>
              </w:rPr>
              <w:t>）</w:t>
            </w:r>
          </w:p>
        </w:tc>
        <w:tc>
          <w:tcPr>
            <w:tcW w:w="3277"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原因</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592" w:hRule="atLeast"/>
        </w:trPr>
        <w:tc>
          <w:tcPr>
            <w:tcW w:w="1292" w:type="dxa"/>
            <w:tcBorders>
              <w:tl2br w:val="nil"/>
              <w:tr2bl w:val="nil"/>
            </w:tcBorders>
            <w:noWrap w:val="0"/>
            <w:tcMar>
              <w:left w:w="0" w:type="dxa"/>
              <w:right w:w="0"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基本支出</w:t>
            </w:r>
          </w:p>
        </w:tc>
        <w:tc>
          <w:tcPr>
            <w:tcW w:w="134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11686.43</w:t>
            </w:r>
          </w:p>
        </w:tc>
        <w:tc>
          <w:tcPr>
            <w:tcW w:w="1564"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12244.32</w:t>
            </w:r>
          </w:p>
        </w:tc>
        <w:tc>
          <w:tcPr>
            <w:tcW w:w="1089"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557.89</w:t>
            </w:r>
          </w:p>
        </w:tc>
        <w:tc>
          <w:tcPr>
            <w:tcW w:w="117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4.77</w:t>
            </w:r>
          </w:p>
        </w:tc>
        <w:tc>
          <w:tcPr>
            <w:tcW w:w="3277"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eastAsia="zh-CN"/>
              </w:rPr>
            </w:pP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06" w:hRule="atLeast"/>
        </w:trPr>
        <w:tc>
          <w:tcPr>
            <w:tcW w:w="1292" w:type="dxa"/>
            <w:tcBorders>
              <w:tl2br w:val="nil"/>
              <w:tr2bl w:val="nil"/>
            </w:tcBorders>
            <w:noWrap w:val="0"/>
            <w:tcMar>
              <w:left w:w="0" w:type="dxa"/>
              <w:right w:w="0"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人员经费</w:t>
            </w:r>
          </w:p>
        </w:tc>
        <w:tc>
          <w:tcPr>
            <w:tcW w:w="134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10738.70</w:t>
            </w:r>
          </w:p>
        </w:tc>
        <w:tc>
          <w:tcPr>
            <w:tcW w:w="1564"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11296.79</w:t>
            </w:r>
          </w:p>
        </w:tc>
        <w:tc>
          <w:tcPr>
            <w:tcW w:w="1089"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558.09</w:t>
            </w:r>
          </w:p>
        </w:tc>
        <w:tc>
          <w:tcPr>
            <w:tcW w:w="117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5.2</w:t>
            </w:r>
          </w:p>
        </w:tc>
        <w:tc>
          <w:tcPr>
            <w:tcW w:w="3277"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正常的基本工资、职称晋级等增长</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60" w:hRule="atLeast"/>
        </w:trPr>
        <w:tc>
          <w:tcPr>
            <w:tcW w:w="1292" w:type="dxa"/>
            <w:tcBorders>
              <w:tl2br w:val="nil"/>
              <w:tr2bl w:val="nil"/>
            </w:tcBorders>
            <w:noWrap w:val="0"/>
            <w:tcMar>
              <w:left w:w="0" w:type="dxa"/>
              <w:right w:w="0"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日常公用经费</w:t>
            </w:r>
          </w:p>
        </w:tc>
        <w:tc>
          <w:tcPr>
            <w:tcW w:w="134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947.72</w:t>
            </w:r>
          </w:p>
        </w:tc>
        <w:tc>
          <w:tcPr>
            <w:tcW w:w="1564"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947.53</w:t>
            </w:r>
          </w:p>
        </w:tc>
        <w:tc>
          <w:tcPr>
            <w:tcW w:w="1089"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-0.19</w:t>
            </w:r>
          </w:p>
        </w:tc>
        <w:tc>
          <w:tcPr>
            <w:tcW w:w="1172" w:type="dxa"/>
            <w:tcBorders>
              <w:tl2br w:val="nil"/>
              <w:tr2bl w:val="nil"/>
            </w:tcBorders>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-0.02</w:t>
            </w:r>
          </w:p>
        </w:tc>
        <w:tc>
          <w:tcPr>
            <w:tcW w:w="3277"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厉行节约，压减日常公用经费</w:t>
            </w:r>
          </w:p>
        </w:tc>
      </w:tr>
    </w:tbl>
    <w:p>
      <w:pPr>
        <w:ind w:firstLine="640" w:firstLineChars="200"/>
        <w:rPr>
          <w:rFonts w:hint="default"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rPr>
        <w:t>202</w:t>
      </w:r>
      <w:r>
        <w:rPr>
          <w:rFonts w:hint="eastAsia" w:ascii="仿宋_GB2312" w:hAnsi="宋体" w:eastAsia="仿宋_GB2312" w:cs="宋体"/>
          <w:color w:val="000000"/>
          <w:spacing w:val="0"/>
          <w:kern w:val="0"/>
          <w:sz w:val="32"/>
          <w:szCs w:val="32"/>
          <w:lang w:val="en-US" w:eastAsia="zh-CN"/>
        </w:rPr>
        <w:t>1</w:t>
      </w:r>
      <w:r>
        <w:rPr>
          <w:rFonts w:hint="eastAsia" w:ascii="仿宋_GB2312" w:hAnsi="宋体" w:eastAsia="仿宋_GB2312" w:cs="宋体"/>
          <w:color w:val="000000"/>
          <w:spacing w:val="0"/>
          <w:kern w:val="0"/>
          <w:sz w:val="32"/>
          <w:szCs w:val="32"/>
        </w:rPr>
        <w:t>年</w:t>
      </w:r>
      <w:r>
        <w:rPr>
          <w:rFonts w:hint="eastAsia" w:ascii="仿宋_GB2312" w:hAnsi="宋体" w:eastAsia="仿宋_GB2312" w:cs="宋体"/>
          <w:color w:val="000000"/>
          <w:spacing w:val="0"/>
          <w:kern w:val="0"/>
          <w:sz w:val="32"/>
          <w:szCs w:val="32"/>
          <w:lang w:eastAsia="zh-CN"/>
        </w:rPr>
        <w:t>基本支出决算数</w:t>
      </w:r>
      <w:r>
        <w:rPr>
          <w:rFonts w:hint="eastAsia" w:ascii="仿宋_GB2312" w:hAnsi="宋体" w:eastAsia="仿宋_GB2312" w:cs="宋体"/>
          <w:color w:val="000000"/>
          <w:spacing w:val="0"/>
          <w:kern w:val="0"/>
          <w:sz w:val="32"/>
          <w:szCs w:val="32"/>
          <w:lang w:val="en-US" w:eastAsia="zh-CN"/>
        </w:rPr>
        <w:t>12244.32万元，其中</w:t>
      </w:r>
      <w:r>
        <w:rPr>
          <w:rFonts w:hint="eastAsia" w:ascii="仿宋_GB2312" w:hAnsi="宋体" w:eastAsia="仿宋_GB2312" w:cs="宋体"/>
          <w:color w:val="000000"/>
          <w:spacing w:val="0"/>
          <w:kern w:val="0"/>
          <w:sz w:val="32"/>
          <w:szCs w:val="32"/>
        </w:rPr>
        <w:t>人员经费</w:t>
      </w:r>
      <w:r>
        <w:rPr>
          <w:rFonts w:hint="eastAsia" w:ascii="仿宋_GB2312" w:hAnsi="宋体" w:eastAsia="仿宋_GB2312" w:cs="宋体"/>
          <w:color w:val="000000"/>
          <w:spacing w:val="0"/>
          <w:kern w:val="0"/>
          <w:sz w:val="32"/>
          <w:szCs w:val="32"/>
          <w:lang w:eastAsia="zh-CN"/>
        </w:rPr>
        <w:t>决算支出</w:t>
      </w:r>
      <w:r>
        <w:rPr>
          <w:rFonts w:hint="eastAsia" w:ascii="仿宋_GB2312" w:hAnsi="宋体" w:eastAsia="仿宋_GB2312" w:cs="宋体"/>
          <w:color w:val="000000"/>
          <w:spacing w:val="0"/>
          <w:kern w:val="0"/>
          <w:sz w:val="32"/>
          <w:szCs w:val="32"/>
          <w:lang w:val="en-US" w:eastAsia="zh-CN"/>
        </w:rPr>
        <w:t>11296.79万元</w:t>
      </w:r>
      <w:r>
        <w:rPr>
          <w:rFonts w:hint="eastAsia" w:ascii="仿宋_GB2312" w:hAnsi="宋体" w:eastAsia="仿宋_GB2312" w:cs="宋体"/>
          <w:color w:val="000000"/>
          <w:spacing w:val="0"/>
          <w:kern w:val="0"/>
          <w:sz w:val="32"/>
          <w:szCs w:val="32"/>
        </w:rPr>
        <w:t>、日常公用经费预算</w:t>
      </w:r>
      <w:r>
        <w:rPr>
          <w:rFonts w:hint="eastAsia" w:ascii="仿宋_GB2312" w:hAnsi="宋体" w:eastAsia="仿宋_GB2312" w:cs="宋体"/>
          <w:color w:val="000000"/>
          <w:spacing w:val="0"/>
          <w:kern w:val="0"/>
          <w:sz w:val="32"/>
          <w:szCs w:val="32"/>
          <w:lang w:val="en-US" w:eastAsia="zh-CN"/>
        </w:rPr>
        <w:t>947.53</w:t>
      </w:r>
      <w:r>
        <w:rPr>
          <w:rFonts w:hint="eastAsia" w:ascii="仿宋_GB2312" w:hAnsi="宋体" w:eastAsia="仿宋_GB2312" w:cs="宋体"/>
          <w:color w:val="000000"/>
          <w:spacing w:val="0"/>
          <w:kern w:val="0"/>
          <w:sz w:val="32"/>
          <w:szCs w:val="32"/>
        </w:rPr>
        <w:t>万元。</w:t>
      </w:r>
      <w:r>
        <w:rPr>
          <w:rFonts w:hint="eastAsia" w:ascii="仿宋_GB2312" w:hAnsi="宋体" w:eastAsia="仿宋_GB2312" w:cs="宋体"/>
          <w:color w:val="000000"/>
          <w:spacing w:val="0"/>
          <w:kern w:val="0"/>
          <w:sz w:val="32"/>
          <w:szCs w:val="32"/>
          <w:lang w:eastAsia="zh-CN"/>
        </w:rPr>
        <w:t>人员经费决算数较去年增长</w:t>
      </w:r>
      <w:r>
        <w:rPr>
          <w:rFonts w:hint="eastAsia" w:ascii="仿宋_GB2312" w:hAnsi="宋体" w:eastAsia="仿宋_GB2312" w:cs="宋体"/>
          <w:color w:val="000000"/>
          <w:spacing w:val="0"/>
          <w:kern w:val="0"/>
          <w:sz w:val="32"/>
          <w:szCs w:val="32"/>
          <w:lang w:val="en-US" w:eastAsia="zh-CN"/>
        </w:rPr>
        <w:t>558.09万元，增幅5.2%，为正常的基本工资、职称晋级等增长；日常公用经费决算数较去年减少0.19万元，减幅0.02%，为压减日常公用经费。</w:t>
      </w:r>
    </w:p>
    <w:p>
      <w:pPr>
        <w:ind w:firstLine="640" w:firstLineChars="200"/>
        <w:rPr>
          <w:rFonts w:hint="eastAsia" w:ascii="黑体" w:hAnsi="黑体" w:eastAsia="黑体" w:cs="Times New Roman"/>
          <w:spacing w:val="0"/>
          <w:sz w:val="32"/>
          <w:szCs w:val="32"/>
          <w:lang w:val="en-US" w:eastAsia="zh-CN"/>
        </w:rPr>
      </w:pPr>
      <w:r>
        <w:rPr>
          <w:rFonts w:hint="eastAsia" w:ascii="黑体" w:hAnsi="黑体" w:eastAsia="黑体" w:cs="Times New Roman"/>
          <w:spacing w:val="0"/>
          <w:sz w:val="32"/>
          <w:szCs w:val="32"/>
          <w:lang w:val="en-US" w:eastAsia="zh-CN"/>
        </w:rPr>
        <w:t>三、项目支出情况</w:t>
      </w:r>
    </w:p>
    <w:p>
      <w:pPr>
        <w:ind w:firstLine="640" w:firstLineChars="200"/>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2021年学院项目经费决算共有28个项目，形成支出的项目有25个，支出金额6950.81万元，其中常年项目4个，上年项目结转11个项目，本年新增项目13个。28个项目资金来源10139.77万元，其中年初结转和结余1737.07万元、财政拨款7427.86万元、其他资金974.84万元，支出金额6950.81万元，年末结转和结余3188.96万元。</w:t>
      </w:r>
    </w:p>
    <w:p>
      <w:pPr>
        <w:ind w:firstLine="643" w:firstLineChars="200"/>
        <w:rPr>
          <w:rFonts w:hint="eastAsia" w:ascii="仿宋_GB2312" w:hAnsi="微软雅黑" w:eastAsia="仿宋_GB2312" w:cs="Times New Roman"/>
          <w:b/>
          <w:spacing w:val="0"/>
          <w:sz w:val="32"/>
          <w:szCs w:val="32"/>
          <w:lang w:val="en-US" w:eastAsia="zh-CN"/>
        </w:rPr>
      </w:pPr>
      <w:r>
        <w:rPr>
          <w:rFonts w:hint="eastAsia" w:ascii="仿宋_GB2312" w:hAnsi="微软雅黑" w:eastAsia="仿宋_GB2312" w:cs="Times New Roman"/>
          <w:b/>
          <w:spacing w:val="0"/>
          <w:sz w:val="32"/>
          <w:szCs w:val="32"/>
          <w:lang w:val="en-US" w:eastAsia="zh-CN"/>
        </w:rPr>
        <w:t>（一）项目支出经费收入支出预决算情况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本年年初项目预算收入2786.8万元，本年项目经费决算6950.81万元,其中财政拨款项目支出6136.32万元，其他资金支出814.49万元，各款级经费科目预算执行情况如下:</w:t>
      </w:r>
    </w:p>
    <w:p>
      <w:pPr>
        <w:pStyle w:val="2"/>
        <w:keepNext w:val="0"/>
        <w:keepLines w:val="0"/>
        <w:pageBreakBefore w:val="0"/>
        <w:widowControl w:val="0"/>
        <w:kinsoku/>
        <w:wordWrap/>
        <w:overflowPunct/>
        <w:topLinePunct w:val="0"/>
        <w:autoSpaceDE/>
        <w:autoSpaceDN/>
        <w:bidi w:val="0"/>
        <w:adjustRightInd/>
        <w:snapToGrid w:val="0"/>
        <w:spacing w:line="240" w:lineRule="exact"/>
        <w:ind w:firstLine="420"/>
        <w:jc w:val="right"/>
        <w:textAlignment w:val="auto"/>
        <w:rPr>
          <w:rFonts w:hint="default" w:ascii="Times New Roman" w:hAnsi="Times New Roman" w:eastAsia="仿宋_GB2312" w:cs="Times New Roman"/>
          <w:sz w:val="24"/>
          <w:szCs w:val="24"/>
          <w:lang w:bidi="ar"/>
        </w:rPr>
      </w:pPr>
      <w:r>
        <w:rPr>
          <w:rFonts w:hint="default" w:ascii="Times New Roman" w:hAnsi="Times New Roman" w:eastAsia="仿宋_GB2312" w:cs="Times New Roman"/>
          <w:sz w:val="24"/>
          <w:szCs w:val="24"/>
          <w:lang w:bidi="ar"/>
        </w:rPr>
        <w:t>金额单位：万元</w:t>
      </w:r>
    </w:p>
    <w:tbl>
      <w:tblPr>
        <w:tblStyle w:val="10"/>
        <w:tblpPr w:leftFromText="180" w:rightFromText="180" w:vertAnchor="text" w:horzAnchor="page" w:tblpX="1877" w:tblpY="205"/>
        <w:tblOverlap w:val="never"/>
        <w:tblW w:w="8638" w:type="dxa"/>
        <w:tblInd w:w="0" w:type="dxa"/>
        <w:tblBorders>
          <w:top w:val="single" w:color="000000" w:sz="12" w:space="0"/>
          <w:left w:val="none" w:color="auto" w:sz="0" w:space="0"/>
          <w:bottom w:val="single" w:color="000000" w:sz="12" w:space="0"/>
          <w:right w:val="none" w:color="auto" w:sz="0" w:space="0"/>
          <w:insideH w:val="dashSmallGap" w:color="000000" w:sz="4" w:space="0"/>
          <w:insideV w:val="dashSmallGap" w:color="000000" w:sz="4" w:space="0"/>
        </w:tblBorders>
        <w:tblLayout w:type="fixed"/>
        <w:tblCellMar>
          <w:top w:w="0" w:type="dxa"/>
          <w:left w:w="108" w:type="dxa"/>
          <w:bottom w:w="0" w:type="dxa"/>
          <w:right w:w="108" w:type="dxa"/>
        </w:tblCellMar>
      </w:tblPr>
      <w:tblGrid>
        <w:gridCol w:w="3520"/>
        <w:gridCol w:w="2217"/>
        <w:gridCol w:w="2901"/>
      </w:tblGrid>
      <w:tr>
        <w:tblPrEx>
          <w:tblBorders>
            <w:top w:val="single" w:color="000000" w:sz="12" w:space="0"/>
            <w:left w:val="none" w:color="auto" w:sz="0" w:space="0"/>
            <w:bottom w:val="single" w:color="000000" w:sz="12" w:space="0"/>
            <w:right w:val="none" w:color="auto" w:sz="0" w:space="0"/>
            <w:insideH w:val="dashSmallGap" w:color="000000" w:sz="4" w:space="0"/>
            <w:insideV w:val="dashSmallGap" w:color="000000" w:sz="4" w:space="0"/>
          </w:tblBorders>
          <w:tblCellMar>
            <w:top w:w="0" w:type="dxa"/>
            <w:left w:w="108" w:type="dxa"/>
            <w:bottom w:w="0" w:type="dxa"/>
            <w:right w:w="108" w:type="dxa"/>
          </w:tblCellMar>
        </w:tblPrEx>
        <w:trPr>
          <w:trHeight w:val="709" w:hRule="atLeast"/>
        </w:trPr>
        <w:tc>
          <w:tcPr>
            <w:tcW w:w="3520" w:type="dxa"/>
            <w:tcBorders>
              <w:tl2br w:val="nil"/>
              <w:tr2bl w:val="nil"/>
            </w:tcBorders>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exact"/>
              <w:ind w:left="0" w:right="0" w:firstLine="42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经济分类名称</w:t>
            </w:r>
          </w:p>
        </w:tc>
        <w:tc>
          <w:tcPr>
            <w:tcW w:w="2217"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本年预算金额</w:t>
            </w:r>
          </w:p>
        </w:tc>
        <w:tc>
          <w:tcPr>
            <w:tcW w:w="290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决算支出金额</w:t>
            </w:r>
          </w:p>
        </w:tc>
      </w:tr>
      <w:tr>
        <w:tblPrEx>
          <w:tblBorders>
            <w:top w:val="single" w:color="000000" w:sz="12" w:space="0"/>
            <w:left w:val="none" w:color="auto" w:sz="0" w:space="0"/>
            <w:bottom w:val="single" w:color="000000" w:sz="12" w:space="0"/>
            <w:right w:val="none" w:color="auto" w:sz="0" w:space="0"/>
            <w:insideH w:val="dashSmallGap" w:color="000000" w:sz="4" w:space="0"/>
            <w:insideV w:val="dashSmallGap" w:color="000000" w:sz="4" w:space="0"/>
          </w:tblBorders>
          <w:tblCellMar>
            <w:top w:w="0" w:type="dxa"/>
            <w:left w:w="108" w:type="dxa"/>
            <w:bottom w:w="0" w:type="dxa"/>
            <w:right w:w="108" w:type="dxa"/>
          </w:tblCellMar>
        </w:tblPrEx>
        <w:trPr>
          <w:trHeight w:val="551" w:hRule="atLeast"/>
        </w:trPr>
        <w:tc>
          <w:tcPr>
            <w:tcW w:w="3520" w:type="dxa"/>
            <w:tcBorders>
              <w:tl2br w:val="nil"/>
              <w:tr2bl w:val="nil"/>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商品和服务支出</w:t>
            </w:r>
          </w:p>
        </w:tc>
        <w:tc>
          <w:tcPr>
            <w:tcW w:w="2217"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1706.78</w:t>
            </w:r>
          </w:p>
        </w:tc>
        <w:tc>
          <w:tcPr>
            <w:tcW w:w="2901"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2517.57</w:t>
            </w:r>
          </w:p>
        </w:tc>
      </w:tr>
      <w:tr>
        <w:tblPrEx>
          <w:tblBorders>
            <w:top w:val="single" w:color="000000" w:sz="12" w:space="0"/>
            <w:left w:val="none" w:color="auto" w:sz="0" w:space="0"/>
            <w:bottom w:val="single" w:color="000000" w:sz="12" w:space="0"/>
            <w:right w:val="none" w:color="auto" w:sz="0" w:space="0"/>
            <w:insideH w:val="dashSmallGap" w:color="000000" w:sz="4" w:space="0"/>
            <w:insideV w:val="dashSmallGap" w:color="000000" w:sz="4" w:space="0"/>
          </w:tblBorders>
          <w:tblCellMar>
            <w:top w:w="0" w:type="dxa"/>
            <w:left w:w="108" w:type="dxa"/>
            <w:bottom w:w="0" w:type="dxa"/>
            <w:right w:w="108" w:type="dxa"/>
          </w:tblCellMar>
        </w:tblPrEx>
        <w:trPr>
          <w:trHeight w:val="505" w:hRule="atLeast"/>
        </w:trPr>
        <w:tc>
          <w:tcPr>
            <w:tcW w:w="352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对个人和家庭的补助支出</w:t>
            </w:r>
          </w:p>
        </w:tc>
        <w:tc>
          <w:tcPr>
            <w:tcW w:w="2217" w:type="dxa"/>
            <w:tcBorders>
              <w:tl2br w:val="nil"/>
              <w:tr2bl w:val="nil"/>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lang w:val="en-US" w:eastAsia="zh-CN"/>
              </w:rPr>
            </w:pPr>
          </w:p>
        </w:tc>
        <w:tc>
          <w:tcPr>
            <w:tcW w:w="2901" w:type="dxa"/>
            <w:tcBorders>
              <w:tl2br w:val="nil"/>
              <w:tr2bl w:val="nil"/>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1101.70</w:t>
            </w:r>
          </w:p>
        </w:tc>
      </w:tr>
      <w:tr>
        <w:tblPrEx>
          <w:tblBorders>
            <w:top w:val="single" w:color="000000" w:sz="12" w:space="0"/>
            <w:left w:val="none" w:color="auto" w:sz="0" w:space="0"/>
            <w:bottom w:val="single" w:color="000000" w:sz="12" w:space="0"/>
            <w:right w:val="none" w:color="auto" w:sz="0" w:space="0"/>
            <w:insideH w:val="dashSmallGap" w:color="000000" w:sz="4" w:space="0"/>
            <w:insideV w:val="dashSmallGap" w:color="000000" w:sz="4" w:space="0"/>
          </w:tblBorders>
          <w:tblCellMar>
            <w:top w:w="0" w:type="dxa"/>
            <w:left w:w="108" w:type="dxa"/>
            <w:bottom w:w="0" w:type="dxa"/>
            <w:right w:w="108" w:type="dxa"/>
          </w:tblCellMar>
        </w:tblPrEx>
        <w:trPr>
          <w:trHeight w:val="505" w:hRule="atLeast"/>
        </w:trPr>
        <w:tc>
          <w:tcPr>
            <w:tcW w:w="352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资本性支出</w:t>
            </w:r>
          </w:p>
        </w:tc>
        <w:tc>
          <w:tcPr>
            <w:tcW w:w="2217" w:type="dxa"/>
            <w:tcBorders>
              <w:tl2br w:val="nil"/>
              <w:tr2bl w:val="nil"/>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1080.02</w:t>
            </w:r>
          </w:p>
        </w:tc>
        <w:tc>
          <w:tcPr>
            <w:tcW w:w="2901" w:type="dxa"/>
            <w:tcBorders>
              <w:tl2br w:val="nil"/>
              <w:tr2bl w:val="nil"/>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3331.54</w:t>
            </w:r>
          </w:p>
        </w:tc>
      </w:tr>
      <w:tr>
        <w:tblPrEx>
          <w:tblBorders>
            <w:top w:val="single" w:color="000000" w:sz="12" w:space="0"/>
            <w:left w:val="none" w:color="auto" w:sz="0" w:space="0"/>
            <w:bottom w:val="single" w:color="000000" w:sz="12" w:space="0"/>
            <w:right w:val="none" w:color="auto" w:sz="0" w:space="0"/>
            <w:insideH w:val="dashSmallGap" w:color="000000" w:sz="4" w:space="0"/>
            <w:insideV w:val="dashSmallGap" w:color="000000" w:sz="4" w:space="0"/>
          </w:tblBorders>
          <w:tblCellMar>
            <w:top w:w="0" w:type="dxa"/>
            <w:left w:w="108" w:type="dxa"/>
            <w:bottom w:w="0" w:type="dxa"/>
            <w:right w:w="108" w:type="dxa"/>
          </w:tblCellMar>
        </w:tblPrEx>
        <w:trPr>
          <w:trHeight w:val="539" w:hRule="atLeast"/>
        </w:trPr>
        <w:tc>
          <w:tcPr>
            <w:tcW w:w="3520" w:type="dxa"/>
            <w:tcBorders>
              <w:tl2br w:val="nil"/>
              <w:tr2bl w:val="nil"/>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合计</w:t>
            </w:r>
          </w:p>
        </w:tc>
        <w:tc>
          <w:tcPr>
            <w:tcW w:w="2217" w:type="dxa"/>
            <w:tcBorders>
              <w:tl2br w:val="nil"/>
              <w:tr2bl w:val="nil"/>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2786.8</w:t>
            </w:r>
          </w:p>
        </w:tc>
        <w:tc>
          <w:tcPr>
            <w:tcW w:w="2901" w:type="dxa"/>
            <w:tcBorders>
              <w:tl2br w:val="nil"/>
              <w:tr2bl w:val="nil"/>
            </w:tcBorders>
            <w:noWrap/>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right"/>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6950.81</w:t>
            </w:r>
          </w:p>
        </w:tc>
      </w:tr>
    </w:tbl>
    <w:p>
      <w:pPr>
        <w:pStyle w:val="2"/>
        <w:keepNext w:val="0"/>
        <w:keepLines w:val="0"/>
        <w:pageBreakBefore w:val="0"/>
        <w:widowControl w:val="0"/>
        <w:kinsoku/>
        <w:wordWrap/>
        <w:overflowPunct/>
        <w:topLinePunct w:val="0"/>
        <w:autoSpaceDE/>
        <w:autoSpaceDN/>
        <w:bidi w:val="0"/>
        <w:adjustRightInd/>
        <w:snapToGrid w:val="0"/>
        <w:spacing w:line="240" w:lineRule="exact"/>
        <w:ind w:firstLine="420"/>
        <w:jc w:val="right"/>
        <w:textAlignment w:val="auto"/>
        <w:rPr>
          <w:rFonts w:hint="default" w:ascii="Times New Roman" w:hAnsi="Times New Roman" w:eastAsia="仿宋_GB2312" w:cs="Times New Roman"/>
          <w:sz w:val="24"/>
          <w:szCs w:val="24"/>
          <w:lang w:bidi="ar"/>
        </w:rPr>
      </w:pPr>
    </w:p>
    <w:p>
      <w:pPr>
        <w:numPr>
          <w:ilvl w:val="0"/>
          <w:numId w:val="0"/>
        </w:numPr>
        <w:ind w:firstLine="643" w:firstLineChars="200"/>
        <w:rPr>
          <w:rFonts w:hint="eastAsia" w:ascii="仿宋_GB2312" w:hAnsi="微软雅黑" w:eastAsia="仿宋_GB2312" w:cs="Times New Roman"/>
          <w:b/>
          <w:spacing w:val="0"/>
          <w:sz w:val="32"/>
          <w:szCs w:val="32"/>
          <w:lang w:val="en-US" w:eastAsia="zh-CN"/>
        </w:rPr>
      </w:pPr>
      <w:r>
        <w:rPr>
          <w:rFonts w:hint="eastAsia" w:ascii="仿宋_GB2312" w:hAnsi="微软雅黑" w:eastAsia="仿宋_GB2312" w:cs="Times New Roman"/>
          <w:b/>
          <w:spacing w:val="0"/>
          <w:sz w:val="32"/>
          <w:szCs w:val="32"/>
          <w:lang w:val="en-US" w:eastAsia="zh-CN"/>
        </w:rPr>
        <w:t>（</w:t>
      </w:r>
    </w:p>
    <w:p>
      <w:pPr>
        <w:numPr>
          <w:ilvl w:val="0"/>
          <w:numId w:val="0"/>
        </w:numPr>
        <w:ind w:firstLine="643" w:firstLineChars="200"/>
        <w:rPr>
          <w:rFonts w:hint="eastAsia" w:ascii="仿宋_GB2312" w:hAnsi="微软雅黑" w:eastAsia="仿宋_GB2312" w:cs="Times New Roman"/>
          <w:b/>
          <w:spacing w:val="0"/>
          <w:sz w:val="32"/>
          <w:szCs w:val="32"/>
          <w:lang w:val="en-US" w:eastAsia="zh-CN"/>
        </w:rPr>
      </w:pPr>
    </w:p>
    <w:p>
      <w:pPr>
        <w:numPr>
          <w:ilvl w:val="0"/>
          <w:numId w:val="0"/>
        </w:numPr>
        <w:ind w:firstLine="643" w:firstLineChars="200"/>
        <w:rPr>
          <w:rFonts w:hint="eastAsia" w:ascii="仿宋_GB2312" w:hAnsi="微软雅黑" w:eastAsia="仿宋_GB2312" w:cs="Times New Roman"/>
          <w:b/>
          <w:spacing w:val="0"/>
          <w:sz w:val="32"/>
          <w:szCs w:val="32"/>
          <w:lang w:val="en-US" w:eastAsia="zh-CN"/>
        </w:rPr>
      </w:pPr>
    </w:p>
    <w:p>
      <w:pPr>
        <w:numPr>
          <w:ilvl w:val="0"/>
          <w:numId w:val="0"/>
        </w:numPr>
        <w:ind w:firstLine="643" w:firstLineChars="200"/>
        <w:rPr>
          <w:rFonts w:hint="eastAsia" w:ascii="仿宋_GB2312" w:hAnsi="微软雅黑" w:eastAsia="仿宋_GB2312" w:cs="Times New Roman"/>
          <w:b/>
          <w:spacing w:val="0"/>
          <w:sz w:val="32"/>
          <w:szCs w:val="32"/>
          <w:lang w:val="en-US" w:eastAsia="zh-CN"/>
        </w:rPr>
      </w:pPr>
      <w:r>
        <w:rPr>
          <w:rFonts w:hint="eastAsia" w:ascii="仿宋_GB2312" w:hAnsi="微软雅黑" w:eastAsia="仿宋_GB2312" w:cs="Times New Roman"/>
          <w:b/>
          <w:spacing w:val="0"/>
          <w:sz w:val="32"/>
          <w:szCs w:val="32"/>
          <w:lang w:val="en-US" w:eastAsia="zh-CN"/>
        </w:rPr>
        <w:t>（</w:t>
      </w:r>
    </w:p>
    <w:p>
      <w:pPr>
        <w:numPr>
          <w:ilvl w:val="0"/>
          <w:numId w:val="0"/>
        </w:numPr>
        <w:ind w:firstLine="643" w:firstLineChars="200"/>
        <w:rPr>
          <w:rFonts w:hint="eastAsia" w:ascii="仿宋_GB2312" w:hAnsi="微软雅黑" w:eastAsia="仿宋_GB2312" w:cs="Times New Roman"/>
          <w:b/>
          <w:spacing w:val="0"/>
          <w:sz w:val="32"/>
          <w:szCs w:val="32"/>
          <w:lang w:val="en-US" w:eastAsia="zh-CN"/>
        </w:rPr>
      </w:pPr>
    </w:p>
    <w:p>
      <w:pPr>
        <w:numPr>
          <w:ilvl w:val="0"/>
          <w:numId w:val="0"/>
        </w:numPr>
        <w:ind w:firstLine="643" w:firstLineChars="200"/>
        <w:rPr>
          <w:rFonts w:hint="eastAsia" w:ascii="仿宋_GB2312" w:hAnsi="微软雅黑" w:eastAsia="仿宋_GB2312" w:cs="Times New Roman"/>
          <w:b/>
          <w:spacing w:val="0"/>
          <w:sz w:val="32"/>
          <w:szCs w:val="32"/>
          <w:lang w:val="en-US" w:eastAsia="zh-CN"/>
        </w:rPr>
      </w:pPr>
      <w:r>
        <w:rPr>
          <w:rFonts w:hint="eastAsia" w:ascii="仿宋_GB2312" w:hAnsi="微软雅黑" w:eastAsia="仿宋_GB2312" w:cs="Times New Roman"/>
          <w:b/>
          <w:spacing w:val="0"/>
          <w:sz w:val="32"/>
          <w:szCs w:val="32"/>
          <w:lang w:val="en-US" w:eastAsia="zh-CN"/>
        </w:rPr>
        <w:t>（二）项目支出经费与去年比较</w:t>
      </w:r>
    </w:p>
    <w:p>
      <w:pPr>
        <w:pStyle w:val="2"/>
        <w:numPr>
          <w:ilvl w:val="0"/>
          <w:numId w:val="0"/>
        </w:numPr>
        <w:ind w:leftChars="200"/>
        <w:jc w:val="right"/>
        <w:rPr>
          <w:rFonts w:hint="eastAsia"/>
          <w:lang w:val="en-US" w:eastAsia="zh-CN"/>
        </w:rPr>
      </w:pPr>
      <w:r>
        <w:rPr>
          <w:rFonts w:hint="eastAsia" w:ascii="Times New Roman" w:hAnsi="Times New Roman" w:eastAsia="仿宋_GB2312" w:cs="Times New Roman"/>
          <w:sz w:val="24"/>
          <w:szCs w:val="24"/>
          <w:lang w:val="en-US" w:eastAsia="zh-CN" w:bidi="ar"/>
        </w:rPr>
        <w:t xml:space="preserve">      </w:t>
      </w:r>
      <w:r>
        <w:rPr>
          <w:rFonts w:hint="default" w:ascii="Times New Roman" w:hAnsi="Times New Roman" w:eastAsia="仿宋_GB2312" w:cs="Times New Roman"/>
          <w:sz w:val="24"/>
          <w:szCs w:val="24"/>
          <w:lang w:bidi="ar"/>
        </w:rPr>
        <w:t>金额单位：万元</w:t>
      </w:r>
    </w:p>
    <w:tbl>
      <w:tblPr>
        <w:tblStyle w:val="10"/>
        <w:tblW w:w="9156" w:type="dxa"/>
        <w:tblInd w:w="-5" w:type="dxa"/>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Layout w:type="fixed"/>
        <w:tblCellMar>
          <w:top w:w="0" w:type="dxa"/>
          <w:left w:w="108" w:type="dxa"/>
          <w:bottom w:w="0" w:type="dxa"/>
          <w:right w:w="108" w:type="dxa"/>
        </w:tblCellMar>
      </w:tblPr>
      <w:tblGrid>
        <w:gridCol w:w="2076"/>
        <w:gridCol w:w="1335"/>
        <w:gridCol w:w="1440"/>
        <w:gridCol w:w="1065"/>
        <w:gridCol w:w="1204"/>
        <w:gridCol w:w="2036"/>
      </w:tblGrid>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592" w:hRule="atLeast"/>
        </w:trPr>
        <w:tc>
          <w:tcPr>
            <w:tcW w:w="2076"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指标</w:t>
            </w:r>
          </w:p>
        </w:tc>
        <w:tc>
          <w:tcPr>
            <w:tcW w:w="133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2020年</w:t>
            </w:r>
            <w:r>
              <w:rPr>
                <w:rFonts w:hint="default" w:ascii="Times New Roman" w:hAnsi="Times New Roman" w:eastAsia="仿宋" w:cs="Times New Roman"/>
                <w:color w:val="000000"/>
                <w:spacing w:val="0"/>
                <w:kern w:val="0"/>
                <w:sz w:val="21"/>
                <w:szCs w:val="21"/>
                <w:lang w:eastAsia="zh-CN"/>
              </w:rPr>
              <w:t>决算</w:t>
            </w:r>
          </w:p>
        </w:tc>
        <w:tc>
          <w:tcPr>
            <w:tcW w:w="144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val="en-US" w:eastAsia="zh-CN"/>
              </w:rPr>
              <w:t>2021年</w:t>
            </w:r>
            <w:r>
              <w:rPr>
                <w:rFonts w:hint="default" w:ascii="Times New Roman" w:hAnsi="Times New Roman" w:eastAsia="仿宋" w:cs="Times New Roman"/>
                <w:color w:val="000000"/>
                <w:spacing w:val="0"/>
                <w:kern w:val="0"/>
                <w:sz w:val="21"/>
                <w:szCs w:val="21"/>
                <w:lang w:eastAsia="zh-CN"/>
              </w:rPr>
              <w:t>决算</w:t>
            </w:r>
          </w:p>
        </w:tc>
        <w:tc>
          <w:tcPr>
            <w:tcW w:w="106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增减额</w:t>
            </w:r>
          </w:p>
        </w:tc>
        <w:tc>
          <w:tcPr>
            <w:tcW w:w="1204"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eastAsia="zh-CN"/>
              </w:rPr>
              <w:t>增减（</w:t>
            </w:r>
            <w:r>
              <w:rPr>
                <w:rFonts w:hint="default" w:ascii="Times New Roman" w:hAnsi="Times New Roman" w:eastAsia="仿宋" w:cs="Times New Roman"/>
                <w:color w:val="000000"/>
                <w:spacing w:val="0"/>
                <w:kern w:val="0"/>
                <w:sz w:val="21"/>
                <w:szCs w:val="21"/>
                <w:lang w:val="en-US" w:eastAsia="zh-CN"/>
              </w:rPr>
              <w:t>%</w:t>
            </w:r>
            <w:r>
              <w:rPr>
                <w:rFonts w:hint="default" w:ascii="Times New Roman" w:hAnsi="Times New Roman" w:eastAsia="仿宋" w:cs="Times New Roman"/>
                <w:color w:val="000000"/>
                <w:spacing w:val="0"/>
                <w:kern w:val="0"/>
                <w:sz w:val="21"/>
                <w:szCs w:val="21"/>
                <w:lang w:eastAsia="zh-CN"/>
              </w:rPr>
              <w:t>）</w:t>
            </w:r>
          </w:p>
        </w:tc>
        <w:tc>
          <w:tcPr>
            <w:tcW w:w="20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原因</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592" w:hRule="atLeast"/>
        </w:trPr>
        <w:tc>
          <w:tcPr>
            <w:tcW w:w="2076"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商品和服务支出</w:t>
            </w:r>
          </w:p>
        </w:tc>
        <w:tc>
          <w:tcPr>
            <w:tcW w:w="133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3100.20</w:t>
            </w:r>
          </w:p>
        </w:tc>
        <w:tc>
          <w:tcPr>
            <w:tcW w:w="144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2517.57</w:t>
            </w:r>
          </w:p>
        </w:tc>
        <w:tc>
          <w:tcPr>
            <w:tcW w:w="106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-582.63</w:t>
            </w:r>
          </w:p>
        </w:tc>
        <w:tc>
          <w:tcPr>
            <w:tcW w:w="1204"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-18.79</w:t>
            </w:r>
          </w:p>
        </w:tc>
        <w:tc>
          <w:tcPr>
            <w:tcW w:w="20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eastAsia="zh-CN"/>
              </w:rPr>
            </w:pP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489" w:hRule="atLeast"/>
        </w:trPr>
        <w:tc>
          <w:tcPr>
            <w:tcW w:w="2076"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对个人和家庭的补助支出</w:t>
            </w:r>
          </w:p>
        </w:tc>
        <w:tc>
          <w:tcPr>
            <w:tcW w:w="133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978.42</w:t>
            </w:r>
          </w:p>
        </w:tc>
        <w:tc>
          <w:tcPr>
            <w:tcW w:w="144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1101.70</w:t>
            </w:r>
          </w:p>
        </w:tc>
        <w:tc>
          <w:tcPr>
            <w:tcW w:w="106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123.28</w:t>
            </w:r>
          </w:p>
        </w:tc>
        <w:tc>
          <w:tcPr>
            <w:tcW w:w="1204"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12.60</w:t>
            </w:r>
          </w:p>
        </w:tc>
        <w:tc>
          <w:tcPr>
            <w:tcW w:w="20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eastAsia="zh-CN"/>
              </w:rPr>
            </w:pP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592" w:hRule="atLeast"/>
        </w:trPr>
        <w:tc>
          <w:tcPr>
            <w:tcW w:w="2076"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资本性支出</w:t>
            </w:r>
          </w:p>
        </w:tc>
        <w:tc>
          <w:tcPr>
            <w:tcW w:w="133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2475.69</w:t>
            </w:r>
          </w:p>
        </w:tc>
        <w:tc>
          <w:tcPr>
            <w:tcW w:w="144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3331.54</w:t>
            </w:r>
          </w:p>
        </w:tc>
        <w:tc>
          <w:tcPr>
            <w:tcW w:w="106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855.85</w:t>
            </w:r>
          </w:p>
        </w:tc>
        <w:tc>
          <w:tcPr>
            <w:tcW w:w="1204"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34.57</w:t>
            </w:r>
          </w:p>
        </w:tc>
        <w:tc>
          <w:tcPr>
            <w:tcW w:w="20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eastAsia="zh-CN"/>
              </w:rPr>
            </w:pP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04" w:hRule="atLeast"/>
        </w:trPr>
        <w:tc>
          <w:tcPr>
            <w:tcW w:w="2076" w:type="dxa"/>
            <w:tcBorders>
              <w:tl2br w:val="nil"/>
              <w:tr2bl w:val="nil"/>
            </w:tcBorders>
            <w:noWrap w:val="0"/>
            <w:tcMar>
              <w:left w:w="0" w:type="dxa"/>
              <w:right w:w="0" w:type="dxa"/>
            </w:tcMar>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eastAsia="zh-CN"/>
              </w:rPr>
              <w:t>合计</w:t>
            </w:r>
          </w:p>
        </w:tc>
        <w:tc>
          <w:tcPr>
            <w:tcW w:w="133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6554.31</w:t>
            </w:r>
          </w:p>
        </w:tc>
        <w:tc>
          <w:tcPr>
            <w:tcW w:w="1440"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6950.81</w:t>
            </w:r>
          </w:p>
        </w:tc>
        <w:tc>
          <w:tcPr>
            <w:tcW w:w="106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396.5</w:t>
            </w:r>
          </w:p>
        </w:tc>
        <w:tc>
          <w:tcPr>
            <w:tcW w:w="1204"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 w:cs="Times New Roman"/>
                <w:color w:val="000000"/>
                <w:spacing w:val="0"/>
                <w:kern w:val="0"/>
                <w:sz w:val="21"/>
                <w:szCs w:val="21"/>
                <w:lang w:val="en-US" w:eastAsia="zh-CN"/>
              </w:rPr>
            </w:pPr>
            <w:r>
              <w:rPr>
                <w:rFonts w:hint="default" w:ascii="Times New Roman" w:hAnsi="Times New Roman" w:eastAsia="仿宋" w:cs="Times New Roman"/>
                <w:color w:val="000000"/>
                <w:spacing w:val="0"/>
                <w:kern w:val="0"/>
                <w:sz w:val="21"/>
                <w:szCs w:val="21"/>
                <w:lang w:val="en-US" w:eastAsia="zh-CN"/>
              </w:rPr>
              <w:t>6.05</w:t>
            </w:r>
          </w:p>
        </w:tc>
        <w:tc>
          <w:tcPr>
            <w:tcW w:w="20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default" w:ascii="Times New Roman" w:hAnsi="Times New Roman" w:eastAsia="仿宋" w:cs="Times New Roman"/>
                <w:color w:val="000000"/>
                <w:spacing w:val="0"/>
                <w:kern w:val="0"/>
                <w:sz w:val="21"/>
                <w:szCs w:val="21"/>
                <w:lang w:eastAsia="zh-CN"/>
              </w:rPr>
            </w:pPr>
            <w:r>
              <w:rPr>
                <w:rFonts w:hint="default" w:ascii="Times New Roman" w:hAnsi="Times New Roman" w:eastAsia="仿宋" w:cs="Times New Roman"/>
                <w:color w:val="000000"/>
                <w:spacing w:val="0"/>
                <w:kern w:val="0"/>
                <w:sz w:val="21"/>
                <w:szCs w:val="21"/>
                <w:lang w:val="en-US" w:eastAsia="zh-CN"/>
              </w:rPr>
              <w:t>非常年项目上年结转，本年新增项目</w:t>
            </w:r>
          </w:p>
        </w:tc>
      </w:tr>
    </w:tbl>
    <w:p>
      <w:pPr>
        <w:ind w:firstLine="640" w:firstLineChars="200"/>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2021年项目支出决算数6950.81万元，其中商品和服务支出2517.57万元，对个人和家庭的补助支出1101.70万元，资本性支出3331.54万元。项目支出决算数较去年增加395.5万元，增幅6.05%。</w:t>
      </w:r>
    </w:p>
    <w:p>
      <w:pPr>
        <w:ind w:firstLine="640" w:firstLineChars="200"/>
        <w:rPr>
          <w:rFonts w:hint="default" w:ascii="仿宋_GB2312" w:hAnsi="宋体" w:eastAsia="仿宋_GB2312" w:cs="宋体"/>
          <w:color w:val="000000"/>
          <w:spacing w:val="0"/>
          <w:kern w:val="0"/>
          <w:sz w:val="32"/>
          <w:szCs w:val="32"/>
          <w:lang w:val="en-US" w:eastAsia="zh-CN"/>
        </w:rPr>
      </w:pPr>
      <w:r>
        <w:rPr>
          <w:rFonts w:hint="eastAsia" w:ascii="黑体" w:hAnsi="黑体" w:eastAsia="黑体" w:cs="Times New Roman"/>
          <w:spacing w:val="0"/>
          <w:sz w:val="32"/>
          <w:szCs w:val="32"/>
          <w:lang w:val="en-US" w:eastAsia="zh-CN"/>
        </w:rPr>
        <w:t>四、重点经济分类支出执行情况</w:t>
      </w:r>
    </w:p>
    <w:p>
      <w:pPr>
        <w:ind w:firstLine="643" w:firstLineChars="200"/>
        <w:rPr>
          <w:rFonts w:hint="eastAsia" w:ascii="仿宋_GB2312" w:hAnsi="微软雅黑" w:eastAsia="仿宋_GB2312" w:cs="Times New Roman"/>
          <w:b/>
          <w:spacing w:val="0"/>
          <w:sz w:val="32"/>
          <w:szCs w:val="32"/>
          <w:lang w:val="en-US" w:eastAsia="zh-CN"/>
        </w:rPr>
      </w:pPr>
      <w:r>
        <w:rPr>
          <w:rFonts w:hint="eastAsia" w:ascii="仿宋_GB2312" w:hAnsi="微软雅黑" w:eastAsia="仿宋_GB2312" w:cs="Times New Roman"/>
          <w:b/>
          <w:spacing w:val="0"/>
          <w:sz w:val="32"/>
          <w:szCs w:val="32"/>
          <w:lang w:val="en-US" w:eastAsia="zh-CN"/>
        </w:rPr>
        <w:t>（一）“三公”经费支出情况</w:t>
      </w:r>
    </w:p>
    <w:p>
      <w:pPr>
        <w:ind w:firstLine="640" w:firstLineChars="200"/>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2021年“三公”经费安排预算资金16万元，其中公务接待预算8万元，车辆使用费预算8万元。本年决算支出8.18万元，其中公务接待费1.06万元，车辆使用费7.12万元，具体情况如下：</w:t>
      </w:r>
    </w:p>
    <w:p>
      <w:pPr>
        <w:pStyle w:val="2"/>
        <w:numPr>
          <w:ilvl w:val="0"/>
          <w:numId w:val="0"/>
        </w:numPr>
        <w:ind w:leftChars="200"/>
        <w:jc w:val="right"/>
        <w:rPr>
          <w:rFonts w:hint="eastAsia"/>
          <w:lang w:val="en-US" w:eastAsia="zh-CN"/>
        </w:rPr>
      </w:pPr>
      <w:r>
        <w:rPr>
          <w:rFonts w:hint="default" w:ascii="Times New Roman" w:hAnsi="Times New Roman" w:eastAsia="仿宋_GB2312" w:cs="Times New Roman"/>
          <w:sz w:val="24"/>
          <w:szCs w:val="24"/>
          <w:lang w:bidi="ar"/>
        </w:rPr>
        <w:t>金额单位：万元</w:t>
      </w:r>
    </w:p>
    <w:tbl>
      <w:tblPr>
        <w:tblStyle w:val="10"/>
        <w:tblW w:w="9738" w:type="dxa"/>
        <w:tblInd w:w="0" w:type="dxa"/>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Layout w:type="fixed"/>
        <w:tblCellMar>
          <w:top w:w="0" w:type="dxa"/>
          <w:left w:w="108" w:type="dxa"/>
          <w:bottom w:w="0" w:type="dxa"/>
          <w:right w:w="108" w:type="dxa"/>
        </w:tblCellMar>
      </w:tblPr>
      <w:tblGrid>
        <w:gridCol w:w="2727"/>
        <w:gridCol w:w="2336"/>
        <w:gridCol w:w="1645"/>
        <w:gridCol w:w="1645"/>
        <w:gridCol w:w="1385"/>
      </w:tblGrid>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731" w:hRule="atLeast"/>
        </w:trPr>
        <w:tc>
          <w:tcPr>
            <w:tcW w:w="2727"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项目</w:t>
            </w:r>
          </w:p>
        </w:tc>
        <w:tc>
          <w:tcPr>
            <w:tcW w:w="23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合计</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公务接待费</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车辆使用费</w:t>
            </w:r>
          </w:p>
        </w:tc>
        <w:tc>
          <w:tcPr>
            <w:tcW w:w="138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出国经费</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544" w:hRule="atLeast"/>
        </w:trPr>
        <w:tc>
          <w:tcPr>
            <w:tcW w:w="2727"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20</w:t>
            </w:r>
            <w:r>
              <w:rPr>
                <w:rFonts w:hint="default" w:ascii="Times New Roman" w:hAnsi="Times New Roman" w:eastAsia="仿宋_GB2312" w:cs="Times New Roman"/>
                <w:color w:val="000000"/>
                <w:spacing w:val="0"/>
                <w:kern w:val="0"/>
                <w:sz w:val="21"/>
                <w:szCs w:val="21"/>
                <w:lang w:val="en-US" w:eastAsia="zh-CN"/>
              </w:rPr>
              <w:t>20</w:t>
            </w:r>
            <w:r>
              <w:rPr>
                <w:rFonts w:hint="default" w:ascii="Times New Roman" w:hAnsi="Times New Roman" w:eastAsia="仿宋_GB2312" w:cs="Times New Roman"/>
                <w:color w:val="000000"/>
                <w:spacing w:val="0"/>
                <w:kern w:val="0"/>
                <w:sz w:val="21"/>
                <w:szCs w:val="21"/>
                <w:lang w:eastAsia="zh-CN"/>
              </w:rPr>
              <w:t>年预算</w:t>
            </w:r>
          </w:p>
        </w:tc>
        <w:tc>
          <w:tcPr>
            <w:tcW w:w="23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27</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15</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12</w:t>
            </w:r>
          </w:p>
        </w:tc>
        <w:tc>
          <w:tcPr>
            <w:tcW w:w="138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0</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544" w:hRule="atLeast"/>
        </w:trPr>
        <w:tc>
          <w:tcPr>
            <w:tcW w:w="2727"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20</w:t>
            </w:r>
            <w:r>
              <w:rPr>
                <w:rFonts w:hint="default" w:ascii="Times New Roman" w:hAnsi="Times New Roman" w:eastAsia="仿宋_GB2312" w:cs="Times New Roman"/>
                <w:color w:val="000000"/>
                <w:spacing w:val="0"/>
                <w:kern w:val="0"/>
                <w:sz w:val="21"/>
                <w:szCs w:val="21"/>
                <w:lang w:val="en-US" w:eastAsia="zh-CN"/>
              </w:rPr>
              <w:t>20</w:t>
            </w:r>
            <w:r>
              <w:rPr>
                <w:rFonts w:hint="default" w:ascii="Times New Roman" w:hAnsi="Times New Roman" w:eastAsia="仿宋_GB2312" w:cs="Times New Roman"/>
                <w:color w:val="000000"/>
                <w:spacing w:val="0"/>
                <w:kern w:val="0"/>
                <w:sz w:val="21"/>
                <w:szCs w:val="21"/>
                <w:lang w:eastAsia="zh-CN"/>
              </w:rPr>
              <w:t>年决算</w:t>
            </w:r>
          </w:p>
        </w:tc>
        <w:tc>
          <w:tcPr>
            <w:tcW w:w="23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9.28</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2.99</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6.29</w:t>
            </w:r>
          </w:p>
        </w:tc>
        <w:tc>
          <w:tcPr>
            <w:tcW w:w="138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0</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39" w:hRule="atLeast"/>
        </w:trPr>
        <w:tc>
          <w:tcPr>
            <w:tcW w:w="2727"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决算增减额</w:t>
            </w:r>
          </w:p>
        </w:tc>
        <w:tc>
          <w:tcPr>
            <w:tcW w:w="23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w:t>
            </w:r>
            <w:r>
              <w:rPr>
                <w:rFonts w:hint="default" w:ascii="Times New Roman" w:hAnsi="Times New Roman" w:eastAsia="仿宋_GB2312" w:cs="Times New Roman"/>
                <w:color w:val="000000"/>
                <w:spacing w:val="0"/>
                <w:kern w:val="0"/>
                <w:sz w:val="21"/>
                <w:szCs w:val="21"/>
                <w:lang w:val="en-US" w:eastAsia="zh-CN"/>
              </w:rPr>
              <w:t>17.72</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w:t>
            </w:r>
            <w:r>
              <w:rPr>
                <w:rFonts w:hint="default" w:ascii="Times New Roman" w:hAnsi="Times New Roman" w:eastAsia="仿宋_GB2312" w:cs="Times New Roman"/>
                <w:color w:val="000000"/>
                <w:spacing w:val="0"/>
                <w:kern w:val="0"/>
                <w:sz w:val="21"/>
                <w:szCs w:val="21"/>
                <w:lang w:val="en-US" w:eastAsia="zh-CN"/>
              </w:rPr>
              <w:t>12.01</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w:t>
            </w:r>
            <w:r>
              <w:rPr>
                <w:rFonts w:hint="default" w:ascii="Times New Roman" w:hAnsi="Times New Roman" w:eastAsia="仿宋_GB2312" w:cs="Times New Roman"/>
                <w:color w:val="000000"/>
                <w:spacing w:val="0"/>
                <w:kern w:val="0"/>
                <w:sz w:val="21"/>
                <w:szCs w:val="21"/>
                <w:lang w:val="en-US" w:eastAsia="zh-CN"/>
              </w:rPr>
              <w:t>5.71</w:t>
            </w:r>
          </w:p>
        </w:tc>
        <w:tc>
          <w:tcPr>
            <w:tcW w:w="138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0</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569" w:hRule="atLeast"/>
        </w:trPr>
        <w:tc>
          <w:tcPr>
            <w:tcW w:w="2727"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决算增减幅度%</w:t>
            </w:r>
          </w:p>
        </w:tc>
        <w:tc>
          <w:tcPr>
            <w:tcW w:w="23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-6</w:t>
            </w:r>
            <w:r>
              <w:rPr>
                <w:rFonts w:hint="default" w:ascii="Times New Roman" w:hAnsi="Times New Roman" w:eastAsia="仿宋_GB2312" w:cs="Times New Roman"/>
                <w:color w:val="000000"/>
                <w:spacing w:val="0"/>
                <w:kern w:val="0"/>
                <w:sz w:val="21"/>
                <w:szCs w:val="21"/>
                <w:lang w:val="en-US" w:eastAsia="zh-CN"/>
              </w:rPr>
              <w:t>5.63</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w:t>
            </w:r>
            <w:r>
              <w:rPr>
                <w:rFonts w:hint="default" w:ascii="Times New Roman" w:hAnsi="Times New Roman" w:eastAsia="仿宋_GB2312" w:cs="Times New Roman"/>
                <w:color w:val="000000"/>
                <w:spacing w:val="0"/>
                <w:kern w:val="0"/>
                <w:sz w:val="21"/>
                <w:szCs w:val="21"/>
                <w:lang w:val="en-US" w:eastAsia="zh-CN"/>
              </w:rPr>
              <w:t>80.07</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w:t>
            </w:r>
            <w:r>
              <w:rPr>
                <w:rFonts w:hint="default" w:ascii="Times New Roman" w:hAnsi="Times New Roman" w:eastAsia="仿宋_GB2312" w:cs="Times New Roman"/>
                <w:color w:val="000000"/>
                <w:spacing w:val="0"/>
                <w:kern w:val="0"/>
                <w:sz w:val="21"/>
                <w:szCs w:val="21"/>
                <w:lang w:val="en-US" w:eastAsia="zh-CN"/>
              </w:rPr>
              <w:t>47.58</w:t>
            </w:r>
          </w:p>
        </w:tc>
        <w:tc>
          <w:tcPr>
            <w:tcW w:w="138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eastAsia="zh-CN"/>
              </w:rPr>
            </w:pPr>
            <w:r>
              <w:rPr>
                <w:rFonts w:hint="default" w:ascii="Times New Roman" w:hAnsi="Times New Roman" w:eastAsia="仿宋_GB2312" w:cs="Times New Roman"/>
                <w:color w:val="000000"/>
                <w:spacing w:val="0"/>
                <w:kern w:val="0"/>
                <w:sz w:val="21"/>
                <w:szCs w:val="21"/>
                <w:lang w:eastAsia="zh-CN"/>
              </w:rPr>
              <w:t>0</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569" w:hRule="atLeast"/>
        </w:trPr>
        <w:tc>
          <w:tcPr>
            <w:tcW w:w="2727"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20</w:t>
            </w:r>
            <w:r>
              <w:rPr>
                <w:rFonts w:hint="default" w:ascii="Times New Roman" w:hAnsi="Times New Roman" w:eastAsia="仿宋_GB2312" w:cs="Times New Roman"/>
                <w:color w:val="000000"/>
                <w:spacing w:val="0"/>
                <w:kern w:val="0"/>
                <w:sz w:val="21"/>
                <w:szCs w:val="21"/>
                <w:lang w:val="en-US" w:eastAsia="zh-CN"/>
              </w:rPr>
              <w:t>21</w:t>
            </w:r>
            <w:r>
              <w:rPr>
                <w:rFonts w:hint="default" w:ascii="Times New Roman" w:hAnsi="Times New Roman" w:eastAsia="仿宋_GB2312" w:cs="Times New Roman"/>
                <w:color w:val="000000"/>
                <w:spacing w:val="0"/>
                <w:kern w:val="0"/>
                <w:sz w:val="21"/>
                <w:szCs w:val="21"/>
                <w:lang w:eastAsia="zh-CN"/>
              </w:rPr>
              <w:t>年预算</w:t>
            </w:r>
          </w:p>
        </w:tc>
        <w:tc>
          <w:tcPr>
            <w:tcW w:w="23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16</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8</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8</w:t>
            </w:r>
          </w:p>
        </w:tc>
        <w:tc>
          <w:tcPr>
            <w:tcW w:w="138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0</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569" w:hRule="atLeast"/>
        </w:trPr>
        <w:tc>
          <w:tcPr>
            <w:tcW w:w="2727"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20</w:t>
            </w:r>
            <w:r>
              <w:rPr>
                <w:rFonts w:hint="default" w:ascii="Times New Roman" w:hAnsi="Times New Roman" w:eastAsia="仿宋_GB2312" w:cs="Times New Roman"/>
                <w:color w:val="000000"/>
                <w:spacing w:val="0"/>
                <w:kern w:val="0"/>
                <w:sz w:val="21"/>
                <w:szCs w:val="21"/>
                <w:lang w:val="en-US" w:eastAsia="zh-CN"/>
              </w:rPr>
              <w:t>21</w:t>
            </w:r>
            <w:r>
              <w:rPr>
                <w:rFonts w:hint="default" w:ascii="Times New Roman" w:hAnsi="Times New Roman" w:eastAsia="仿宋_GB2312" w:cs="Times New Roman"/>
                <w:color w:val="000000"/>
                <w:spacing w:val="0"/>
                <w:kern w:val="0"/>
                <w:sz w:val="21"/>
                <w:szCs w:val="21"/>
                <w:lang w:eastAsia="zh-CN"/>
              </w:rPr>
              <w:t>年决算</w:t>
            </w:r>
          </w:p>
        </w:tc>
        <w:tc>
          <w:tcPr>
            <w:tcW w:w="23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8.18</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1.06</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7.12</w:t>
            </w:r>
          </w:p>
        </w:tc>
        <w:tc>
          <w:tcPr>
            <w:tcW w:w="138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0</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569" w:hRule="atLeast"/>
        </w:trPr>
        <w:tc>
          <w:tcPr>
            <w:tcW w:w="2727"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决算增减额</w:t>
            </w:r>
          </w:p>
        </w:tc>
        <w:tc>
          <w:tcPr>
            <w:tcW w:w="23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-7.82</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-6.94</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-0.88</w:t>
            </w:r>
          </w:p>
        </w:tc>
        <w:tc>
          <w:tcPr>
            <w:tcW w:w="138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0</w:t>
            </w:r>
          </w:p>
        </w:tc>
      </w:tr>
      <w:tr>
        <w:tblPrEx>
          <w:tblBorders>
            <w:top w:val="single" w:color="auto" w:sz="12" w:space="0"/>
            <w:left w:val="none" w:color="auto" w:sz="0" w:space="0"/>
            <w:bottom w:val="single" w:color="auto" w:sz="12" w:space="0"/>
            <w:right w:val="none" w:color="auto" w:sz="0" w:space="0"/>
            <w:insideH w:val="dashSmallGap" w:color="auto" w:sz="4" w:space="0"/>
            <w:insideV w:val="dashSmallGap" w:color="auto" w:sz="4" w:space="0"/>
          </w:tblBorders>
          <w:tblCellMar>
            <w:top w:w="0" w:type="dxa"/>
            <w:left w:w="108" w:type="dxa"/>
            <w:bottom w:w="0" w:type="dxa"/>
            <w:right w:w="108" w:type="dxa"/>
          </w:tblCellMar>
        </w:tblPrEx>
        <w:trPr>
          <w:trHeight w:val="660" w:hRule="atLeast"/>
        </w:trPr>
        <w:tc>
          <w:tcPr>
            <w:tcW w:w="2727"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决算增减幅度%</w:t>
            </w:r>
          </w:p>
        </w:tc>
        <w:tc>
          <w:tcPr>
            <w:tcW w:w="2336"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-48.875</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-86.75</w:t>
            </w:r>
          </w:p>
        </w:tc>
        <w:tc>
          <w:tcPr>
            <w:tcW w:w="164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val="en-US" w:eastAsia="zh-CN"/>
              </w:rPr>
              <w:t>-11</w:t>
            </w:r>
          </w:p>
        </w:tc>
        <w:tc>
          <w:tcPr>
            <w:tcW w:w="1385" w:type="dxa"/>
            <w:tcBorders>
              <w:tl2br w:val="nil"/>
              <w:tr2bl w:val="nil"/>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firstLine="420" w:firstLineChars="200"/>
              <w:jc w:val="center"/>
              <w:textAlignment w:val="auto"/>
              <w:rPr>
                <w:rFonts w:hint="default" w:ascii="Times New Roman" w:hAnsi="Times New Roman" w:eastAsia="仿宋_GB2312" w:cs="Times New Roman"/>
                <w:color w:val="000000"/>
                <w:spacing w:val="0"/>
                <w:kern w:val="0"/>
                <w:sz w:val="21"/>
                <w:szCs w:val="21"/>
                <w:lang w:val="en-US" w:eastAsia="zh-CN"/>
              </w:rPr>
            </w:pPr>
            <w:r>
              <w:rPr>
                <w:rFonts w:hint="default" w:ascii="Times New Roman" w:hAnsi="Times New Roman" w:eastAsia="仿宋_GB2312" w:cs="Times New Roman"/>
                <w:color w:val="000000"/>
                <w:spacing w:val="0"/>
                <w:kern w:val="0"/>
                <w:sz w:val="21"/>
                <w:szCs w:val="21"/>
                <w:lang w:eastAsia="zh-CN"/>
              </w:rPr>
              <w:t>0</w:t>
            </w:r>
          </w:p>
        </w:tc>
      </w:tr>
    </w:tbl>
    <w:p>
      <w:pPr>
        <w:ind w:firstLine="643" w:firstLineChars="200"/>
        <w:rPr>
          <w:rFonts w:hint="eastAsia" w:ascii="仿宋_GB2312" w:hAnsi="微软雅黑" w:eastAsia="仿宋_GB2312" w:cs="Times New Roman"/>
          <w:b/>
          <w:spacing w:val="0"/>
          <w:sz w:val="32"/>
          <w:szCs w:val="32"/>
          <w:lang w:val="en-US" w:eastAsia="zh-CN"/>
        </w:rPr>
      </w:pPr>
      <w:r>
        <w:rPr>
          <w:rFonts w:hint="eastAsia" w:ascii="仿宋_GB2312" w:hAnsi="微软雅黑" w:eastAsia="仿宋_GB2312" w:cs="Times New Roman"/>
          <w:b/>
          <w:spacing w:val="0"/>
          <w:sz w:val="32"/>
          <w:szCs w:val="32"/>
          <w:lang w:val="en-US" w:eastAsia="zh-CN"/>
        </w:rPr>
        <w:t>（二）会议费支出情况</w:t>
      </w:r>
    </w:p>
    <w:p>
      <w:pPr>
        <w:ind w:firstLine="640" w:firstLineChars="200"/>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2021年会议费年初预算5万元，为一般公共预算5万元；2021年会议费决算支出32.83万元，其中一般公共预算支出16.96万元，其他资金支出15.87万元，为学院教职员工参加学院内外部学术、专项会议产生支出。2020年会议费年初预算10万元，其中一般公共预算5万元，财政专户资金预算5万元；2020年会议费决算支出24.24万元，其中一般公共预算支出16.62万元，其他资金支出7.62万元。</w:t>
      </w:r>
    </w:p>
    <w:p>
      <w:pPr>
        <w:ind w:firstLine="640" w:firstLineChars="200"/>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同比，会议费年初预算一般公共预算较上年不变，培训费决算一般公共预算支出较上年增加0.34万元。2021年恢复线下工作，会议费决算总支出较上年增加8.59万元，增幅35.44%。</w:t>
      </w:r>
    </w:p>
    <w:p>
      <w:pPr>
        <w:ind w:firstLine="643" w:firstLineChars="200"/>
        <w:rPr>
          <w:rFonts w:hint="eastAsia" w:ascii="仿宋_GB2312" w:hAnsi="微软雅黑" w:eastAsia="仿宋_GB2312" w:cs="Times New Roman"/>
          <w:b/>
          <w:spacing w:val="0"/>
          <w:sz w:val="32"/>
          <w:szCs w:val="32"/>
          <w:lang w:val="en-US" w:eastAsia="zh-CN"/>
        </w:rPr>
      </w:pPr>
      <w:r>
        <w:rPr>
          <w:rFonts w:hint="eastAsia" w:ascii="仿宋_GB2312" w:hAnsi="微软雅黑" w:eastAsia="仿宋_GB2312" w:cs="Times New Roman"/>
          <w:b/>
          <w:spacing w:val="0"/>
          <w:sz w:val="32"/>
          <w:szCs w:val="32"/>
          <w:lang w:val="en-US" w:eastAsia="zh-CN"/>
        </w:rPr>
        <w:t>（三）培训费支出情况</w:t>
      </w:r>
    </w:p>
    <w:p>
      <w:pPr>
        <w:ind w:firstLine="640" w:firstLineChars="200"/>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2021年培训费年初预算125万元，其中一般公共预算115万元，财政专户资金预算10万元；2021年培训费决算支出345.60万元，其中一般公共预算支出157.94万元，其他资金支出187.66万元。2020年培训费年初预算174万元，为一般公共预算174万元。2020年培训费决算支出286.50万元，其中一般公共预算决算支出144.09万元，其他资金支出142.41万元。</w:t>
      </w:r>
    </w:p>
    <w:p>
      <w:pPr>
        <w:ind w:firstLine="640" w:firstLineChars="200"/>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同比，培训费年初预算一般公共预算较上年减少59万元；因年中有项目资金拨款，培训费决算一般公共预算支出较上年增加13.85万元。2021年恢复线下培训工作，培训费总支出较上年增加59.1万元。</w:t>
      </w:r>
    </w:p>
    <w:p>
      <w:pPr>
        <w:ind w:firstLine="643" w:firstLineChars="200"/>
        <w:rPr>
          <w:rFonts w:hint="eastAsia" w:ascii="仿宋_GB2312" w:hAnsi="微软雅黑" w:eastAsia="仿宋_GB2312" w:cs="Times New Roman"/>
          <w:b/>
          <w:spacing w:val="0"/>
          <w:sz w:val="32"/>
          <w:szCs w:val="32"/>
          <w:lang w:val="en-US" w:eastAsia="zh-CN"/>
        </w:rPr>
      </w:pPr>
      <w:r>
        <w:rPr>
          <w:rFonts w:hint="eastAsia" w:ascii="仿宋_GB2312" w:hAnsi="微软雅黑" w:eastAsia="仿宋_GB2312" w:cs="Times New Roman"/>
          <w:b/>
          <w:spacing w:val="0"/>
          <w:sz w:val="32"/>
          <w:szCs w:val="32"/>
          <w:lang w:val="en-US" w:eastAsia="zh-CN"/>
        </w:rPr>
        <w:t>（四）资本性支出（基本建设）及其他资本性支出情况</w:t>
      </w:r>
    </w:p>
    <w:p>
      <w:pPr>
        <w:ind w:firstLine="640" w:firstLineChars="200"/>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2021年资本性支出（基本建设）1000万元，为学院青年教师公寓（1-6楼学生宿舍）建设追加投入1000万元。</w:t>
      </w:r>
    </w:p>
    <w:p>
      <w:pPr>
        <w:ind w:firstLine="640" w:firstLineChars="200"/>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2021年资本性支出2361.40万元，支出较上年增加956.23万元。其中房屋建筑物1001.29万元、办公设备238.62万元、专用设备746.91万元、基础设施建设46.41万元、大型修缮99.42万元、无形资产161.12万元、信息网络及软件购置更新37.15万元、其他交通工具购置0.49万元、其他资本性支出等29.99万元。</w:t>
      </w:r>
    </w:p>
    <w:p>
      <w:pPr>
        <w:ind w:firstLine="640" w:firstLineChars="200"/>
        <w:rPr>
          <w:rFonts w:hint="eastAsia" w:ascii="黑体" w:hAnsi="黑体" w:eastAsia="黑体" w:cs="Times New Roman"/>
          <w:spacing w:val="0"/>
          <w:sz w:val="32"/>
          <w:szCs w:val="32"/>
          <w:lang w:val="en-US" w:eastAsia="zh-CN"/>
        </w:rPr>
      </w:pPr>
      <w:r>
        <w:rPr>
          <w:rFonts w:hint="eastAsia" w:ascii="黑体" w:hAnsi="黑体" w:eastAsia="黑体" w:cs="Times New Roman"/>
          <w:spacing w:val="0"/>
          <w:sz w:val="32"/>
          <w:szCs w:val="32"/>
          <w:lang w:val="en-US" w:eastAsia="zh-CN"/>
        </w:rPr>
        <w:t>五、整体支出绩效情况</w:t>
      </w:r>
    </w:p>
    <w:p>
      <w:pPr>
        <w:ind w:firstLine="643" w:firstLineChars="200"/>
        <w:rPr>
          <w:rFonts w:hint="eastAsia" w:ascii="仿宋_GB2312" w:hAnsi="宋体" w:eastAsia="仿宋_GB2312" w:cs="宋体"/>
          <w:color w:val="000000"/>
          <w:spacing w:val="0"/>
          <w:kern w:val="0"/>
          <w:sz w:val="32"/>
          <w:szCs w:val="32"/>
          <w:lang w:val="en-US" w:eastAsia="zh-CN"/>
        </w:rPr>
      </w:pPr>
      <w:r>
        <w:rPr>
          <w:rFonts w:hint="eastAsia" w:ascii="仿宋_GB2312" w:hAnsi="微软雅黑" w:eastAsia="仿宋_GB2312" w:cs="Times New Roman"/>
          <w:b/>
          <w:spacing w:val="0"/>
          <w:sz w:val="32"/>
          <w:szCs w:val="32"/>
          <w:lang w:val="en-US" w:eastAsia="zh-CN"/>
        </w:rPr>
        <w:t>（一）办学条件持续改善。</w:t>
      </w:r>
      <w:r>
        <w:rPr>
          <w:rFonts w:hint="eastAsia" w:ascii="仿宋_GB2312" w:hAnsi="宋体" w:eastAsia="仿宋_GB2312" w:cs="宋体"/>
          <w:color w:val="000000"/>
          <w:spacing w:val="0"/>
          <w:kern w:val="0"/>
          <w:sz w:val="32"/>
          <w:szCs w:val="32"/>
          <w:lang w:val="en-US" w:eastAsia="zh-CN"/>
        </w:rPr>
        <w:t>落实校园总体规划，持续改善办学条件。新生公寓9月竣工，总建筑面积10827平方米，入住2021级新生1040人。推进综合实训大楼项目建设，该项目已正式立项，总建筑面积17500平方米，总投资估算7686万元，预计工期24个月，目前正在开展建设前期工作，项目建成将极大改善学院综合实训条件。</w:t>
      </w:r>
    </w:p>
    <w:p>
      <w:pPr>
        <w:ind w:firstLine="643" w:firstLineChars="200"/>
        <w:rPr>
          <w:rFonts w:hint="eastAsia" w:ascii="仿宋_GB2312" w:hAnsi="宋体" w:eastAsia="仿宋_GB2312" w:cs="宋体"/>
          <w:color w:val="000000"/>
          <w:spacing w:val="0"/>
          <w:kern w:val="0"/>
          <w:sz w:val="32"/>
          <w:szCs w:val="32"/>
          <w:lang w:val="en-US" w:eastAsia="zh-CN"/>
        </w:rPr>
      </w:pPr>
      <w:r>
        <w:rPr>
          <w:rFonts w:hint="eastAsia" w:ascii="仿宋_GB2312" w:hAnsi="微软雅黑" w:eastAsia="仿宋_GB2312" w:cs="Times New Roman"/>
          <w:b/>
          <w:spacing w:val="0"/>
          <w:sz w:val="32"/>
          <w:szCs w:val="32"/>
          <w:lang w:val="en-US" w:eastAsia="zh-CN"/>
        </w:rPr>
        <w:t>（二）育人成效不断提高。</w:t>
      </w:r>
      <w:r>
        <w:rPr>
          <w:rFonts w:hint="eastAsia" w:ascii="仿宋_GB2312" w:hAnsi="宋体" w:eastAsia="仿宋_GB2312" w:cs="宋体"/>
          <w:color w:val="000000"/>
          <w:spacing w:val="0"/>
          <w:kern w:val="0"/>
          <w:sz w:val="32"/>
          <w:szCs w:val="32"/>
          <w:lang w:val="en-US" w:eastAsia="zh-CN"/>
        </w:rPr>
        <w:t>抓牢课堂主阵地，深化课程思政与思政课程协同育人效应，构筑生态文明课程育人教学体系与实践育人体系，增开“习近平生态文明思想”课程，结合环保专业特色开展生态文明课程思政改革。学院10个案例入选湖南省高校“十大”育人示范案例。通过课程思政、引企入教等形式积极搭建工匠精神培养渠道，强化学生职业素养和社会责任感。学生参加职业技能竞赛共获得37个奖项，较2020年增加7个，新增2个一等奖。其中，全国二等奖1个、三等奖2个；省一等奖4个，二等奖9个，三等奖21个。2021年12月结束的2022年湖南省职业技能竞赛中获一等奖8个、二等奖7个、三等奖14个，技能竞赛成果实现了质与量的突破。在全省大学生风景园林学科竞赛中，获一等奖1个，二等奖2个，三等奖2个。院男子篮球队首次在全国体育竞赛舞台上亮相，荣获第23届中国大学生篮球三级联赛西南赛区前八强，并在湖南省第五届高职高专学生篮球联赛湖南赛区基层赛中获得亚军。1名学生荣获湖南省高校首届“最美大学生”；1名学生获评湖南省百佳大学生党员；学生志愿者社团初心社参加2021年度“清洁美丽中国行”，获全国二等奖；暑假期间，学生志愿者积极深入防疫一线，多次获得当地政府表扬。</w:t>
      </w:r>
    </w:p>
    <w:p>
      <w:pPr>
        <w:ind w:firstLine="643" w:firstLineChars="200"/>
        <w:rPr>
          <w:rFonts w:hint="eastAsia" w:ascii="仿宋_GB2312" w:hAnsi="宋体" w:eastAsia="仿宋_GB2312" w:cs="宋体"/>
          <w:color w:val="000000"/>
          <w:spacing w:val="0"/>
          <w:kern w:val="0"/>
          <w:sz w:val="32"/>
          <w:szCs w:val="32"/>
          <w:lang w:val="en-US" w:eastAsia="zh-CN"/>
        </w:rPr>
      </w:pPr>
      <w:r>
        <w:rPr>
          <w:rFonts w:hint="eastAsia" w:ascii="仿宋_GB2312" w:hAnsi="微软雅黑" w:eastAsia="仿宋_GB2312" w:cs="Times New Roman"/>
          <w:b/>
          <w:spacing w:val="0"/>
          <w:sz w:val="32"/>
          <w:szCs w:val="32"/>
          <w:lang w:val="en-US" w:eastAsia="zh-CN"/>
        </w:rPr>
        <w:t>（三）“招就创”实招展成效。</w:t>
      </w:r>
      <w:r>
        <w:rPr>
          <w:rFonts w:hint="eastAsia" w:ascii="仿宋_GB2312" w:hAnsi="宋体" w:eastAsia="仿宋_GB2312" w:cs="宋体"/>
          <w:color w:val="000000"/>
          <w:spacing w:val="0"/>
          <w:kern w:val="0"/>
          <w:sz w:val="32"/>
          <w:szCs w:val="32"/>
          <w:lang w:val="en-US" w:eastAsia="zh-CN"/>
        </w:rPr>
        <w:t>在疫情防控常态化背景下，坚持发展、服务、创新，不断改进工作方法，做好了招生、就业与创新创业工作。招生规模稳中有升，面向全国27个省（市）招生，报到新生3548人，比2020年增加517人。就业帮扶到位，2021届毕业生3254人，初次毕业去向落实率88.54%，有就业意愿建档立卡学生100%就业。学生参加专升本考试770人，录取326人，录取率42.34%。做好继续教育工作，完成363名自考本科毕业生的毕业证以及90个学士学位证办理工作，成人高等教育高升专招生63人。创新创业水平取得提升，在全省“挑战杯”赛事中摘取1金1银3铜，并进入国赛；第七届全省“互联网+”大学生创新创业大赛获二等奖2个，三等奖1个；全省黄炎培职业教育规划大赛获三等奖2个。</w:t>
      </w:r>
    </w:p>
    <w:p>
      <w:pPr>
        <w:ind w:firstLine="643" w:firstLineChars="200"/>
        <w:rPr>
          <w:rFonts w:hint="eastAsia" w:ascii="仿宋_GB2312" w:hAnsi="宋体" w:eastAsia="仿宋_GB2312" w:cs="宋体"/>
          <w:color w:val="000000"/>
          <w:spacing w:val="0"/>
          <w:kern w:val="0"/>
          <w:sz w:val="32"/>
          <w:szCs w:val="32"/>
          <w:lang w:val="en-US" w:eastAsia="zh-CN"/>
        </w:rPr>
      </w:pPr>
      <w:r>
        <w:rPr>
          <w:rFonts w:hint="eastAsia" w:ascii="仿宋_GB2312" w:hAnsi="微软雅黑" w:eastAsia="仿宋_GB2312" w:cs="Times New Roman"/>
          <w:b/>
          <w:spacing w:val="0"/>
          <w:sz w:val="32"/>
          <w:szCs w:val="32"/>
          <w:lang w:val="en-US" w:eastAsia="zh-CN"/>
        </w:rPr>
        <w:t>（四）专业（群）建设更趋完善。</w:t>
      </w:r>
      <w:r>
        <w:rPr>
          <w:rFonts w:hint="eastAsia" w:ascii="仿宋_GB2312" w:hAnsi="宋体" w:eastAsia="仿宋_GB2312" w:cs="宋体"/>
          <w:color w:val="000000"/>
          <w:spacing w:val="0"/>
          <w:kern w:val="0"/>
          <w:sz w:val="32"/>
          <w:szCs w:val="32"/>
          <w:lang w:val="en-US" w:eastAsia="zh-CN"/>
        </w:rPr>
        <w:t>优化调整专业结构，紧密对接绿色低碳、节能环保新型产业，突出生态环保特色，调整设立了环境监测与管理、生态环境工程、生态遥感与环境修复、环境设计、现代商务技术服务等5个专业群。其中，环境监测与管理、生态环境工程2个省级一流特色专业群建设持续推进。推行项目化课程改革以及校企合作课程开发和授课、精品在线开放课程建设、课程思政示范等课程建设项目实施，省级专业教学资源库建设项目1项。</w:t>
      </w:r>
    </w:p>
    <w:p>
      <w:pPr>
        <w:ind w:firstLine="643" w:firstLineChars="200"/>
        <w:rPr>
          <w:rFonts w:hint="eastAsia" w:ascii="仿宋_GB2312" w:hAnsi="宋体" w:eastAsia="仿宋_GB2312" w:cs="宋体"/>
          <w:color w:val="000000"/>
          <w:spacing w:val="0"/>
          <w:kern w:val="0"/>
          <w:sz w:val="32"/>
          <w:szCs w:val="32"/>
          <w:lang w:val="en-US" w:eastAsia="zh-CN"/>
        </w:rPr>
      </w:pPr>
      <w:r>
        <w:rPr>
          <w:rFonts w:hint="eastAsia" w:ascii="仿宋_GB2312" w:hAnsi="微软雅黑" w:eastAsia="仿宋_GB2312" w:cs="Times New Roman"/>
          <w:b/>
          <w:spacing w:val="0"/>
          <w:sz w:val="32"/>
          <w:szCs w:val="32"/>
          <w:lang w:val="en-US" w:eastAsia="zh-CN"/>
        </w:rPr>
        <w:t>（五）校企合作深入融合。</w:t>
      </w:r>
      <w:r>
        <w:rPr>
          <w:rFonts w:hint="eastAsia" w:ascii="仿宋_GB2312" w:hAnsi="宋体" w:eastAsia="仿宋_GB2312" w:cs="宋体"/>
          <w:color w:val="000000"/>
          <w:spacing w:val="0"/>
          <w:kern w:val="0"/>
          <w:sz w:val="32"/>
          <w:szCs w:val="32"/>
          <w:lang w:val="en-US" w:eastAsia="zh-CN"/>
        </w:rPr>
        <w:t>学院与力合科技（湖南）股份有限公司、北控水务集团等合作企业充分发挥自身优势，构建“双主体”育人机制。教育部现代学徒制试点项目顺利通过验收；《现代学徒制试点：企业主体参与环境监测技术专业育人之破冰》获评湖南省职业教育现代学徒制试点优秀案例，入选《湖南省现代学徒制优秀案例集》。</w:t>
      </w:r>
    </w:p>
    <w:p>
      <w:pPr>
        <w:ind w:firstLine="643" w:firstLineChars="200"/>
        <w:rPr>
          <w:rFonts w:hint="eastAsia" w:ascii="仿宋_GB2312" w:hAnsi="宋体" w:eastAsia="仿宋_GB2312" w:cs="宋体"/>
          <w:color w:val="000000"/>
          <w:spacing w:val="0"/>
          <w:kern w:val="0"/>
          <w:sz w:val="32"/>
          <w:szCs w:val="32"/>
          <w:lang w:val="en-US" w:eastAsia="zh-CN"/>
        </w:rPr>
      </w:pPr>
      <w:r>
        <w:rPr>
          <w:rFonts w:hint="eastAsia" w:ascii="仿宋_GB2312" w:hAnsi="微软雅黑" w:eastAsia="仿宋_GB2312" w:cs="Times New Roman"/>
          <w:b/>
          <w:spacing w:val="0"/>
          <w:sz w:val="32"/>
          <w:szCs w:val="32"/>
          <w:lang w:val="en-US" w:eastAsia="zh-CN"/>
        </w:rPr>
        <w:t>（六）师资建设成绩斐然。</w:t>
      </w:r>
      <w:r>
        <w:rPr>
          <w:rFonts w:hint="eastAsia" w:ascii="仿宋_GB2312" w:hAnsi="宋体" w:eastAsia="仿宋_GB2312" w:cs="宋体"/>
          <w:color w:val="000000"/>
          <w:spacing w:val="0"/>
          <w:kern w:val="0"/>
          <w:sz w:val="32"/>
          <w:szCs w:val="32"/>
          <w:lang w:val="en-US" w:eastAsia="zh-CN"/>
        </w:rPr>
        <w:t>以提升教师专业教学能力、科学研究能力、社会服务能力为重点，推进教学专业团队建设。成功立项生态环境工程省级“双师型”名师工作室；教师参加湖南省职业院校教师职业能力比赛，获得二等奖2个，三等奖6个；黄炎培职业教育奖1人获得杰出教师奖，1人获得杰出贡献奖。教师思政教学能力竞赛，获得三等奖3个。</w:t>
      </w:r>
    </w:p>
    <w:p>
      <w:pPr>
        <w:ind w:firstLine="643" w:firstLineChars="200"/>
        <w:rPr>
          <w:rFonts w:hint="eastAsia" w:ascii="仿宋_GB2312" w:hAnsi="宋体" w:eastAsia="仿宋_GB2312" w:cs="宋体"/>
          <w:color w:val="000000"/>
          <w:spacing w:val="0"/>
          <w:kern w:val="0"/>
          <w:sz w:val="32"/>
          <w:szCs w:val="32"/>
          <w:lang w:val="en-US" w:eastAsia="zh-CN"/>
        </w:rPr>
      </w:pPr>
      <w:r>
        <w:rPr>
          <w:rFonts w:hint="eastAsia" w:ascii="仿宋_GB2312" w:hAnsi="微软雅黑" w:eastAsia="仿宋_GB2312" w:cs="Times New Roman"/>
          <w:b/>
          <w:spacing w:val="0"/>
          <w:sz w:val="32"/>
          <w:szCs w:val="32"/>
          <w:lang w:val="en-US" w:eastAsia="zh-CN"/>
        </w:rPr>
        <w:t>（七）三教改革取得突破。</w:t>
      </w:r>
      <w:r>
        <w:rPr>
          <w:rFonts w:hint="eastAsia" w:ascii="仿宋_GB2312" w:hAnsi="宋体" w:eastAsia="仿宋_GB2312" w:cs="宋体"/>
          <w:color w:val="000000"/>
          <w:spacing w:val="0"/>
          <w:kern w:val="0"/>
          <w:sz w:val="32"/>
          <w:szCs w:val="32"/>
          <w:lang w:val="en-US" w:eastAsia="zh-CN"/>
        </w:rPr>
        <w:t>教学标准进一步完善。依托全国环境保护职业教育教学指导委员会秘书处，牵头组织开展环境保护类15个专业的专业简介和专业教学标准修（制）订工作，并承担环境监测技术等5个专业教学标准的建设与开发。构建互联网+驱动“三测一评”评价体系，举办首届教师教学能力示范竞赛与教学示范观摩活动，获得红网专题报道。本校教师主编的《清洁生产审核》教材获首届全国教材建设奖优秀教材二等奖。</w:t>
      </w:r>
    </w:p>
    <w:p>
      <w:pPr>
        <w:ind w:firstLine="643" w:firstLineChars="200"/>
        <w:rPr>
          <w:rFonts w:hint="eastAsia" w:ascii="仿宋_GB2312" w:hAnsi="宋体" w:eastAsia="仿宋_GB2312" w:cs="宋体"/>
          <w:color w:val="000000"/>
          <w:spacing w:val="0"/>
          <w:kern w:val="0"/>
          <w:sz w:val="32"/>
          <w:szCs w:val="32"/>
          <w:lang w:val="en-US" w:eastAsia="zh-CN"/>
        </w:rPr>
      </w:pPr>
      <w:r>
        <w:rPr>
          <w:rFonts w:hint="eastAsia" w:ascii="仿宋_GB2312" w:hAnsi="微软雅黑" w:eastAsia="仿宋_GB2312" w:cs="Times New Roman"/>
          <w:b/>
          <w:spacing w:val="0"/>
          <w:sz w:val="32"/>
          <w:szCs w:val="32"/>
          <w:lang w:val="en-US" w:eastAsia="zh-CN"/>
        </w:rPr>
        <w:t>（八）证书制度稳步推进。</w:t>
      </w:r>
      <w:r>
        <w:rPr>
          <w:rFonts w:hint="eastAsia" w:ascii="仿宋_GB2312" w:hAnsi="宋体" w:eastAsia="仿宋_GB2312" w:cs="宋体"/>
          <w:color w:val="000000"/>
          <w:spacing w:val="0"/>
          <w:kern w:val="0"/>
          <w:sz w:val="32"/>
          <w:szCs w:val="32"/>
          <w:lang w:val="en-US" w:eastAsia="zh-CN"/>
        </w:rPr>
        <w:t>获批1+X智能水厂运行与调控职业技能等级证书，目前学院共有11个1+X证书制度试点项目。推动岗课赛证融通，立项1+X证书制度改革研究项目2个，开发融职业技能登记证书考核内容课程标准8个。</w:t>
      </w:r>
    </w:p>
    <w:p>
      <w:pPr>
        <w:ind w:firstLine="640" w:firstLineChars="200"/>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2021年，学院共承接省教育厅职业教育提质培优行动计划（2020-2023年）任务21项，制定《提质培优行动计划整体建设方案》，全力推进各级项目建设工作落实落地。学院还承办了化学实验国赛选拔赛和湖南省职业院校技能大赛关务技能竞赛，既体现省教育厅对学院人才培养能力的认可，也为学院今后申报更高平台赛项奠定了经验和基础。</w:t>
      </w:r>
    </w:p>
    <w:p>
      <w:pPr>
        <w:ind w:firstLine="643" w:firstLineChars="200"/>
        <w:rPr>
          <w:rFonts w:hint="eastAsia" w:ascii="仿宋_GB2312" w:hAnsi="宋体" w:eastAsia="仿宋_GB2312" w:cs="宋体"/>
          <w:color w:val="000000"/>
          <w:spacing w:val="0"/>
          <w:kern w:val="0"/>
          <w:sz w:val="32"/>
          <w:szCs w:val="32"/>
          <w:lang w:val="en-US" w:eastAsia="zh-CN"/>
        </w:rPr>
      </w:pPr>
      <w:r>
        <w:rPr>
          <w:rFonts w:hint="eastAsia" w:ascii="仿宋_GB2312" w:hAnsi="微软雅黑" w:eastAsia="仿宋_GB2312" w:cs="Times New Roman"/>
          <w:b/>
          <w:spacing w:val="0"/>
          <w:sz w:val="32"/>
          <w:szCs w:val="32"/>
          <w:lang w:val="en-US" w:eastAsia="zh-CN"/>
        </w:rPr>
        <w:t>（九）切实建好人才智库。</w:t>
      </w:r>
      <w:r>
        <w:rPr>
          <w:rFonts w:hint="eastAsia" w:ascii="仿宋_GB2312" w:hAnsi="宋体" w:eastAsia="仿宋_GB2312" w:cs="宋体"/>
          <w:color w:val="000000"/>
          <w:spacing w:val="0"/>
          <w:kern w:val="0"/>
          <w:sz w:val="32"/>
          <w:szCs w:val="32"/>
          <w:lang w:val="en-US" w:eastAsia="zh-CN"/>
        </w:rPr>
        <w:t>保持深入打好污染防治攻坚战的战略定力和耐心，持续强化生态环境高水平保护人才支撑。一是科研水准有保障。学院省教育科学规划课题的申报指标位居全省高职院校第一梯队，院外课题立项数59项，科研经费总计362万元，其中，省科技厅自然科学基金项目5项，省教育厅职教高地课题立项5项、科学研究项目立项11项；省教育科学“十四五”规划课题4项，参与了省教育厅职教高地项目《湖南“政产学研用”协同创新生态系统下高职技术技能人才培养模式改革研究》以及教育科学“十三五”规划重大决策咨询项目《湖南省教育科学研究基地建设与管理研究》等，总体立项水平保持在全省高职院校前列。二是平台建设更完善。充分发挥与教育部、生态环境部、省生态环境厅以及行业企业等共建技术服务实践平台作用，助力区域生态环境保护工作。湖南省环境保护大气挥发性有机污染物监测与控制工程技术中心顺利通过省厅验收；湖南省耕地土壤与农产品重金属污染加密调查和湖南省重点行业企业用地调查专项工作顺利完成验收；依托湖南省自然保护地监管政策与技术研究中心为平台，参与我省生态环境状况评估、“绿盾行动”、自然保护地疑似人类违法活动遥感解译等工作。环保干部职工培训中心全年共培训学员5108人，完成各级各类培训41期，新建精品培训项目2项，编写环境管理干部培训教材3本，建设现场教学基地云参观课程4门，新增网络教学资源模块134个。与此同时，充分发挥“湖南省环境保护与教育科普基地”“绿色卫士名师宣讲团”“大手拉小手”等志愿服务品牌，面向社会公众开展生态环境科学普及和绿色低碳实践。</w:t>
      </w:r>
    </w:p>
    <w:p>
      <w:pPr>
        <w:ind w:firstLine="643" w:firstLineChars="200"/>
        <w:rPr>
          <w:rFonts w:hint="eastAsia" w:ascii="仿宋_GB2312" w:hAnsi="宋体" w:eastAsia="仿宋_GB2312" w:cs="宋体"/>
          <w:color w:val="000000"/>
          <w:spacing w:val="0"/>
          <w:kern w:val="0"/>
          <w:sz w:val="32"/>
          <w:szCs w:val="32"/>
          <w:lang w:val="en-US" w:eastAsia="zh-CN"/>
        </w:rPr>
      </w:pPr>
      <w:r>
        <w:rPr>
          <w:rFonts w:hint="eastAsia" w:ascii="仿宋_GB2312" w:hAnsi="微软雅黑" w:eastAsia="仿宋_GB2312" w:cs="Times New Roman"/>
          <w:b/>
          <w:spacing w:val="0"/>
          <w:sz w:val="32"/>
          <w:szCs w:val="32"/>
          <w:lang w:val="en-US" w:eastAsia="zh-CN"/>
        </w:rPr>
        <w:t>（十）积极助力乡村振兴。</w:t>
      </w:r>
      <w:r>
        <w:rPr>
          <w:rFonts w:hint="eastAsia" w:ascii="仿宋_GB2312" w:hAnsi="宋体" w:eastAsia="仿宋_GB2312" w:cs="宋体"/>
          <w:color w:val="000000"/>
          <w:spacing w:val="0"/>
          <w:kern w:val="0"/>
          <w:sz w:val="32"/>
          <w:szCs w:val="32"/>
          <w:lang w:val="en-US" w:eastAsia="zh-CN"/>
        </w:rPr>
        <w:t>依托环保专业优势，人力资源优势，从产业振兴、生态振兴、文化振兴和人才振兴四个方面发力，推动对口帮扶地区持续发展。2021年，参与乡村产业建设项目13个（较上年新增5个）、文化建设项目16个（较上年新增14个），强化脱贫攻坚成果与乡村振兴有效衔接。</w:t>
      </w:r>
    </w:p>
    <w:p>
      <w:pPr>
        <w:ind w:firstLine="640" w:firstLineChars="200"/>
        <w:rPr>
          <w:rFonts w:hint="eastAsia" w:ascii="黑体" w:hAnsi="黑体" w:eastAsia="黑体" w:cs="Times New Roman"/>
          <w:sz w:val="32"/>
          <w:szCs w:val="32"/>
        </w:rPr>
      </w:pPr>
      <w:r>
        <w:rPr>
          <w:rFonts w:hint="eastAsia" w:ascii="黑体" w:hAnsi="黑体" w:eastAsia="黑体" w:cs="Times New Roman"/>
          <w:spacing w:val="0"/>
          <w:sz w:val="32"/>
          <w:szCs w:val="32"/>
          <w:lang w:eastAsia="zh-CN"/>
        </w:rPr>
        <w:t>六</w:t>
      </w:r>
      <w:r>
        <w:rPr>
          <w:rFonts w:hint="eastAsia" w:ascii="黑体" w:hAnsi="黑体" w:eastAsia="黑体" w:cs="Times New Roman"/>
          <w:spacing w:val="0"/>
          <w:sz w:val="32"/>
          <w:szCs w:val="32"/>
        </w:rPr>
        <w:t>、</w:t>
      </w:r>
      <w:r>
        <w:rPr>
          <w:rFonts w:hint="eastAsia" w:ascii="黑体" w:hAnsi="黑体" w:eastAsia="黑体" w:cs="Times New Roman"/>
          <w:sz w:val="32"/>
          <w:szCs w:val="32"/>
        </w:rPr>
        <w:t>存在的主要问题及下一步改进措施</w:t>
      </w:r>
    </w:p>
    <w:p>
      <w:pPr>
        <w:ind w:firstLine="643" w:firstLineChars="200"/>
        <w:rPr>
          <w:rFonts w:hint="eastAsia" w:ascii="仿宋_GB2312" w:hAnsi="宋体" w:eastAsia="仿宋_GB2312" w:cs="宋体"/>
          <w:b/>
          <w:bCs/>
          <w:color w:val="000000"/>
          <w:spacing w:val="0"/>
          <w:kern w:val="0"/>
          <w:sz w:val="32"/>
          <w:szCs w:val="32"/>
          <w:lang w:val="en-US" w:eastAsia="zh-CN"/>
        </w:rPr>
      </w:pPr>
      <w:r>
        <w:rPr>
          <w:rFonts w:hint="eastAsia" w:ascii="仿宋" w:hAnsi="仿宋" w:eastAsia="仿宋" w:cs="仿宋"/>
          <w:b/>
          <w:bCs/>
          <w:color w:val="000000"/>
          <w:sz w:val="32"/>
          <w:szCs w:val="32"/>
          <w:lang w:eastAsia="zh-CN"/>
        </w:rPr>
        <w:t>（一）</w:t>
      </w:r>
      <w:r>
        <w:rPr>
          <w:rFonts w:hint="eastAsia" w:ascii="仿宋_GB2312" w:hAnsi="宋体" w:eastAsia="仿宋_GB2312" w:cs="宋体"/>
          <w:b/>
          <w:bCs/>
          <w:color w:val="000000"/>
          <w:spacing w:val="0"/>
          <w:kern w:val="0"/>
          <w:sz w:val="32"/>
          <w:szCs w:val="32"/>
          <w:lang w:val="en-US" w:eastAsia="zh-CN"/>
        </w:rPr>
        <w:t>工作经费缺口依然较大</w:t>
      </w:r>
    </w:p>
    <w:p>
      <w:pPr>
        <w:ind w:firstLine="640" w:firstLineChars="200"/>
        <w:rPr>
          <w:rFonts w:hint="default"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学院综合实训楼、西食堂计划2022年动工、两个项目投入上亿元，更要保障教学科研、教职工福利、日常运行资金需求量，资金链的保障工作将格外严峻。下一步将</w:t>
      </w:r>
      <w:r>
        <w:rPr>
          <w:rFonts w:hint="eastAsia" w:ascii="仿宋_GB2312" w:hAnsi="仿宋_GB2312" w:eastAsia="仿宋_GB2312" w:cs="仿宋_GB2312"/>
          <w:color w:val="000000"/>
          <w:spacing w:val="0"/>
          <w:kern w:val="2"/>
          <w:sz w:val="32"/>
          <w:szCs w:val="32"/>
          <w:lang w:val="en-US" w:eastAsia="zh-CN" w:bidi="ar-SA"/>
        </w:rPr>
        <w:t>积极向上级部门汇报，积极筹措发展资金，加强与企业、科研院所等学习交流，汇聚各方合力促进学院发展。</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微软雅黑" w:eastAsia="仿宋_GB2312" w:cs="Times New Roman"/>
          <w:b/>
          <w:color w:val="000000"/>
          <w:spacing w:val="0"/>
          <w:sz w:val="32"/>
          <w:szCs w:val="32"/>
          <w:lang w:val="en-US" w:eastAsia="zh-CN"/>
        </w:rPr>
      </w:pPr>
      <w:r>
        <w:rPr>
          <w:rFonts w:hint="eastAsia" w:ascii="仿宋_GB2312" w:hAnsi="微软雅黑" w:eastAsia="仿宋_GB2312" w:cs="Times New Roman"/>
          <w:b/>
          <w:color w:val="000000"/>
          <w:spacing w:val="0"/>
          <w:sz w:val="32"/>
          <w:szCs w:val="32"/>
          <w:lang w:val="en-US" w:eastAsia="zh-CN"/>
        </w:rPr>
        <w:t>（二）内控体系建设有待加强</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hAnsi="仿宋_GB2312" w:eastAsia="仿宋_GB2312" w:cs="仿宋_GB2312"/>
          <w:color w:val="000000"/>
          <w:spacing w:val="0"/>
          <w:kern w:val="2"/>
          <w:sz w:val="32"/>
          <w:szCs w:val="32"/>
          <w:lang w:val="en-US" w:eastAsia="zh-CN" w:bidi="ar-SA"/>
        </w:rPr>
        <w:t>学院还存在内部控制体制欠完善、执行效果和决断能力不够等不足， 要进一步完善现代大学制度，提升学院治理体系和治理能力水平。以生态文明和职业教育新理念为引领，全面推动实施学院“十四五”教育事业发展规划，不断完善教育教学、岗位设置、职称评定等关系师生切身利益的制度，推进各项制度的整体性、科学性和衔接性，完善学院内部治理体系。</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微软雅黑" w:eastAsia="仿宋_GB2312" w:cs="Times New Roman"/>
          <w:b/>
          <w:color w:val="000000"/>
          <w:spacing w:val="0"/>
          <w:sz w:val="32"/>
          <w:szCs w:val="32"/>
          <w:lang w:val="en-US" w:eastAsia="zh-CN"/>
        </w:rPr>
      </w:pPr>
      <w:r>
        <w:rPr>
          <w:rFonts w:hint="eastAsia" w:ascii="仿宋_GB2312" w:hAnsi="微软雅黑" w:eastAsia="仿宋_GB2312" w:cs="Times New Roman"/>
          <w:b/>
          <w:color w:val="000000"/>
          <w:spacing w:val="0"/>
          <w:sz w:val="32"/>
          <w:szCs w:val="32"/>
          <w:lang w:val="en-US" w:eastAsia="zh-CN"/>
        </w:rPr>
        <w:t>（三）教学资源配置亟需优化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hAnsi="仿宋_GB2312" w:eastAsia="仿宋_GB2312" w:cs="仿宋_GB2312"/>
          <w:color w:val="000000"/>
          <w:spacing w:val="0"/>
          <w:kern w:val="2"/>
          <w:sz w:val="32"/>
          <w:szCs w:val="32"/>
          <w:lang w:val="en-US" w:eastAsia="zh-CN" w:bidi="ar-SA"/>
        </w:rPr>
        <w:t>深入学习贯彻全国和全省职业教育大会精神，以提质培优行动计划为核心内容，切实加强内涵建设。立足人才培养方案，开展专业认证工作；抓好教师教学能力竞赛，促进岗课赛证融通，打造优质课程和高效课堂；建设教师教学创新团队，同步推动高水平专业群、教材建设、精品课程、课堂革命、课程思政、示范性虚拟仿真实训基地建设等提质培优项目，实现资源最优配置。</w:t>
      </w:r>
    </w:p>
    <w:p>
      <w:pPr>
        <w:pStyle w:val="4"/>
        <w:rPr>
          <w:rFonts w:hint="eastAsia" w:ascii="仿宋_GB2312" w:hAnsi="宋体" w:eastAsia="仿宋_GB2312" w:cs="宋体"/>
          <w:color w:val="000000"/>
          <w:spacing w:val="0"/>
          <w:kern w:val="0"/>
          <w:sz w:val="32"/>
          <w:szCs w:val="32"/>
          <w:lang w:val="en-US" w:eastAsia="zh-CN"/>
        </w:rPr>
      </w:pPr>
      <w:r>
        <w:rPr>
          <w:rFonts w:hint="eastAsia" w:ascii="仿宋_GB2312" w:hAnsi="宋体" w:eastAsia="仿宋_GB2312" w:cs="宋体"/>
          <w:color w:val="000000"/>
          <w:spacing w:val="0"/>
          <w:kern w:val="0"/>
          <w:sz w:val="32"/>
          <w:szCs w:val="32"/>
          <w:lang w:val="en-US" w:eastAsia="zh-CN"/>
        </w:rPr>
        <w:t xml:space="preserve">   </w:t>
      </w:r>
    </w:p>
    <w:p>
      <w:pPr>
        <w:ind w:firstLine="0" w:firstLineChars="0"/>
        <w:jc w:val="left"/>
        <w:rPr>
          <w:rFonts w:cs="黑体" w:asciiTheme="minorEastAsia" w:hAnsiTheme="minorEastAsia"/>
          <w:color w:val="558ED5" w:themeColor="text2" w:themeTint="99"/>
          <w:kern w:val="0"/>
          <w:sz w:val="32"/>
          <w:szCs w:val="32"/>
          <w14:textFill>
            <w14:solidFill>
              <w14:schemeClr w14:val="tx2">
                <w14:lumMod w14:val="60000"/>
                <w14:lumOff w14:val="40000"/>
              </w14:schemeClr>
            </w14:solidFill>
          </w14:textFill>
        </w:rPr>
      </w:pPr>
    </w:p>
    <w:sectPr>
      <w:pgSz w:w="11906" w:h="16838"/>
      <w:pgMar w:top="1440" w:right="1080" w:bottom="1440" w:left="1080" w:header="851" w:footer="992" w:gutter="0"/>
      <w:pgBorders>
        <w:top w:val="none" w:sz="0" w:space="0"/>
        <w:left w:val="none" w:sz="0" w:space="0"/>
        <w:bottom w:val="none" w:sz="0" w:space="0"/>
        <w:right w:val="none" w:sz="0" w:space="0"/>
      </w:pgBorders>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2000000000000000000"/>
    <w:charset w:val="86"/>
    <w:family w:val="script"/>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7A8140"/>
    <w:multiLevelType w:val="singleLevel"/>
    <w:tmpl w:val="847A8140"/>
    <w:lvl w:ilvl="0" w:tentative="0">
      <w:start w:val="1"/>
      <w:numFmt w:val="chineseCounting"/>
      <w:suff w:val="nothing"/>
      <w:lvlText w:val="%1、"/>
      <w:lvlJc w:val="left"/>
      <w:rPr>
        <w:rFonts w:hint="eastAsia"/>
      </w:rPr>
    </w:lvl>
  </w:abstractNum>
  <w:abstractNum w:abstractNumId="1">
    <w:nsid w:val="CF370C0C"/>
    <w:multiLevelType w:val="singleLevel"/>
    <w:tmpl w:val="CF370C0C"/>
    <w:lvl w:ilvl="0" w:tentative="0">
      <w:start w:val="6"/>
      <w:numFmt w:val="chineseCounting"/>
      <w:suff w:val="nothing"/>
      <w:lvlText w:val="%1、"/>
      <w:lvlJc w:val="left"/>
      <w:rPr>
        <w:rFonts w:hint="eastAsia"/>
      </w:rPr>
    </w:lvl>
  </w:abstractNum>
  <w:abstractNum w:abstractNumId="2">
    <w:nsid w:val="FE08ED60"/>
    <w:multiLevelType w:val="singleLevel"/>
    <w:tmpl w:val="FE08ED60"/>
    <w:lvl w:ilvl="0" w:tentative="0">
      <w:start w:val="5"/>
      <w:numFmt w:val="chineseCounting"/>
      <w:suff w:val="space"/>
      <w:lvlText w:val="第%1部分"/>
      <w:lvlJc w:val="left"/>
      <w:rPr>
        <w:rFonts w:hint="eastAsia"/>
      </w:rPr>
    </w:lvl>
  </w:abstractNum>
  <w:abstractNum w:abstractNumId="3">
    <w:nsid w:val="FEEFB5BA"/>
    <w:multiLevelType w:val="singleLevel"/>
    <w:tmpl w:val="FEEFB5BA"/>
    <w:lvl w:ilvl="0" w:tentative="0">
      <w:start w:val="1"/>
      <w:numFmt w:val="decimal"/>
      <w:lvlText w:val="%1."/>
      <w:lvlJc w:val="left"/>
      <w:pPr>
        <w:tabs>
          <w:tab w:val="left" w:pos="312"/>
        </w:tabs>
      </w:pPr>
    </w:lvl>
  </w:abstractNum>
  <w:abstractNum w:abstractNumId="4">
    <w:nsid w:val="3D14EC48"/>
    <w:multiLevelType w:val="singleLevel"/>
    <w:tmpl w:val="3D14EC48"/>
    <w:lvl w:ilvl="0" w:tentative="0">
      <w:start w:val="2"/>
      <w:numFmt w:val="chineseCounting"/>
      <w:suff w:val="nothing"/>
      <w:lvlText w:val="（%1）"/>
      <w:lvlJc w:val="left"/>
      <w:rPr>
        <w:rFonts w:hint="eastAsia"/>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2229B"/>
    <w:rsid w:val="000273BD"/>
    <w:rsid w:val="000415B7"/>
    <w:rsid w:val="00041E3F"/>
    <w:rsid w:val="00055DAA"/>
    <w:rsid w:val="00061F7B"/>
    <w:rsid w:val="000658A3"/>
    <w:rsid w:val="00074155"/>
    <w:rsid w:val="000A3F69"/>
    <w:rsid w:val="000F3FC3"/>
    <w:rsid w:val="00103957"/>
    <w:rsid w:val="00152C6D"/>
    <w:rsid w:val="00162D39"/>
    <w:rsid w:val="001653BC"/>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02AF5"/>
    <w:rsid w:val="00304C3C"/>
    <w:rsid w:val="003130C4"/>
    <w:rsid w:val="00316C4B"/>
    <w:rsid w:val="0032192B"/>
    <w:rsid w:val="003479BD"/>
    <w:rsid w:val="0037197D"/>
    <w:rsid w:val="003768D5"/>
    <w:rsid w:val="003B755D"/>
    <w:rsid w:val="003C47E6"/>
    <w:rsid w:val="003C4FC2"/>
    <w:rsid w:val="00401968"/>
    <w:rsid w:val="00415FD5"/>
    <w:rsid w:val="00416E61"/>
    <w:rsid w:val="0042790C"/>
    <w:rsid w:val="004506F9"/>
    <w:rsid w:val="004717A2"/>
    <w:rsid w:val="00473DF3"/>
    <w:rsid w:val="0048420B"/>
    <w:rsid w:val="00487911"/>
    <w:rsid w:val="00491741"/>
    <w:rsid w:val="004E7043"/>
    <w:rsid w:val="004F447A"/>
    <w:rsid w:val="00500E5F"/>
    <w:rsid w:val="005122EF"/>
    <w:rsid w:val="0051441A"/>
    <w:rsid w:val="00517C33"/>
    <w:rsid w:val="00523644"/>
    <w:rsid w:val="00526069"/>
    <w:rsid w:val="0054069E"/>
    <w:rsid w:val="00544866"/>
    <w:rsid w:val="005741A6"/>
    <w:rsid w:val="005767CC"/>
    <w:rsid w:val="00590D9F"/>
    <w:rsid w:val="00595D26"/>
    <w:rsid w:val="005A74E6"/>
    <w:rsid w:val="005B404E"/>
    <w:rsid w:val="005D4D55"/>
    <w:rsid w:val="005E2CFB"/>
    <w:rsid w:val="005F3D1C"/>
    <w:rsid w:val="00600BB8"/>
    <w:rsid w:val="006048B4"/>
    <w:rsid w:val="0062378F"/>
    <w:rsid w:val="00641842"/>
    <w:rsid w:val="00651EEC"/>
    <w:rsid w:val="00684426"/>
    <w:rsid w:val="00686673"/>
    <w:rsid w:val="00691E8C"/>
    <w:rsid w:val="006A22C4"/>
    <w:rsid w:val="006A351B"/>
    <w:rsid w:val="006B0422"/>
    <w:rsid w:val="006C1B53"/>
    <w:rsid w:val="006D7730"/>
    <w:rsid w:val="006E5284"/>
    <w:rsid w:val="006F3EB5"/>
    <w:rsid w:val="00702E34"/>
    <w:rsid w:val="00704395"/>
    <w:rsid w:val="00717621"/>
    <w:rsid w:val="00720FF1"/>
    <w:rsid w:val="00727A53"/>
    <w:rsid w:val="00735AE4"/>
    <w:rsid w:val="00787B42"/>
    <w:rsid w:val="007C4539"/>
    <w:rsid w:val="007C5445"/>
    <w:rsid w:val="007F3657"/>
    <w:rsid w:val="007F4773"/>
    <w:rsid w:val="00812ED5"/>
    <w:rsid w:val="008277D9"/>
    <w:rsid w:val="0084478C"/>
    <w:rsid w:val="0086638C"/>
    <w:rsid w:val="008670E8"/>
    <w:rsid w:val="00867F79"/>
    <w:rsid w:val="008953D9"/>
    <w:rsid w:val="008A3E8D"/>
    <w:rsid w:val="008A70E6"/>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F19CC"/>
    <w:rsid w:val="00AF7A44"/>
    <w:rsid w:val="00B23981"/>
    <w:rsid w:val="00B33BEA"/>
    <w:rsid w:val="00B50A7D"/>
    <w:rsid w:val="00B57C9F"/>
    <w:rsid w:val="00B63572"/>
    <w:rsid w:val="00B845B3"/>
    <w:rsid w:val="00B85D8B"/>
    <w:rsid w:val="00B8791D"/>
    <w:rsid w:val="00BB4A40"/>
    <w:rsid w:val="00BB4C3C"/>
    <w:rsid w:val="00BD6C3E"/>
    <w:rsid w:val="00BE3674"/>
    <w:rsid w:val="00C10681"/>
    <w:rsid w:val="00C3049A"/>
    <w:rsid w:val="00C31B1E"/>
    <w:rsid w:val="00C77645"/>
    <w:rsid w:val="00CD7BF1"/>
    <w:rsid w:val="00CE04C3"/>
    <w:rsid w:val="00CE76A0"/>
    <w:rsid w:val="00D148C6"/>
    <w:rsid w:val="00D17A8A"/>
    <w:rsid w:val="00D415BA"/>
    <w:rsid w:val="00D644EE"/>
    <w:rsid w:val="00D65E1D"/>
    <w:rsid w:val="00D7111A"/>
    <w:rsid w:val="00D92573"/>
    <w:rsid w:val="00D9735C"/>
    <w:rsid w:val="00DD06FF"/>
    <w:rsid w:val="00DD5FE9"/>
    <w:rsid w:val="00E00C7A"/>
    <w:rsid w:val="00E37D6C"/>
    <w:rsid w:val="00E55B68"/>
    <w:rsid w:val="00E67BE6"/>
    <w:rsid w:val="00E8683C"/>
    <w:rsid w:val="00EA2B72"/>
    <w:rsid w:val="00F16A36"/>
    <w:rsid w:val="00F74360"/>
    <w:rsid w:val="00FB462F"/>
    <w:rsid w:val="00FD01E4"/>
    <w:rsid w:val="00FE16FA"/>
    <w:rsid w:val="00FE328A"/>
    <w:rsid w:val="00FE5FDF"/>
    <w:rsid w:val="00FE6269"/>
    <w:rsid w:val="00FF5CD6"/>
    <w:rsid w:val="011C32B1"/>
    <w:rsid w:val="01E24605"/>
    <w:rsid w:val="01E90616"/>
    <w:rsid w:val="01EE419F"/>
    <w:rsid w:val="02090043"/>
    <w:rsid w:val="023E609B"/>
    <w:rsid w:val="02B349AE"/>
    <w:rsid w:val="02B96468"/>
    <w:rsid w:val="03054A97"/>
    <w:rsid w:val="032A2EC2"/>
    <w:rsid w:val="03822F19"/>
    <w:rsid w:val="03CA6453"/>
    <w:rsid w:val="03EF479E"/>
    <w:rsid w:val="043A3E45"/>
    <w:rsid w:val="051D0333"/>
    <w:rsid w:val="055B2848"/>
    <w:rsid w:val="0635215F"/>
    <w:rsid w:val="065F31F0"/>
    <w:rsid w:val="06917D4D"/>
    <w:rsid w:val="06D156ED"/>
    <w:rsid w:val="06E31D05"/>
    <w:rsid w:val="06EE3CE0"/>
    <w:rsid w:val="071209DC"/>
    <w:rsid w:val="072A3D0D"/>
    <w:rsid w:val="073C0339"/>
    <w:rsid w:val="07622CD6"/>
    <w:rsid w:val="07AE39F0"/>
    <w:rsid w:val="07B31E7C"/>
    <w:rsid w:val="08626C5A"/>
    <w:rsid w:val="08AD26F1"/>
    <w:rsid w:val="08FC358A"/>
    <w:rsid w:val="0928625C"/>
    <w:rsid w:val="092B3E90"/>
    <w:rsid w:val="096D5FC7"/>
    <w:rsid w:val="09954E0D"/>
    <w:rsid w:val="09C104BE"/>
    <w:rsid w:val="0A425993"/>
    <w:rsid w:val="0A8E01DA"/>
    <w:rsid w:val="0A9A6800"/>
    <w:rsid w:val="0AD344B5"/>
    <w:rsid w:val="0AF8720A"/>
    <w:rsid w:val="0BB230AE"/>
    <w:rsid w:val="0BD5178B"/>
    <w:rsid w:val="0BD51E39"/>
    <w:rsid w:val="0CC1114E"/>
    <w:rsid w:val="0CE71612"/>
    <w:rsid w:val="0D0A7187"/>
    <w:rsid w:val="0D2D667A"/>
    <w:rsid w:val="0DDE3227"/>
    <w:rsid w:val="0E2F75DE"/>
    <w:rsid w:val="0E9362FF"/>
    <w:rsid w:val="0EB176C1"/>
    <w:rsid w:val="10F92534"/>
    <w:rsid w:val="11661CBB"/>
    <w:rsid w:val="11863596"/>
    <w:rsid w:val="124905CE"/>
    <w:rsid w:val="12F45F70"/>
    <w:rsid w:val="1304290E"/>
    <w:rsid w:val="13B87655"/>
    <w:rsid w:val="140D7BAA"/>
    <w:rsid w:val="14174192"/>
    <w:rsid w:val="1419148A"/>
    <w:rsid w:val="1424395D"/>
    <w:rsid w:val="143604D4"/>
    <w:rsid w:val="147D4744"/>
    <w:rsid w:val="14D57A43"/>
    <w:rsid w:val="152966D1"/>
    <w:rsid w:val="17E114FD"/>
    <w:rsid w:val="182F7CA7"/>
    <w:rsid w:val="18DA2C0A"/>
    <w:rsid w:val="190F6344"/>
    <w:rsid w:val="19553A28"/>
    <w:rsid w:val="19AE2383"/>
    <w:rsid w:val="1A212685"/>
    <w:rsid w:val="1A3A4457"/>
    <w:rsid w:val="1A763F12"/>
    <w:rsid w:val="1A84273E"/>
    <w:rsid w:val="1AEB6F83"/>
    <w:rsid w:val="1B6E02CF"/>
    <w:rsid w:val="1B814F05"/>
    <w:rsid w:val="1D020457"/>
    <w:rsid w:val="1D69545D"/>
    <w:rsid w:val="1DCC2B57"/>
    <w:rsid w:val="1DE318F5"/>
    <w:rsid w:val="1E17735E"/>
    <w:rsid w:val="1E205195"/>
    <w:rsid w:val="1E7048EC"/>
    <w:rsid w:val="1E7D7EA8"/>
    <w:rsid w:val="1E8141F8"/>
    <w:rsid w:val="1EB22980"/>
    <w:rsid w:val="1EFD2E6A"/>
    <w:rsid w:val="1FA97BE3"/>
    <w:rsid w:val="1FB52EF1"/>
    <w:rsid w:val="1FB72922"/>
    <w:rsid w:val="20566FC7"/>
    <w:rsid w:val="20953A06"/>
    <w:rsid w:val="20A83220"/>
    <w:rsid w:val="21961C62"/>
    <w:rsid w:val="222217CB"/>
    <w:rsid w:val="22715FC0"/>
    <w:rsid w:val="238538B1"/>
    <w:rsid w:val="23E93674"/>
    <w:rsid w:val="23EC455E"/>
    <w:rsid w:val="24187238"/>
    <w:rsid w:val="25713388"/>
    <w:rsid w:val="266C5E8E"/>
    <w:rsid w:val="28706D19"/>
    <w:rsid w:val="28CE0ACE"/>
    <w:rsid w:val="2962018F"/>
    <w:rsid w:val="296A3769"/>
    <w:rsid w:val="29A62381"/>
    <w:rsid w:val="29B2544C"/>
    <w:rsid w:val="2A026FCD"/>
    <w:rsid w:val="2A0C7CF4"/>
    <w:rsid w:val="2A2A2113"/>
    <w:rsid w:val="2A581813"/>
    <w:rsid w:val="2ACC0F08"/>
    <w:rsid w:val="2ADE45FB"/>
    <w:rsid w:val="2B2F7AC0"/>
    <w:rsid w:val="2BCE40D9"/>
    <w:rsid w:val="2C3748FB"/>
    <w:rsid w:val="2C7117F9"/>
    <w:rsid w:val="2CC20904"/>
    <w:rsid w:val="2CCD7861"/>
    <w:rsid w:val="2CDB288B"/>
    <w:rsid w:val="2CF93878"/>
    <w:rsid w:val="2E517F2F"/>
    <w:rsid w:val="2F4277B9"/>
    <w:rsid w:val="3023206E"/>
    <w:rsid w:val="33036E71"/>
    <w:rsid w:val="34223CBA"/>
    <w:rsid w:val="342D4A4E"/>
    <w:rsid w:val="347360D4"/>
    <w:rsid w:val="34CF0178"/>
    <w:rsid w:val="35077230"/>
    <w:rsid w:val="35514B93"/>
    <w:rsid w:val="3624002B"/>
    <w:rsid w:val="363932F5"/>
    <w:rsid w:val="36912A67"/>
    <w:rsid w:val="36D94C73"/>
    <w:rsid w:val="373D7474"/>
    <w:rsid w:val="375D70F9"/>
    <w:rsid w:val="387F0D2C"/>
    <w:rsid w:val="38B32EA0"/>
    <w:rsid w:val="396111EB"/>
    <w:rsid w:val="3A2F029E"/>
    <w:rsid w:val="3A4F216D"/>
    <w:rsid w:val="3A4F678F"/>
    <w:rsid w:val="3C7660C1"/>
    <w:rsid w:val="3CB311D3"/>
    <w:rsid w:val="3D0639CC"/>
    <w:rsid w:val="3D722550"/>
    <w:rsid w:val="3DA36E15"/>
    <w:rsid w:val="3DE5493E"/>
    <w:rsid w:val="3F8670A2"/>
    <w:rsid w:val="402E518A"/>
    <w:rsid w:val="41F03E1C"/>
    <w:rsid w:val="431D0717"/>
    <w:rsid w:val="43761230"/>
    <w:rsid w:val="437A41A8"/>
    <w:rsid w:val="437B66C9"/>
    <w:rsid w:val="43832488"/>
    <w:rsid w:val="440C680F"/>
    <w:rsid w:val="455E3070"/>
    <w:rsid w:val="455E571A"/>
    <w:rsid w:val="460D0AA7"/>
    <w:rsid w:val="46646595"/>
    <w:rsid w:val="470E6B58"/>
    <w:rsid w:val="47A93099"/>
    <w:rsid w:val="483241F5"/>
    <w:rsid w:val="4948008A"/>
    <w:rsid w:val="49951CE4"/>
    <w:rsid w:val="4A3A022E"/>
    <w:rsid w:val="4A583AF2"/>
    <w:rsid w:val="4AB65D6A"/>
    <w:rsid w:val="4B40283B"/>
    <w:rsid w:val="4CFA17D6"/>
    <w:rsid w:val="4D1B6EBC"/>
    <w:rsid w:val="4D9431AD"/>
    <w:rsid w:val="4E0A1F85"/>
    <w:rsid w:val="4E1943DD"/>
    <w:rsid w:val="4E4C6D60"/>
    <w:rsid w:val="4E565224"/>
    <w:rsid w:val="4EFA2965"/>
    <w:rsid w:val="503A4FB9"/>
    <w:rsid w:val="513C79F4"/>
    <w:rsid w:val="521F7183"/>
    <w:rsid w:val="52817153"/>
    <w:rsid w:val="533E7DD8"/>
    <w:rsid w:val="53F94A03"/>
    <w:rsid w:val="547277F2"/>
    <w:rsid w:val="54D04518"/>
    <w:rsid w:val="555761C5"/>
    <w:rsid w:val="558C48E3"/>
    <w:rsid w:val="5744575F"/>
    <w:rsid w:val="577818D6"/>
    <w:rsid w:val="58066616"/>
    <w:rsid w:val="58EC0F56"/>
    <w:rsid w:val="58EC1064"/>
    <w:rsid w:val="59472968"/>
    <w:rsid w:val="594A0CAC"/>
    <w:rsid w:val="59725282"/>
    <w:rsid w:val="598F04FE"/>
    <w:rsid w:val="5A4337F2"/>
    <w:rsid w:val="5A464D4A"/>
    <w:rsid w:val="5AEB30CF"/>
    <w:rsid w:val="5B3550D5"/>
    <w:rsid w:val="5BEC0BB6"/>
    <w:rsid w:val="5C592870"/>
    <w:rsid w:val="5D9805D8"/>
    <w:rsid w:val="5DE704B4"/>
    <w:rsid w:val="5DFE288A"/>
    <w:rsid w:val="5F1276C8"/>
    <w:rsid w:val="5F781A34"/>
    <w:rsid w:val="5F8363DC"/>
    <w:rsid w:val="5F97635E"/>
    <w:rsid w:val="601E7B0E"/>
    <w:rsid w:val="60241A25"/>
    <w:rsid w:val="603D26A5"/>
    <w:rsid w:val="60A971FB"/>
    <w:rsid w:val="6108111C"/>
    <w:rsid w:val="617F436D"/>
    <w:rsid w:val="61881FEF"/>
    <w:rsid w:val="62343C58"/>
    <w:rsid w:val="62A9763D"/>
    <w:rsid w:val="62D87139"/>
    <w:rsid w:val="62F40D0F"/>
    <w:rsid w:val="63266236"/>
    <w:rsid w:val="6353259C"/>
    <w:rsid w:val="63AF6768"/>
    <w:rsid w:val="63C54A07"/>
    <w:rsid w:val="642A169A"/>
    <w:rsid w:val="647935B7"/>
    <w:rsid w:val="65A13CBB"/>
    <w:rsid w:val="66091638"/>
    <w:rsid w:val="661531D4"/>
    <w:rsid w:val="66472B09"/>
    <w:rsid w:val="674212A6"/>
    <w:rsid w:val="67560F61"/>
    <w:rsid w:val="6764120B"/>
    <w:rsid w:val="67955BF8"/>
    <w:rsid w:val="67B91145"/>
    <w:rsid w:val="67F93869"/>
    <w:rsid w:val="68112840"/>
    <w:rsid w:val="68D006B4"/>
    <w:rsid w:val="6A3C3DCD"/>
    <w:rsid w:val="6AE306AA"/>
    <w:rsid w:val="6B80414A"/>
    <w:rsid w:val="6B945FB8"/>
    <w:rsid w:val="6D89482E"/>
    <w:rsid w:val="6E670667"/>
    <w:rsid w:val="6E743570"/>
    <w:rsid w:val="6ECB5113"/>
    <w:rsid w:val="6FC54822"/>
    <w:rsid w:val="714E101B"/>
    <w:rsid w:val="71687EA1"/>
    <w:rsid w:val="71C42D2E"/>
    <w:rsid w:val="71D75482"/>
    <w:rsid w:val="73176E7A"/>
    <w:rsid w:val="735E3A80"/>
    <w:rsid w:val="73C713DA"/>
    <w:rsid w:val="744423EC"/>
    <w:rsid w:val="74463A57"/>
    <w:rsid w:val="747F7695"/>
    <w:rsid w:val="74A078DA"/>
    <w:rsid w:val="74E8658E"/>
    <w:rsid w:val="750C6A4F"/>
    <w:rsid w:val="75160A9A"/>
    <w:rsid w:val="7574372C"/>
    <w:rsid w:val="769A22C6"/>
    <w:rsid w:val="76DA4303"/>
    <w:rsid w:val="77D73538"/>
    <w:rsid w:val="789C436E"/>
    <w:rsid w:val="792C2A7B"/>
    <w:rsid w:val="79A544A3"/>
    <w:rsid w:val="79B576B5"/>
    <w:rsid w:val="7A893976"/>
    <w:rsid w:val="7B1B7E87"/>
    <w:rsid w:val="7B4A7FF6"/>
    <w:rsid w:val="7BD328A6"/>
    <w:rsid w:val="7BDC0EB8"/>
    <w:rsid w:val="7BFE331E"/>
    <w:rsid w:val="7C43544C"/>
    <w:rsid w:val="7CB73744"/>
    <w:rsid w:val="7DBE1CB8"/>
    <w:rsid w:val="7E8C0B4A"/>
    <w:rsid w:val="7F181FFC"/>
    <w:rsid w:val="7FD6113F"/>
    <w:rsid w:val="7FD64829"/>
    <w:rsid w:val="F9BF2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2">
    <w:name w:val="列出段落1"/>
    <w:basedOn w:val="1"/>
    <w:qFormat/>
    <w:uiPriority w:val="0"/>
    <w:pPr>
      <w:snapToGrid w:val="0"/>
      <w:ind w:firstLine="420"/>
    </w:pPr>
    <w:rPr>
      <w:rFonts w:ascii="等线" w:hAnsi="等线"/>
      <w:szCs w:val="22"/>
    </w:rPr>
  </w:style>
  <w:style w:type="paragraph" w:styleId="3">
    <w:name w:val="annotation text"/>
    <w:basedOn w:val="1"/>
    <w:qFormat/>
    <w:uiPriority w:val="0"/>
    <w:pPr>
      <w:jc w:val="left"/>
    </w:pPr>
    <w:rPr>
      <w:rFonts w:ascii="Times New Roman" w:hAnsi="Times New Roman" w:eastAsia="宋体" w:cs="Times New Roman"/>
      <w:szCs w:val="24"/>
    </w:rPr>
  </w:style>
  <w:style w:type="paragraph" w:styleId="4">
    <w:name w:val="Body Text"/>
    <w:basedOn w:val="1"/>
    <w:qFormat/>
    <w:uiPriority w:val="99"/>
    <w:pPr>
      <w:spacing w:after="120"/>
    </w:pPr>
  </w:style>
  <w:style w:type="paragraph" w:styleId="5">
    <w:name w:val="Body Text Indent"/>
    <w:basedOn w:val="1"/>
    <w:unhideWhenUsed/>
    <w:qFormat/>
    <w:uiPriority w:val="99"/>
    <w:pPr>
      <w:ind w:left="420" w:leftChars="200"/>
    </w:pPr>
  </w:style>
  <w:style w:type="paragraph" w:styleId="6">
    <w:name w:val="Balloon Text"/>
    <w:basedOn w:val="1"/>
    <w:link w:val="18"/>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5"/>
    <w:unhideWhenUsed/>
    <w:qFormat/>
    <w:uiPriority w:val="99"/>
    <w:pPr>
      <w:autoSpaceDE w:val="0"/>
      <w:autoSpaceDN w:val="0"/>
      <w:adjustRightInd w:val="0"/>
      <w:ind w:firstLine="420"/>
      <w:jc w:val="left"/>
    </w:pPr>
    <w:rPr>
      <w:rFonts w:ascii="Calibri" w:hAnsi="Calibri" w:eastAsia="仿宋_GB2312"/>
      <w:kern w:val="0"/>
    </w:rPr>
  </w:style>
  <w:style w:type="character" w:styleId="12">
    <w:name w:val="Strong"/>
    <w:basedOn w:val="11"/>
    <w:qFormat/>
    <w:uiPriority w:val="22"/>
    <w:rPr>
      <w:b/>
    </w:rPr>
  </w:style>
  <w:style w:type="paragraph" w:customStyle="1" w:styleId="13">
    <w:name w:val="首行缩进"/>
    <w:basedOn w:val="1"/>
    <w:qFormat/>
    <w:uiPriority w:val="0"/>
    <w:pPr>
      <w:keepNext w:val="0"/>
      <w:keepLines w:val="0"/>
      <w:widowControl/>
      <w:suppressLineNumbers w:val="0"/>
      <w:spacing w:before="0" w:beforeAutospacing="0" w:after="0" w:afterAutospacing="0"/>
      <w:ind w:left="0" w:right="0" w:firstLine="480" w:firstLineChars="200"/>
      <w:jc w:val="left"/>
    </w:pPr>
    <w:rPr>
      <w:rFonts w:hint="eastAsia" w:ascii="宋体" w:hAnsi="宋体" w:eastAsia="宋体" w:cs="宋体"/>
      <w:kern w:val="0"/>
      <w:sz w:val="24"/>
      <w:szCs w:val="24"/>
      <w:lang w:val="en-US" w:eastAsia="zh-CN" w:bidi="ar"/>
    </w:rPr>
  </w:style>
  <w:style w:type="character" w:customStyle="1" w:styleId="14">
    <w:name w:val="页眉 字符"/>
    <w:basedOn w:val="11"/>
    <w:link w:val="8"/>
    <w:qFormat/>
    <w:uiPriority w:val="99"/>
    <w:rPr>
      <w:sz w:val="18"/>
      <w:szCs w:val="18"/>
    </w:rPr>
  </w:style>
  <w:style w:type="character" w:customStyle="1" w:styleId="15">
    <w:name w:val="页脚 字符"/>
    <w:basedOn w:val="11"/>
    <w:link w:val="7"/>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字符"/>
    <w:basedOn w:val="11"/>
    <w:link w:val="6"/>
    <w:semiHidden/>
    <w:qFormat/>
    <w:uiPriority w:val="99"/>
    <w:rPr>
      <w:sz w:val="18"/>
      <w:szCs w:val="18"/>
    </w:rPr>
  </w:style>
  <w:style w:type="character" w:customStyle="1" w:styleId="19">
    <w:name w:val="font41"/>
    <w:basedOn w:val="11"/>
    <w:qFormat/>
    <w:uiPriority w:val="0"/>
    <w:rPr>
      <w:rFonts w:hint="default" w:ascii="仿宋_GB2312" w:eastAsia="仿宋_GB2312" w:cs="仿宋_GB2312"/>
      <w:b/>
      <w:bCs/>
      <w:color w:val="000000"/>
      <w:sz w:val="24"/>
      <w:szCs w:val="24"/>
      <w:u w:val="none"/>
    </w:rPr>
  </w:style>
  <w:style w:type="paragraph" w:customStyle="1" w:styleId="20">
    <w:name w:val="No Spacing_ad81b47b-6779-4c76-b471-79375858c8cb"/>
    <w:basedOn w:val="1"/>
    <w:qFormat/>
    <w:uiPriority w:val="99"/>
    <w:pPr>
      <w:ind w:firstLine="20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47</Pages>
  <Words>16199</Words>
  <Characters>21777</Characters>
  <Lines>1</Lines>
  <Paragraphs>1</Paragraphs>
  <TotalTime>9</TotalTime>
  <ScaleCrop>false</ScaleCrop>
  <LinksUpToDate>false</LinksUpToDate>
  <CharactersWithSpaces>23795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2021-08-26T06:52:00Z</dcterms:created>
  <dc:creator>李航 null</dc:creator>
  <cp:lastModifiedBy>rani</cp:lastModifiedBy>
  <cp:lastPrinted>2021-08-05T16:54:00Z</cp:lastPrinted>
  <dcterms:modified xsi:type="dcterms:W3CDTF">2023-09-24T10:48:30Z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16C104F537504AE78606725E1E1FE8C3_13</vt:lpwstr>
  </property>
</Properties>
</file>