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r>
        <w:rPr>
          <w:sz w:val="56"/>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372" name="文本框 1"/>
                <wp:cNvGraphicFramePr/>
                <a:graphic xmlns:a="http://schemas.openxmlformats.org/drawingml/2006/main">
                  <a:graphicData uri="http://schemas.microsoft.com/office/word/2010/wordprocessingShape">
                    <wps:wsp>
                      <wps:cNvSpPr/>
                      <wps:spPr>
                        <a:xfrm>
                          <a:off x="0" y="0"/>
                          <a:ext cx="1523365" cy="517525"/>
                        </a:xfrm>
                        <a:prstGeom prst="rect">
                          <a:avLst/>
                        </a:prstGeom>
                        <a:solidFill>
                          <a:schemeClr val="lt1"/>
                        </a:solidFill>
                        <a:ln>
                          <a:noFill/>
                        </a:ln>
                      </wps:spPr>
                      <wps:style>
                        <a:lnRef idx="0">
                          <a:srgbClr val="FFFFFF"/>
                        </a:lnRef>
                        <a:fillRef idx="0">
                          <a:schemeClr val="lt1"/>
                        </a:fillRef>
                        <a:effectRef idx="0">
                          <a:schemeClr val="accent1"/>
                        </a:effectRef>
                        <a:fontRef idx="minor">
                          <a:schemeClr val="dk1"/>
                        </a:fontRef>
                      </wps:style>
                      <wps:txbx>
                        <w:txbxContent>
                          <w:p>
                            <w:pPr>
                              <w:rPr>
                                <w:rFonts w:hint="eastAsia" w:ascii="楷体" w:hAnsi="楷体" w:eastAsia="楷体" w:cs="楷体"/>
                                <w:sz w:val="30"/>
                                <w:szCs w:val="30"/>
                                <w:lang w:val="en-US" w:eastAsia="zh-CN"/>
                              </w:rPr>
                            </w:pPr>
                            <w:r>
                              <w:rPr>
                                <w:rFonts w:hint="eastAsia" w:ascii="楷体" w:hAnsi="楷体" w:eastAsia="楷体" w:cs="楷体"/>
                                <w:sz w:val="30"/>
                                <w:szCs w:val="30"/>
                                <w:lang w:eastAsia="zh-CN"/>
                              </w:rPr>
                              <w:t>附件</w:t>
                            </w:r>
                            <w:r>
                              <w:rPr>
                                <w:rFonts w:hint="eastAsia" w:ascii="楷体" w:hAnsi="楷体" w:eastAsia="楷体" w:cs="楷体"/>
                                <w:sz w:val="30"/>
                                <w:szCs w:val="30"/>
                                <w:lang w:val="en-US" w:eastAsia="zh-CN"/>
                              </w:rPr>
                              <w:t>2：</w:t>
                            </w:r>
                          </w:p>
                        </w:txbxContent>
                      </wps:txbx>
                      <wps:bodyPr rot="0" spcFirstLastPara="0" vertOverflow="overflow" horzOverflow="overflow" vert="horz" wrap="square" lIns="91440" tIns="45720" rIns="91440" bIns="45720" numCol="1" rtlCol="0" anchor="t" upright="0">
                        <a:noAutofit/>
                      </wps:bodyPr>
                    </wps:wsp>
                  </a:graphicData>
                </a:graphic>
              </wp:anchor>
            </w:drawing>
          </mc:Choice>
          <mc:Fallback>
            <w:pict>
              <v:rect id="文本框 1" o:spid="_x0000_s1026" o:spt="1" style="position:absolute;left:0pt;margin-left:-18.6pt;margin-top:-23.4pt;height:40.75pt;width:119.95pt;z-index:251659264;mso-width-relative:page;mso-height-relative:page;" fillcolor="#FFFFFF [3201]" filled="t" stroked="f" coordsize="21600,21600" o:gfxdata="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XHrgdgAAAAKAQAADwAAAAAAAAABACAAAAAiAAAAZHJzL2Rvd25yZXYueG1sUEsBAhQAFAAAAAgA&#10;h07iQMUT6JklAgAARQQAAA4AAAAAAAAAAQAgAAAAJwEAAGRycy9lMm9Eb2MueG1sUEsFBgAAAAAG&#10;AAYAWQEAAL4FAAAAAA==&#10;">
                <v:fill on="t" focussize="0,0"/>
                <v:stroke on="f"/>
                <v:imagedata o:title=""/>
                <o:lock v:ext="edit" aspectratio="f"/>
                <v:textbox>
                  <w:txbxContent>
                    <w:p>
                      <w:pPr>
                        <w:rPr>
                          <w:rFonts w:hint="eastAsia" w:ascii="楷体" w:hAnsi="楷体" w:eastAsia="楷体" w:cs="楷体"/>
                          <w:sz w:val="30"/>
                          <w:szCs w:val="30"/>
                          <w:lang w:val="en-US" w:eastAsia="zh-CN"/>
                        </w:rPr>
                      </w:pPr>
                      <w:r>
                        <w:rPr>
                          <w:rFonts w:hint="eastAsia" w:ascii="楷体" w:hAnsi="楷体" w:eastAsia="楷体" w:cs="楷体"/>
                          <w:sz w:val="30"/>
                          <w:szCs w:val="30"/>
                          <w:lang w:eastAsia="zh-CN"/>
                        </w:rPr>
                        <w:t>附件</w:t>
                      </w:r>
                      <w:r>
                        <w:rPr>
                          <w:rFonts w:hint="eastAsia" w:ascii="楷体" w:hAnsi="楷体" w:eastAsia="楷体" w:cs="楷体"/>
                          <w:sz w:val="30"/>
                          <w:szCs w:val="30"/>
                          <w:lang w:val="en-US" w:eastAsia="zh-CN"/>
                        </w:rPr>
                        <w:t>2：</w:t>
                      </w:r>
                    </w:p>
                  </w:txbxContent>
                </v:textbox>
              </v:rect>
            </w:pict>
          </mc:Fallback>
        </mc:AlternateContent>
      </w: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lang w:val="en-US" w:eastAsia="zh-CN"/>
        </w:rPr>
        <w:t>湖南省陶瓷技师学院</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spacing w:line="540" w:lineRule="exact"/>
        <w:jc w:val="both"/>
        <w:rPr>
          <w:sz w:val="56"/>
          <w:szCs w:val="56"/>
        </w:rPr>
      </w:pPr>
    </w:p>
    <w:p>
      <w:pPr>
        <w:pStyle w:val="14"/>
        <w:spacing w:line="500" w:lineRule="exact"/>
        <w:jc w:val="both"/>
        <w:rPr>
          <w:b/>
          <w:sz w:val="36"/>
          <w:szCs w:val="28"/>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单位概况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keepNext w:val="0"/>
        <w:keepLines w:val="0"/>
        <w:pageBreakBefore w:val="0"/>
        <w:kinsoku/>
        <w:wordWrap/>
        <w:overflowPunct/>
        <w:topLinePunct w:val="0"/>
        <w:autoSpaceDE/>
        <w:autoSpaceDN/>
        <w:bidi w:val="0"/>
        <w:adjustRightInd/>
        <w:snapToGrid/>
        <w:ind w:left="210" w:leftChars="100" w:right="210" w:rightChars="100"/>
        <w:jc w:val="center"/>
        <w:textAlignment w:val="auto"/>
        <w:rPr>
          <w:sz w:val="72"/>
          <w:szCs w:val="72"/>
        </w:rPr>
      </w:pPr>
    </w:p>
    <w:p>
      <w:pPr>
        <w:pStyle w:val="15"/>
        <w:keepNext w:val="0"/>
        <w:keepLines w:val="0"/>
        <w:pageBreakBefore w:val="0"/>
        <w:numPr>
          <w:ilvl w:val="0"/>
          <w:numId w:val="1"/>
        </w:numPr>
        <w:kinsoku/>
        <w:wordWrap/>
        <w:overflowPunct/>
        <w:topLinePunct w:val="0"/>
        <w:autoSpaceDE/>
        <w:autoSpaceDN/>
        <w:bidi w:val="0"/>
        <w:adjustRightInd/>
        <w:snapToGrid/>
        <w:ind w:left="210" w:leftChars="100" w:right="210" w:rightChars="100" w:firstLineChars="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kinsoku/>
        <w:wordWrap/>
        <w:overflowPunct/>
        <w:topLinePunct w:val="0"/>
        <w:autoSpaceDE/>
        <w:autoSpaceDN/>
        <w:bidi w:val="0"/>
        <w:adjustRightInd/>
        <w:snapToGrid/>
        <w:spacing w:line="600" w:lineRule="exact"/>
        <w:ind w:left="210" w:leftChars="100" w:right="210" w:rightChars="100" w:firstLine="320" w:firstLineChars="1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我</w:t>
      </w:r>
      <w:r>
        <w:rPr>
          <w:rFonts w:hint="eastAsia" w:ascii="Times New Roman" w:hAnsi="Times New Roman" w:eastAsia="仿宋_GB2312" w:cs="仿宋_GB2312"/>
          <w:bCs/>
          <w:kern w:val="0"/>
          <w:sz w:val="32"/>
          <w:szCs w:val="32"/>
        </w:rPr>
        <w:t>院隶属湖南省工业和信息化厅，是一所以培养中、高级技术人才为主的综合性国家级重点技工院校，是国家级非物质文化遗产（醴陵釉下五彩烧制技艺）传承基地、国家级阳光排舞进校园示范基地、湖南省职业技能竞赛（电子技术项目）集训基地、陶瓷专业委员会秘书单位、湖南省人才培训示范基地。分设预备技师、中级技工及高级技工等三个层次学历教育，对接市场，服务产业，形成了以预备技师、高级技工教育为主，兼有对口升学、成人高等教育、各类社会培训以及产学研一体化的办学发展格局。2020年12月经湖南省人民政府正式批复，同意以湖南轻工高级技工学校为主体，建立湖南省陶瓷技师学院。</w:t>
      </w:r>
    </w:p>
    <w:p>
      <w:pPr>
        <w:keepNext w:val="0"/>
        <w:keepLines w:val="0"/>
        <w:pageBreakBefore w:val="0"/>
        <w:widowControl/>
        <w:kinsoku/>
        <w:wordWrap/>
        <w:overflowPunct/>
        <w:topLinePunct w:val="0"/>
        <w:autoSpaceDE/>
        <w:autoSpaceDN/>
        <w:bidi w:val="0"/>
        <w:adjustRightInd/>
        <w:snapToGrid/>
        <w:spacing w:line="600" w:lineRule="exact"/>
        <w:ind w:left="210" w:leftChars="100" w:right="210" w:rightChars="1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autoSpaceDE w:val="0"/>
        <w:autoSpaceDN w:val="0"/>
        <w:adjustRightInd w:val="0"/>
        <w:snapToGrid w:val="0"/>
        <w:spacing w:line="360" w:lineRule="auto"/>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bidi="ar-SA"/>
        </w:rPr>
        <w:t>（一）内设机构设置。</w:t>
      </w:r>
      <w:r>
        <w:rPr>
          <w:rFonts w:hint="eastAsia" w:ascii="Times New Roman" w:hAnsi="Times New Roman" w:eastAsia="仿宋_GB2312" w:cs="仿宋_GB2312"/>
          <w:bCs/>
          <w:kern w:val="0"/>
          <w:sz w:val="32"/>
          <w:szCs w:val="32"/>
          <w:lang w:val="en-US" w:eastAsia="zh-CN"/>
        </w:rPr>
        <w:t>我院内设机构有党政办公室、组织人事处、财务处、教务处、学生工作处、招生就业处、督导室、培训管理处、后勤与资产管理处、基建办公室、工会、老校区综合管理办公室十三个职能处室，有机电产业系、现代服务产业系、陶瓷产业系和对口升学部、产业商学院三系一部一院。</w:t>
      </w:r>
    </w:p>
    <w:p>
      <w:pPr>
        <w:keepNext w:val="0"/>
        <w:keepLines w:val="0"/>
        <w:pageBreakBefore w:val="0"/>
        <w:widowControl/>
        <w:kinsoku/>
        <w:wordWrap/>
        <w:overflowPunct/>
        <w:topLinePunct w:val="0"/>
        <w:autoSpaceDE/>
        <w:autoSpaceDN/>
        <w:bidi w:val="0"/>
        <w:adjustRightInd/>
        <w:snapToGrid/>
        <w:spacing w:line="600" w:lineRule="exact"/>
        <w:ind w:left="210" w:leftChars="100" w:right="210" w:rightChars="100" w:firstLine="320" w:firstLineChars="1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val="en-US" w:eastAsia="zh-CN"/>
        </w:rPr>
        <w:t>湖南省陶瓷技师学院</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val="en-US" w:eastAsia="zh-CN"/>
        </w:rPr>
        <w:t>湖南省陶瓷技师学院</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pStyle w:val="14"/>
        <w:jc w:val="both"/>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9"/>
        <w:tblW w:w="15428" w:type="dxa"/>
        <w:tblInd w:w="0" w:type="dxa"/>
        <w:tblLayout w:type="fixed"/>
        <w:tblCellMar>
          <w:top w:w="0" w:type="dxa"/>
          <w:left w:w="0" w:type="dxa"/>
          <w:bottom w:w="0" w:type="dxa"/>
          <w:right w:w="0" w:type="dxa"/>
        </w:tblCellMar>
      </w:tblPr>
      <w:tblGrid>
        <w:gridCol w:w="298"/>
        <w:gridCol w:w="584"/>
        <w:gridCol w:w="2580"/>
        <w:gridCol w:w="1695"/>
        <w:gridCol w:w="1755"/>
        <w:gridCol w:w="1920"/>
        <w:gridCol w:w="1590"/>
        <w:gridCol w:w="1440"/>
        <w:gridCol w:w="1785"/>
        <w:gridCol w:w="1781"/>
      </w:tblGrid>
      <w:tr>
        <w:tblPrEx>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Style w:val="9"/>
              <w:tblW w:w="15398"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22"/>
              <w:gridCol w:w="592"/>
              <w:gridCol w:w="1365"/>
              <w:gridCol w:w="4897"/>
              <w:gridCol w:w="1537"/>
              <w:gridCol w:w="44"/>
              <w:gridCol w:w="26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4322" w:type="dxa"/>
                  <w:tcBorders>
                    <w:top w:val="nil"/>
                    <w:left w:val="nil"/>
                    <w:bottom w:val="nil"/>
                    <w:right w:val="nil"/>
                  </w:tcBorders>
                  <w:shd w:val="clear" w:color="auto" w:fill="auto"/>
                  <w:noWrap/>
                  <w:vAlign w:val="center"/>
                </w:tcPr>
                <w:p>
                  <w:pPr>
                    <w:jc w:val="left"/>
                    <w:rPr>
                      <w:rFonts w:hint="eastAsia" w:ascii="黑体" w:hAnsi="宋体" w:eastAsia="黑体" w:cs="黑体"/>
                      <w:i w:val="0"/>
                      <w:color w:val="000000"/>
                      <w:sz w:val="24"/>
                      <w:szCs w:val="24"/>
                      <w:u w:val="none"/>
                    </w:rPr>
                  </w:pPr>
                </w:p>
              </w:tc>
              <w:tc>
                <w:tcPr>
                  <w:tcW w:w="592"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1365"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4897"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1581" w:type="dxa"/>
                  <w:gridSpan w:val="2"/>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2641" w:type="dxa"/>
                  <w:tcBorders>
                    <w:top w:val="nil"/>
                    <w:left w:val="nil"/>
                    <w:bottom w:val="nil"/>
                    <w:right w:val="nil"/>
                  </w:tcBorders>
                  <w:shd w:val="clear" w:color="auto" w:fill="auto"/>
                  <w:noWrap/>
                  <w:vAlign w:val="center"/>
                </w:tcPr>
                <w:p>
                  <w:pPr>
                    <w:jc w:val="right"/>
                    <w:rPr>
                      <w:rFonts w:hint="eastAsia" w:ascii="黑体" w:hAnsi="宋体" w:eastAsia="黑体" w:cs="黑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15398"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4322"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592"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365"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4897"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581"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64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4322"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w:t>
                  </w:r>
                </w:p>
              </w:tc>
              <w:tc>
                <w:tcPr>
                  <w:tcW w:w="592"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365"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4897"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581"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64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6279"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收入</w:t>
                  </w:r>
                </w:p>
              </w:tc>
              <w:tc>
                <w:tcPr>
                  <w:tcW w:w="9119"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2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    目</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行次</w:t>
                  </w: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决算数</w:t>
                  </w:r>
                </w:p>
              </w:tc>
              <w:tc>
                <w:tcPr>
                  <w:tcW w:w="48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    目</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行次</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    次</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48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    次</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一、一般公共预算财政拨款收入</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6,385.08</w:t>
                  </w:r>
                </w:p>
              </w:tc>
              <w:tc>
                <w:tcPr>
                  <w:tcW w:w="48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一、一般公共服务支出</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14</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二、政府性基金预算财政拨款收入</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8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二、外交支出</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15</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三、国有资本经营预算财政拨款收入</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8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三、国防支出</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16</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四、上级补助收入</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8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四、公共安全支出</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17</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五、事业收入</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288.32</w:t>
                  </w:r>
                </w:p>
              </w:tc>
              <w:tc>
                <w:tcPr>
                  <w:tcW w:w="48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五、教育支出</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18</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5,783.31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六、经营收入</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171.57</w:t>
                  </w:r>
                </w:p>
              </w:tc>
              <w:tc>
                <w:tcPr>
                  <w:tcW w:w="48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六、科学技术支出</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19</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七、附属单位上缴收入</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八、其他收入</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357.33</w:t>
                  </w:r>
                </w:p>
              </w:tc>
              <w:tc>
                <w:tcPr>
                  <w:tcW w:w="4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4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十九、住房保障支出</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本年收入合计</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7,202.30</w:t>
                  </w:r>
                </w:p>
              </w:tc>
              <w:tc>
                <w:tcPr>
                  <w:tcW w:w="4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本年支出合计</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23</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6,843.70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使用非财政拨款结余</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692.48</w:t>
                  </w:r>
                </w:p>
              </w:tc>
              <w:tc>
                <w:tcPr>
                  <w:tcW w:w="4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结余分配</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24</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1980" w:firstLineChars="900"/>
                    <w:rPr>
                      <w:rFonts w:hint="eastAsia"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年初结转和结余</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664.71</w:t>
                  </w:r>
                </w:p>
              </w:tc>
              <w:tc>
                <w:tcPr>
                  <w:tcW w:w="4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 xml:space="preserve">                年末结转和结余</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1,715.79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43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5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13</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8,559.49</w:t>
                  </w:r>
                </w:p>
              </w:tc>
              <w:tc>
                <w:tcPr>
                  <w:tcW w:w="489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15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26</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8,559.49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5" w:hRule="atLeast"/>
              </w:trPr>
              <w:tc>
                <w:tcPr>
                  <w:tcW w:w="15398" w:type="dxa"/>
                  <w:gridSpan w:val="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注：1.本表反映部门本年度的总收支和年末结转结余情况。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    2.本套报表金额单位转换时可能存在尾数误差。</w:t>
                  </w:r>
                </w:p>
              </w:tc>
            </w:tr>
          </w:tbl>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29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58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8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5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2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9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8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8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rPr>
        <w:tc>
          <w:tcPr>
            <w:tcW w:w="882"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258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9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5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92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59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8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8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450" w:hRule="atLeast"/>
        </w:trPr>
        <w:tc>
          <w:tcPr>
            <w:tcW w:w="3462"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69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75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92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59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4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78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78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450" w:hRule="atLeast"/>
        </w:trPr>
        <w:tc>
          <w:tcPr>
            <w:tcW w:w="882"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258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9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8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8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315" w:hRule="atLeast"/>
        </w:trPr>
        <w:tc>
          <w:tcPr>
            <w:tcW w:w="882"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5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9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92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9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8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8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346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69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7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92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5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4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78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78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450" w:hRule="atLeast"/>
        </w:trPr>
        <w:tc>
          <w:tcPr>
            <w:tcW w:w="346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7,202.30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6,385.08</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288.32</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171.57</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357.33</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205</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教育支出</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6,025.40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5,208.18</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288.32</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171.57</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357.33</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20503</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sz w:val="15"/>
                <w:szCs w:val="15"/>
              </w:rPr>
            </w:pPr>
            <w:r>
              <w:rPr>
                <w:rFonts w:hint="eastAsia" w:ascii="宋体" w:hAnsi="宋体" w:eastAsia="宋体" w:cs="宋体"/>
                <w:i w:val="0"/>
                <w:iCs w:val="0"/>
                <w:color w:val="000000"/>
                <w:kern w:val="0"/>
                <w:sz w:val="15"/>
                <w:szCs w:val="15"/>
                <w:u w:val="none"/>
                <w:lang w:val="en-US" w:eastAsia="zh-CN" w:bidi="ar"/>
              </w:rPr>
              <w:t>职业教育</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华文中宋" w:hAnsi="华文中宋" w:eastAsia="华文中宋"/>
              </w:rPr>
            </w:pPr>
            <w:r>
              <w:rPr>
                <w:rFonts w:hint="eastAsia" w:ascii="宋体" w:hAnsi="宋体" w:eastAsia="宋体" w:cs="宋体"/>
                <w:i w:val="0"/>
                <w:iCs w:val="0"/>
                <w:color w:val="000000"/>
                <w:kern w:val="0"/>
                <w:sz w:val="22"/>
                <w:szCs w:val="22"/>
                <w:u w:val="none"/>
                <w:lang w:val="en-US" w:eastAsia="zh-CN" w:bidi="ar"/>
              </w:rPr>
              <w:t>6,025.40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5,208.18</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288.32</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171.57</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357.33</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2050302</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sz w:val="15"/>
                <w:szCs w:val="15"/>
              </w:rPr>
            </w:pPr>
            <w:r>
              <w:rPr>
                <w:rFonts w:hint="eastAsia" w:ascii="宋体" w:hAnsi="宋体" w:eastAsia="宋体" w:cs="宋体"/>
                <w:i w:val="0"/>
                <w:iCs w:val="0"/>
                <w:color w:val="000000"/>
                <w:kern w:val="0"/>
                <w:sz w:val="15"/>
                <w:szCs w:val="15"/>
                <w:u w:val="none"/>
                <w:lang w:val="en-US" w:eastAsia="zh-CN" w:bidi="ar"/>
              </w:rPr>
              <w:t>中等职业教育</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华文中宋" w:hAnsi="华文中宋" w:eastAsia="华文中宋"/>
              </w:rPr>
            </w:pPr>
            <w:r>
              <w:rPr>
                <w:rFonts w:hint="eastAsia" w:ascii="宋体" w:hAnsi="宋体" w:eastAsia="宋体" w:cs="宋体"/>
                <w:i w:val="0"/>
                <w:iCs w:val="0"/>
                <w:color w:val="000000"/>
                <w:kern w:val="0"/>
                <w:sz w:val="22"/>
                <w:szCs w:val="22"/>
                <w:u w:val="none"/>
                <w:lang w:val="en-US" w:eastAsia="zh-CN" w:bidi="ar"/>
              </w:rPr>
              <w:t>1,640.97</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1,640.97</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2050303</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sz w:val="15"/>
                <w:szCs w:val="15"/>
              </w:rPr>
            </w:pPr>
            <w:r>
              <w:rPr>
                <w:rFonts w:hint="eastAsia" w:ascii="宋体" w:hAnsi="宋体" w:eastAsia="宋体" w:cs="宋体"/>
                <w:i w:val="0"/>
                <w:iCs w:val="0"/>
                <w:color w:val="000000"/>
                <w:kern w:val="0"/>
                <w:sz w:val="15"/>
                <w:szCs w:val="15"/>
                <w:u w:val="none"/>
                <w:lang w:val="en-US" w:eastAsia="zh-CN" w:bidi="ar"/>
              </w:rPr>
              <w:t>技校教育</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华文中宋" w:hAnsi="华文中宋" w:eastAsia="华文中宋"/>
              </w:rPr>
            </w:pPr>
            <w:r>
              <w:rPr>
                <w:rFonts w:hint="eastAsia" w:ascii="宋体" w:hAnsi="宋体" w:eastAsia="宋体" w:cs="宋体"/>
                <w:i w:val="0"/>
                <w:iCs w:val="0"/>
                <w:color w:val="000000"/>
                <w:kern w:val="0"/>
                <w:sz w:val="22"/>
                <w:szCs w:val="22"/>
                <w:u w:val="none"/>
                <w:lang w:val="en-US" w:eastAsia="zh-CN" w:bidi="ar"/>
              </w:rPr>
              <w:t>4,384.43</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3,567.21</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288.32</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171.57</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357.33</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208</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sz w:val="15"/>
                <w:szCs w:val="15"/>
              </w:rPr>
            </w:pPr>
            <w:r>
              <w:rPr>
                <w:rFonts w:hint="eastAsia" w:ascii="宋体" w:hAnsi="宋体" w:eastAsia="宋体" w:cs="宋体"/>
                <w:i w:val="0"/>
                <w:iCs w:val="0"/>
                <w:color w:val="000000"/>
                <w:kern w:val="0"/>
                <w:sz w:val="15"/>
                <w:szCs w:val="15"/>
                <w:u w:val="none"/>
                <w:lang w:val="en-US" w:eastAsia="zh-CN" w:bidi="ar"/>
              </w:rPr>
              <w:t>社会保障和就业支出</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华文中宋" w:hAnsi="华文中宋" w:eastAsia="华文中宋"/>
              </w:rPr>
            </w:pPr>
            <w:r>
              <w:rPr>
                <w:rFonts w:hint="eastAsia" w:ascii="宋体" w:hAnsi="宋体" w:eastAsia="宋体" w:cs="宋体"/>
                <w:i w:val="0"/>
                <w:iCs w:val="0"/>
                <w:color w:val="000000"/>
                <w:kern w:val="0"/>
                <w:sz w:val="22"/>
                <w:szCs w:val="22"/>
                <w:u w:val="none"/>
                <w:lang w:val="en-US" w:eastAsia="zh-CN" w:bidi="ar"/>
              </w:rPr>
              <w:t>436.90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436.90</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20805</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sz w:val="15"/>
                <w:szCs w:val="15"/>
              </w:rPr>
            </w:pPr>
            <w:r>
              <w:rPr>
                <w:rFonts w:hint="eastAsia" w:ascii="宋体" w:hAnsi="宋体" w:eastAsia="宋体" w:cs="宋体"/>
                <w:i w:val="0"/>
                <w:iCs w:val="0"/>
                <w:color w:val="000000"/>
                <w:kern w:val="0"/>
                <w:sz w:val="15"/>
                <w:szCs w:val="15"/>
                <w:u w:val="none"/>
                <w:lang w:val="en-US" w:eastAsia="zh-CN" w:bidi="ar"/>
              </w:rPr>
              <w:t>行政事业单位养老支出</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华文中宋" w:hAnsi="华文中宋" w:eastAsia="华文中宋"/>
              </w:rPr>
            </w:pPr>
            <w:r>
              <w:rPr>
                <w:rFonts w:hint="eastAsia" w:ascii="宋体" w:hAnsi="宋体" w:eastAsia="宋体" w:cs="宋体"/>
                <w:i w:val="0"/>
                <w:iCs w:val="0"/>
                <w:color w:val="000000"/>
                <w:kern w:val="0"/>
                <w:sz w:val="22"/>
                <w:szCs w:val="22"/>
                <w:u w:val="none"/>
                <w:lang w:val="en-US" w:eastAsia="zh-CN" w:bidi="ar"/>
              </w:rPr>
              <w:t>306.30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306.30</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2080502</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sz w:val="15"/>
                <w:szCs w:val="15"/>
              </w:rPr>
            </w:pPr>
            <w:r>
              <w:rPr>
                <w:rFonts w:hint="eastAsia" w:ascii="宋体" w:hAnsi="宋体" w:eastAsia="宋体" w:cs="宋体"/>
                <w:i w:val="0"/>
                <w:iCs w:val="0"/>
                <w:color w:val="000000"/>
                <w:kern w:val="0"/>
                <w:sz w:val="15"/>
                <w:szCs w:val="15"/>
                <w:u w:val="none"/>
                <w:lang w:val="en-US" w:eastAsia="zh-CN" w:bidi="ar"/>
              </w:rPr>
              <w:t>事业单位离退休</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华文中宋" w:hAnsi="华文中宋" w:eastAsia="华文中宋"/>
              </w:rPr>
            </w:pPr>
            <w:r>
              <w:rPr>
                <w:rFonts w:hint="eastAsia" w:ascii="宋体" w:hAnsi="宋体" w:eastAsia="宋体" w:cs="宋体"/>
                <w:i w:val="0"/>
                <w:iCs w:val="0"/>
                <w:color w:val="000000"/>
                <w:kern w:val="0"/>
                <w:sz w:val="22"/>
                <w:szCs w:val="22"/>
                <w:u w:val="none"/>
                <w:lang w:val="en-US" w:eastAsia="zh-CN" w:bidi="ar"/>
              </w:rPr>
              <w:t>36.30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36.30</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2080505</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机关事业单位基本养老保险缴费支出</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华文中宋" w:hAnsi="华文中宋" w:eastAsia="华文中宋" w:cs="宋体"/>
                <w:sz w:val="24"/>
                <w:szCs w:val="24"/>
              </w:rPr>
            </w:pPr>
            <w:r>
              <w:rPr>
                <w:rFonts w:hint="eastAsia" w:ascii="宋体" w:hAnsi="宋体" w:eastAsia="宋体" w:cs="宋体"/>
                <w:i w:val="0"/>
                <w:iCs w:val="0"/>
                <w:color w:val="000000"/>
                <w:kern w:val="0"/>
                <w:sz w:val="22"/>
                <w:szCs w:val="22"/>
                <w:u w:val="none"/>
                <w:lang w:val="en-US" w:eastAsia="zh-CN" w:bidi="ar"/>
              </w:rPr>
              <w:t>270.00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270.00</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20807</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就业补助</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130.60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130.60</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2080799</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其他就业补助支出</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130.60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130.60</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210</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卫生健康支出</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140.00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140.00</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rPr>
            </w:pPr>
            <w:r>
              <w:rPr>
                <w:rFonts w:hint="eastAsia" w:ascii="宋体" w:hAnsi="宋体" w:eastAsia="宋体" w:cs="宋体"/>
                <w:i w:val="0"/>
                <w:iCs w:val="0"/>
                <w:color w:val="000000"/>
                <w:kern w:val="0"/>
                <w:sz w:val="22"/>
                <w:szCs w:val="22"/>
                <w:u w:val="none"/>
                <w:lang w:val="en-US" w:eastAsia="zh-CN" w:bidi="ar"/>
              </w:rPr>
              <w:t>21011</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sz w:val="15"/>
                <w:szCs w:val="15"/>
              </w:rPr>
            </w:pPr>
            <w:r>
              <w:rPr>
                <w:rFonts w:hint="eastAsia" w:ascii="宋体" w:hAnsi="宋体" w:eastAsia="宋体" w:cs="宋体"/>
                <w:i w:val="0"/>
                <w:iCs w:val="0"/>
                <w:color w:val="000000"/>
                <w:kern w:val="0"/>
                <w:sz w:val="15"/>
                <w:szCs w:val="15"/>
                <w:u w:val="none"/>
                <w:lang w:val="en-US" w:eastAsia="zh-CN" w:bidi="ar"/>
              </w:rPr>
              <w:t>行政事业单位医疗</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140.00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140.00</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450" w:hRule="atLeast"/>
        </w:trPr>
        <w:tc>
          <w:tcPr>
            <w:tcW w:w="8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2101102</w:t>
            </w:r>
          </w:p>
        </w:tc>
        <w:tc>
          <w:tcPr>
            <w:tcW w:w="258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15"/>
                <w:szCs w:val="15"/>
              </w:rPr>
            </w:pPr>
            <w:r>
              <w:rPr>
                <w:rFonts w:hint="eastAsia" w:ascii="宋体" w:hAnsi="宋体" w:eastAsia="宋体" w:cs="宋体"/>
                <w:i w:val="0"/>
                <w:iCs w:val="0"/>
                <w:color w:val="000000"/>
                <w:kern w:val="0"/>
                <w:sz w:val="15"/>
                <w:szCs w:val="15"/>
                <w:u w:val="none"/>
                <w:lang w:val="en-US" w:eastAsia="zh-CN" w:bidi="ar"/>
              </w:rPr>
              <w:t>事业单位医疗</w:t>
            </w:r>
          </w:p>
        </w:tc>
        <w:tc>
          <w:tcPr>
            <w:tcW w:w="169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140.00</w:t>
            </w:r>
          </w:p>
        </w:tc>
        <w:tc>
          <w:tcPr>
            <w:tcW w:w="175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140.00</w:t>
            </w:r>
          </w:p>
        </w:tc>
        <w:tc>
          <w:tcPr>
            <w:tcW w:w="19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rPr>
          <w:rFonts w:ascii="Times New Roman" w:hAnsi="Times New Roman" w:eastAsia="方正小标宋_GBK" w:cs="Times New Roman"/>
          <w:color w:val="000000"/>
          <w:kern w:val="0"/>
          <w:sz w:val="36"/>
          <w:szCs w:val="36"/>
        </w:rPr>
      </w:pPr>
    </w:p>
    <w:tbl>
      <w:tblPr>
        <w:tblStyle w:val="9"/>
        <w:tblW w:w="15640" w:type="dxa"/>
        <w:tblInd w:w="91" w:type="dxa"/>
        <w:tblLayout w:type="fixed"/>
        <w:tblCellMar>
          <w:top w:w="0" w:type="dxa"/>
          <w:left w:w="108" w:type="dxa"/>
          <w:bottom w:w="0" w:type="dxa"/>
          <w:right w:w="108" w:type="dxa"/>
        </w:tblCellMar>
      </w:tblPr>
      <w:tblGrid>
        <w:gridCol w:w="1236"/>
        <w:gridCol w:w="263"/>
        <w:gridCol w:w="2820"/>
        <w:gridCol w:w="1890"/>
        <w:gridCol w:w="1725"/>
        <w:gridCol w:w="1545"/>
        <w:gridCol w:w="1755"/>
        <w:gridCol w:w="1965"/>
        <w:gridCol w:w="2441"/>
      </w:tblGrid>
      <w:tr>
        <w:tblPrEx>
          <w:tblCellMar>
            <w:top w:w="0" w:type="dxa"/>
            <w:left w:w="108" w:type="dxa"/>
            <w:bottom w:w="0" w:type="dxa"/>
            <w:right w:w="108" w:type="dxa"/>
          </w:tblCellMar>
        </w:tblPrEx>
        <w:trPr>
          <w:trHeight w:val="807" w:hRule="atLeast"/>
        </w:trPr>
        <w:tc>
          <w:tcPr>
            <w:tcW w:w="15640"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82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9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4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5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6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41"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82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9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45"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75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6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41"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285" w:hRule="atLeast"/>
        </w:trPr>
        <w:tc>
          <w:tcPr>
            <w:tcW w:w="4319"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项    目</w:t>
            </w:r>
          </w:p>
        </w:tc>
        <w:tc>
          <w:tcPr>
            <w:tcW w:w="189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本年支出合计</w:t>
            </w:r>
          </w:p>
        </w:tc>
        <w:tc>
          <w:tcPr>
            <w:tcW w:w="172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基本支出</w:t>
            </w:r>
          </w:p>
        </w:tc>
        <w:tc>
          <w:tcPr>
            <w:tcW w:w="154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项目支出</w:t>
            </w:r>
          </w:p>
        </w:tc>
        <w:tc>
          <w:tcPr>
            <w:tcW w:w="175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上缴上级支出</w:t>
            </w:r>
          </w:p>
        </w:tc>
        <w:tc>
          <w:tcPr>
            <w:tcW w:w="196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经营支出</w:t>
            </w:r>
          </w:p>
        </w:tc>
        <w:tc>
          <w:tcPr>
            <w:tcW w:w="244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对附属单位补助支出</w:t>
            </w:r>
          </w:p>
        </w:tc>
      </w:tr>
      <w:tr>
        <w:tblPrEx>
          <w:tblCellMar>
            <w:top w:w="0" w:type="dxa"/>
            <w:left w:w="108" w:type="dxa"/>
            <w:bottom w:w="0" w:type="dxa"/>
            <w:right w:w="108" w:type="dxa"/>
          </w:tblCellMar>
        </w:tblPrEx>
        <w:trPr>
          <w:trHeight w:val="425" w:hRule="atLeast"/>
        </w:trPr>
        <w:tc>
          <w:tcPr>
            <w:tcW w:w="149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18"/>
                <w:szCs w:val="18"/>
              </w:rPr>
            </w:pPr>
            <w:r>
              <w:rPr>
                <w:rFonts w:hint="eastAsia" w:ascii="宋体" w:hAnsi="宋体" w:eastAsia="宋体" w:cs="宋体"/>
                <w:kern w:val="0"/>
                <w:sz w:val="15"/>
                <w:szCs w:val="15"/>
              </w:rPr>
              <w:t>功能分类科目编码</w:t>
            </w:r>
          </w:p>
        </w:tc>
        <w:tc>
          <w:tcPr>
            <w:tcW w:w="28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科目名称</w:t>
            </w:r>
          </w:p>
        </w:tc>
        <w:tc>
          <w:tcPr>
            <w:tcW w:w="18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9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4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r>
      <w:tr>
        <w:tblPrEx>
          <w:tblCellMar>
            <w:top w:w="0" w:type="dxa"/>
            <w:left w:w="108" w:type="dxa"/>
            <w:bottom w:w="0" w:type="dxa"/>
            <w:right w:w="108" w:type="dxa"/>
          </w:tblCellMar>
        </w:tblPrEx>
        <w:trPr>
          <w:trHeight w:val="312" w:hRule="atLeast"/>
        </w:trPr>
        <w:tc>
          <w:tcPr>
            <w:tcW w:w="14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8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44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55" w:hRule="atLeast"/>
        </w:trPr>
        <w:tc>
          <w:tcPr>
            <w:tcW w:w="431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89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72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5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75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96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44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CellMar>
            <w:top w:w="0" w:type="dxa"/>
            <w:left w:w="108" w:type="dxa"/>
            <w:bottom w:w="0" w:type="dxa"/>
            <w:right w:w="108" w:type="dxa"/>
          </w:tblCellMar>
        </w:tblPrEx>
        <w:trPr>
          <w:trHeight w:val="255" w:hRule="atLeast"/>
        </w:trPr>
        <w:tc>
          <w:tcPr>
            <w:tcW w:w="431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6,843.70</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3,307.90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3,358.88</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176.93</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205</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教育支出</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5,783.31</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2,461.60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3,144.78</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176.93</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20503</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职业教育</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5,783.31</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2,461.60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3,144.78</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176.93</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2050302</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中等职业教育</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1,740.16</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1,740.16</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2050303</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技校教育</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4,043.15</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2,461.60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1,404.62</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176.93</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208</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社会保障和就业支出</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520.39</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306.30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214.09</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20805</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行政事业单位养老支出</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306.30</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306.30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2080502</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事业单位离退休</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36.30</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36.30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2080505</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机关事业单位基本养老保险缴费支出</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270.00</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270.00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20807</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就业补助</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214.09</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214.09</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2080799</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其他就业补助支出</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214.09</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214.09</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210</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卫生健康支出</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140.00</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140.00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21011</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行政事业单位医疗</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140.00</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140.00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2101102</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事业单位医疗</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140.00</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140.00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221</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住房保障支出</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400.00</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400.00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22102</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住房改革支出</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400.00</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400.00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2210201</w:t>
            </w:r>
          </w:p>
        </w:tc>
        <w:tc>
          <w:tcPr>
            <w:tcW w:w="282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15"/>
                <w:szCs w:val="15"/>
              </w:rPr>
            </w:pPr>
            <w:r>
              <w:rPr>
                <w:rFonts w:hint="eastAsia" w:ascii="宋体" w:hAnsi="宋体" w:eastAsia="宋体" w:cs="宋体"/>
                <w:i w:val="0"/>
                <w:iCs w:val="0"/>
                <w:color w:val="000000"/>
                <w:kern w:val="0"/>
                <w:sz w:val="15"/>
                <w:szCs w:val="15"/>
                <w:u w:val="none"/>
                <w:lang w:val="en-US" w:eastAsia="zh-CN" w:bidi="ar"/>
              </w:rPr>
              <w:t>住房公积金</w:t>
            </w:r>
          </w:p>
        </w:tc>
        <w:tc>
          <w:tcPr>
            <w:tcW w:w="18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400.00</w:t>
            </w:r>
          </w:p>
        </w:tc>
        <w:tc>
          <w:tcPr>
            <w:tcW w:w="1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400.00</w:t>
            </w:r>
          </w:p>
        </w:tc>
        <w:tc>
          <w:tcPr>
            <w:tcW w:w="15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96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4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828" w:hRule="atLeast"/>
        </w:trPr>
        <w:tc>
          <w:tcPr>
            <w:tcW w:w="15640"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tbl>
      <w:tblPr>
        <w:tblStyle w:val="9"/>
        <w:tblW w:w="15521" w:type="dxa"/>
        <w:tblInd w:w="93" w:type="dxa"/>
        <w:tblLayout w:type="autofit"/>
        <w:tblCellMar>
          <w:top w:w="0" w:type="dxa"/>
          <w:left w:w="108" w:type="dxa"/>
          <w:bottom w:w="0" w:type="dxa"/>
          <w:right w:w="108" w:type="dxa"/>
        </w:tblCellMar>
      </w:tblPr>
      <w:tblGrid>
        <w:gridCol w:w="3590"/>
        <w:gridCol w:w="436"/>
        <w:gridCol w:w="1096"/>
        <w:gridCol w:w="3406"/>
        <w:gridCol w:w="631"/>
        <w:gridCol w:w="435"/>
        <w:gridCol w:w="1571"/>
        <w:gridCol w:w="1392"/>
        <w:gridCol w:w="1392"/>
        <w:gridCol w:w="1572"/>
      </w:tblGrid>
      <w:tr>
        <w:tblPrEx>
          <w:tblCellMar>
            <w:top w:w="0" w:type="dxa"/>
            <w:left w:w="108" w:type="dxa"/>
            <w:bottom w:w="0" w:type="dxa"/>
            <w:right w:w="108" w:type="dxa"/>
          </w:tblCellMar>
        </w:tblPrEx>
        <w:trPr>
          <w:trHeight w:val="360" w:hRule="atLeast"/>
        </w:trPr>
        <w:tc>
          <w:tcPr>
            <w:tcW w:w="15521"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bookmarkStart w:id="0" w:name="RANGE!A1:I22"/>
            <w:bookmarkEnd w:id="0"/>
            <w:bookmarkStart w:id="1" w:name="RANGE!A1:F16"/>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9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3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590"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9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3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22"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399"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0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9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0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09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6,385.08</w:t>
            </w:r>
          </w:p>
        </w:tc>
        <w:tc>
          <w:tcPr>
            <w:tcW w:w="34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0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0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0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4,268.25</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4,268.25</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0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520.39</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520.39</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09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0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九、卫生健康支出</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23</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140.00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140.00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rPr>
              <w:t>9</w:t>
            </w:r>
          </w:p>
        </w:tc>
        <w:tc>
          <w:tcPr>
            <w:tcW w:w="109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340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十九、住房保障支出</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24</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400.00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400.00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10</w:t>
            </w:r>
          </w:p>
        </w:tc>
        <w:tc>
          <w:tcPr>
            <w:tcW w:w="109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6,385.08</w:t>
            </w:r>
          </w:p>
        </w:tc>
        <w:tc>
          <w:tcPr>
            <w:tcW w:w="340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rPr>
            </w:pPr>
            <w:r>
              <w:rPr>
                <w:rFonts w:hint="eastAsia" w:ascii="宋体" w:hAnsi="宋体" w:eastAsia="宋体" w:cs="宋体"/>
                <w:kern w:val="0"/>
                <w:sz w:val="22"/>
              </w:rPr>
              <w:t>25</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5,328.64</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5,328.64</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11</w:t>
            </w:r>
          </w:p>
        </w:tc>
        <w:tc>
          <w:tcPr>
            <w:tcW w:w="109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664.71</w:t>
            </w:r>
          </w:p>
        </w:tc>
        <w:tc>
          <w:tcPr>
            <w:tcW w:w="340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1,721.15</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1,721.15</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12</w:t>
            </w:r>
          </w:p>
        </w:tc>
        <w:tc>
          <w:tcPr>
            <w:tcW w:w="109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664.71</w:t>
            </w:r>
          </w:p>
        </w:tc>
        <w:tc>
          <w:tcPr>
            <w:tcW w:w="34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13</w:t>
            </w:r>
          </w:p>
        </w:tc>
        <w:tc>
          <w:tcPr>
            <w:tcW w:w="10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rPr>
              <w:t>14</w:t>
            </w:r>
          </w:p>
        </w:tc>
        <w:tc>
          <w:tcPr>
            <w:tcW w:w="109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29</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0"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15</w:t>
            </w:r>
          </w:p>
        </w:tc>
        <w:tc>
          <w:tcPr>
            <w:tcW w:w="109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7,049.79</w:t>
            </w:r>
          </w:p>
        </w:tc>
        <w:tc>
          <w:tcPr>
            <w:tcW w:w="340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30</w:t>
            </w:r>
          </w:p>
        </w:tc>
        <w:tc>
          <w:tcPr>
            <w:tcW w:w="157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7,049.79</w:t>
            </w:r>
          </w:p>
        </w:tc>
        <w:tc>
          <w:tcPr>
            <w:tcW w:w="1392"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7,049.79</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585" w:hRule="atLeast"/>
        </w:trPr>
        <w:tc>
          <w:tcPr>
            <w:tcW w:w="15521" w:type="dxa"/>
            <w:gridSpan w:val="10"/>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9"/>
        <w:tblW w:w="14219" w:type="dxa"/>
        <w:jc w:val="center"/>
        <w:tblLayout w:type="autofit"/>
        <w:tblCellMar>
          <w:top w:w="0" w:type="dxa"/>
          <w:left w:w="108" w:type="dxa"/>
          <w:bottom w:w="0" w:type="dxa"/>
          <w:right w:w="108" w:type="dxa"/>
        </w:tblCellMar>
      </w:tblPr>
      <w:tblGrid>
        <w:gridCol w:w="2018"/>
        <w:gridCol w:w="4860"/>
        <w:gridCol w:w="2700"/>
        <w:gridCol w:w="2550"/>
        <w:gridCol w:w="2091"/>
      </w:tblGrid>
      <w:tr>
        <w:tblPrEx>
          <w:tblCellMar>
            <w:top w:w="0" w:type="dxa"/>
            <w:left w:w="108" w:type="dxa"/>
            <w:bottom w:w="0" w:type="dxa"/>
            <w:right w:w="108" w:type="dxa"/>
          </w:tblCellMar>
        </w:tblPrEx>
        <w:trPr>
          <w:trHeight w:val="405" w:hRule="atLeast"/>
          <w:jc w:val="center"/>
        </w:trPr>
        <w:tc>
          <w:tcPr>
            <w:tcW w:w="6878"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7341"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312" w:hRule="exact"/>
          <w:jc w:val="center"/>
        </w:trPr>
        <w:tc>
          <w:tcPr>
            <w:tcW w:w="2018"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48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7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55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2091"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2018"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48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7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55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091"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12" w:hRule="atLeast"/>
          <w:jc w:val="center"/>
        </w:trPr>
        <w:tc>
          <w:tcPr>
            <w:tcW w:w="2018"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48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7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55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091"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164" w:hRule="atLeast"/>
          <w:jc w:val="center"/>
        </w:trPr>
        <w:tc>
          <w:tcPr>
            <w:tcW w:w="6878"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7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55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91"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164" w:hRule="atLeast"/>
          <w:jc w:val="center"/>
        </w:trPr>
        <w:tc>
          <w:tcPr>
            <w:tcW w:w="6878"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5,328.64</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2,542.71</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2,785.93</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205</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教育支出</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4,268.24</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1,696.41</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2,571.84</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20503</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职业教育</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4,268.24</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1,696.41</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2,571.84</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2050302</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中等职业教育</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1,740.16</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1,740.16</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2050303</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技校教育</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2,528.08</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1,696.41</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831.68</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208</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520.39</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306.30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214.09</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20805</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306.30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306.30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2080502</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事业单位离退休</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36.30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36.30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2080505</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270.00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270.00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20807</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就业补助</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214.09</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214.09</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2080799</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其他就业补助支出</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214.09</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214.09</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210</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卫生健康支出</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140.00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140.00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21011</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行政事业单位医疗</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140.00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140.00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2101102</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事业单位医疗</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140.00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140.00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215</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资源勘探工业信息等支出</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21502</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制造业</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2150299</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其他制造业支出</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221</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住房保障支出</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400.00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400.00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22102</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住房改革支出</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400.00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400.00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164" w:hRule="atLeast"/>
          <w:jc w:val="center"/>
        </w:trPr>
        <w:tc>
          <w:tcPr>
            <w:tcW w:w="2018"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2210201</w:t>
            </w:r>
          </w:p>
        </w:tc>
        <w:tc>
          <w:tcPr>
            <w:tcW w:w="48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住房公积金</w:t>
            </w:r>
          </w:p>
        </w:tc>
        <w:tc>
          <w:tcPr>
            <w:tcW w:w="27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400.00</w:t>
            </w:r>
          </w:p>
        </w:tc>
        <w:tc>
          <w:tcPr>
            <w:tcW w:w="25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400.00</w:t>
            </w:r>
          </w:p>
        </w:tc>
        <w:tc>
          <w:tcPr>
            <w:tcW w:w="2091"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47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bookmarkStart w:id="3" w:name="_GoBack"/>
      <w:bookmarkEnd w:id="3"/>
    </w:p>
    <w:tbl>
      <w:tblPr>
        <w:tblStyle w:val="9"/>
        <w:tblW w:w="0" w:type="auto"/>
        <w:tblInd w:w="0" w:type="dxa"/>
        <w:tblLayout w:type="autofit"/>
        <w:tblCellMar>
          <w:top w:w="0" w:type="dxa"/>
          <w:left w:w="108" w:type="dxa"/>
          <w:bottom w:w="0" w:type="dxa"/>
          <w:right w:w="108" w:type="dxa"/>
        </w:tblCellMar>
      </w:tblPr>
      <w:tblGrid>
        <w:gridCol w:w="964"/>
        <w:gridCol w:w="239"/>
        <w:gridCol w:w="91"/>
        <w:gridCol w:w="1253"/>
        <w:gridCol w:w="1967"/>
        <w:gridCol w:w="98"/>
        <w:gridCol w:w="955"/>
        <w:gridCol w:w="1172"/>
        <w:gridCol w:w="296"/>
        <w:gridCol w:w="1916"/>
        <w:gridCol w:w="129"/>
        <w:gridCol w:w="610"/>
        <w:gridCol w:w="1173"/>
        <w:gridCol w:w="343"/>
        <w:gridCol w:w="2025"/>
        <w:gridCol w:w="1644"/>
        <w:gridCol w:w="450"/>
        <w:gridCol w:w="289"/>
      </w:tblGrid>
      <w:tr>
        <w:tblPrEx>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3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20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2,456.41</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477.47</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160.68</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712.68</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275.87</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109.71</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8.67</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434.51</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226.81</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36.30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36.30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50.00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48"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48"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470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2,492.71</w:t>
            </w:r>
          </w:p>
        </w:tc>
        <w:tc>
          <w:tcPr>
            <w:tcW w:w="9615"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18"/>
              </w:rPr>
            </w:pPr>
            <w:r>
              <w:rPr>
                <w:rFonts w:hint="eastAsia" w:ascii="宋体" w:hAnsi="宋体" w:eastAsia="宋体" w:cs="宋体"/>
                <w:i w:val="0"/>
                <w:iCs w:val="0"/>
                <w:color w:val="000000"/>
                <w:kern w:val="0"/>
                <w:sz w:val="22"/>
                <w:szCs w:val="22"/>
                <w:u w:val="none"/>
                <w:lang w:val="en-US" w:eastAsia="zh-CN" w:bidi="ar"/>
              </w:rPr>
              <w:t>50.00</w:t>
            </w:r>
          </w:p>
        </w:tc>
      </w:tr>
      <w:tr>
        <w:tblPrEx>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690" w:hRule="atLeast"/>
        </w:trPr>
        <w:tc>
          <w:tcPr>
            <w:tcW w:w="15360"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690" w:hRule="atLeast"/>
        </w:trPr>
        <w:tc>
          <w:tcPr>
            <w:tcW w:w="1003"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w:t>
            </w: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45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Style w:val="17"/>
                <w:lang w:val="en-US" w:eastAsia="zh-CN"/>
              </w:rPr>
              <w:t xml:space="preserve">   </w:t>
            </w:r>
            <w:r>
              <w:rPr>
                <w:rStyle w:val="18"/>
                <w:lang w:val="en-US" w:eastAsia="zh-CN"/>
              </w:rPr>
              <w:t>目</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年初结转和结余</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本年收入</w:t>
            </w:r>
          </w:p>
        </w:tc>
        <w:tc>
          <w:tcPr>
            <w:tcW w:w="63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c>
          <w:tcPr>
            <w:tcW w:w="21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14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小计</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5</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center" w:pos="892"/>
              </w:tabs>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center" w:pos="892"/>
              </w:tabs>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center" w:pos="892"/>
              </w:tabs>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center" w:pos="892"/>
              </w:tabs>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center" w:pos="892"/>
              </w:tabs>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center" w:pos="892"/>
              </w:tabs>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center" w:pos="892"/>
              </w:tabs>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Times New Roman" w:hAnsi="Times New Roman" w:eastAsia="仿宋_GB2312" w:cs="Times New Roman"/>
                <w:kern w:val="0"/>
                <w:szCs w:val="21"/>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725" w:hRule="atLeast"/>
        </w:trPr>
        <w:tc>
          <w:tcPr>
            <w:tcW w:w="15360"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说明：我单位没有政府性基金收入，也没有使用政府性基金安排的支出，故本表无数据。（当表格数据为空时，应有此说明）</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9"/>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w:t>
            </w: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项 </w:t>
            </w:r>
            <w:r>
              <w:rPr>
                <w:rFonts w:hint="eastAsia" w:ascii="宋体" w:hAnsi="宋体" w:eastAsia="宋体" w:cs="宋体"/>
                <w:i w:val="0"/>
                <w:color w:val="000000"/>
                <w:kern w:val="0"/>
                <w:sz w:val="22"/>
                <w:szCs w:val="22"/>
                <w:u w:val="none"/>
                <w:lang w:val="en-US" w:eastAsia="zh-CN"/>
              </w:rPr>
              <w:t xml:space="preserve">   </w:t>
            </w:r>
            <w:r>
              <w:rPr>
                <w:rStyle w:val="19"/>
                <w:lang w:val="en-US" w:eastAsia="zh-CN"/>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424"/>
                <w:tab w:val="center" w:pos="1347"/>
              </w:tabs>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1121"/>
              </w:tabs>
              <w:jc w:val="center"/>
              <w:rPr>
                <w:rFonts w:hint="eastAsia" w:ascii="宋体" w:hAnsi="宋体" w:eastAsia="宋体" w:cs="宋体"/>
                <w:i w:val="0"/>
                <w:color w:val="000000"/>
                <w:sz w:val="24"/>
                <w:szCs w:val="24"/>
                <w:u w:val="none"/>
              </w:rPr>
            </w:pPr>
            <w:r>
              <w:rPr>
                <w:rFonts w:hint="eastAsia" w:ascii="宋体" w:hAnsi="宋体" w:eastAsia="宋体" w:cs="宋体"/>
                <w:kern w:val="0"/>
                <w:sz w:val="24"/>
                <w:szCs w:val="24"/>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宋体" w:hAnsi="宋体" w:eastAsia="宋体" w:cs="宋体"/>
                <w:i w:val="0"/>
                <w:color w:val="000000"/>
                <w:kern w:val="0"/>
                <w:sz w:val="24"/>
                <w:szCs w:val="24"/>
                <w:u w:val="none"/>
                <w:lang w:val="en-US" w:eastAsia="zh-CN"/>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rPr>
            </w:pPr>
            <w:r>
              <w:rPr>
                <w:rFonts w:hint="eastAsia" w:ascii="楷体" w:hAnsi="楷体" w:eastAsia="楷体" w:cs="楷体"/>
                <w:b/>
                <w:bCs/>
                <w:i w:val="0"/>
                <w:color w:val="auto"/>
                <w:kern w:val="0"/>
                <w:sz w:val="24"/>
                <w:szCs w:val="24"/>
                <w:u w:val="none"/>
                <w:lang w:val="en-US" w:eastAsia="zh-CN"/>
              </w:rPr>
              <w:t>说明：我单位没有使用国有资本经营预算安排的支出，故本表无数据。（当表格数据为空时，应有此说明）</w:t>
            </w:r>
          </w:p>
        </w:tc>
      </w:tr>
    </w:tbl>
    <w:p>
      <w:pPr>
        <w:widowControl/>
        <w:jc w:val="center"/>
        <w:rPr>
          <w:rFonts w:hint="eastAsia" w:ascii="Times New Roman" w:hAnsi="Times New Roman" w:eastAsia="方正小标宋_GBK" w:cs="Times New Roman"/>
          <w:color w:val="000000"/>
          <w:kern w:val="0"/>
          <w:sz w:val="36"/>
          <w:szCs w:val="36"/>
        </w:rPr>
      </w:pPr>
    </w:p>
    <w:tbl>
      <w:tblPr>
        <w:tblStyle w:val="9"/>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rPr>
            </w:pPr>
            <w:r>
              <w:rPr>
                <w:rFonts w:hint="eastAsia" w:ascii="宋体" w:hAnsi="宋体" w:eastAsia="宋体" w:cs="宋体"/>
                <w:i w:val="0"/>
                <w:color w:val="000000"/>
                <w:kern w:val="0"/>
                <w:sz w:val="22"/>
                <w:szCs w:val="22"/>
                <w:u w:val="none"/>
                <w:lang w:val="en-US" w:eastAsia="zh-CN"/>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rPr>
            </w:pPr>
            <w:r>
              <w:rPr>
                <w:rFonts w:hint="eastAsia" w:ascii="宋体" w:hAnsi="宋体" w:eastAsia="宋体" w:cs="宋体"/>
                <w:i w:val="0"/>
                <w:color w:val="000000"/>
                <w:kern w:val="0"/>
                <w:sz w:val="22"/>
                <w:szCs w:val="22"/>
                <w:u w:val="none"/>
                <w:lang w:val="en-US" w:eastAsia="zh-CN"/>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rPr>
            </w:pPr>
            <w:r>
              <w:rPr>
                <w:rFonts w:hint="eastAsia" w:ascii="宋体" w:hAnsi="宋体" w:eastAsia="宋体" w:cs="宋体"/>
                <w:i w:val="0"/>
                <w:color w:val="000000"/>
                <w:kern w:val="0"/>
                <w:sz w:val="22"/>
                <w:szCs w:val="22"/>
                <w:u w:val="none"/>
                <w:lang w:val="en-US" w:eastAsia="zh-CN"/>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rPr>
            </w:pPr>
            <w:r>
              <w:rPr>
                <w:rFonts w:hint="eastAsia" w:ascii="宋体" w:hAnsi="宋体" w:eastAsia="宋体" w:cs="宋体"/>
                <w:i w:val="0"/>
                <w:color w:val="000000"/>
                <w:kern w:val="0"/>
                <w:sz w:val="22"/>
                <w:szCs w:val="22"/>
                <w:u w:val="none"/>
                <w:lang w:val="en-US" w:eastAsia="zh-CN"/>
              </w:rPr>
              <w:t>公务用车</w:t>
            </w:r>
          </w:p>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4"/>
        <w:rPr>
          <w:sz w:val="72"/>
          <w:szCs w:val="72"/>
        </w:rPr>
      </w:pPr>
    </w:p>
    <w:p>
      <w:pPr>
        <w:pStyle w:val="14"/>
        <w:rPr>
          <w:sz w:val="72"/>
          <w:szCs w:val="72"/>
        </w:rPr>
      </w:pPr>
    </w:p>
    <w:p>
      <w:pPr>
        <w:pStyle w:val="14"/>
        <w:rPr>
          <w:sz w:val="72"/>
          <w:szCs w:val="72"/>
        </w:rPr>
      </w:pPr>
    </w:p>
    <w:p>
      <w:pPr>
        <w:pStyle w:val="14"/>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8559.49</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194.75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2.33</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一般公共预算财政拨款收入6385.08万元较去年4622.78万元增加1762.3万元，增长38.12%；事业收入288.32万元较去年313.12万元减少24.8万元，减少7.92%；经营收入171.57万元较去年367.72万元减少196.15万元，减少53.34%；其他收入357.33万元较去年245.36万元增加111.97万元，增长45.63%；使用非财政拨款结余692.48万元较去年1555.88万元减少863.4万元，减少55.49%；年初结转和结余664.71万元较去年1259.88万元减少595.17万元，减少47.24%。</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7202.30</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6385.08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88.65</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288.32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171.57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2.38</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357.33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4.96</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6843.70</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3307.90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48.33</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3358.88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49.08</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176.93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2.59</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lang w:val="en-US"/>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7049.79</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1167.13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19.84</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一般公共预算财政拨款收入6385.08万元较去年4622.78万元增加1762.3万元，增长38.12%；年初财政拨款结转和结余664.71万元较去年1259.88万元减少595.17万元，减少47.24%。</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5328.64</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77.86</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124.7</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2.4</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一般公共预算基本支出人员经费2492.71万元较去年1869.95万元增加622.76万元，增长33.3%。</w:t>
      </w:r>
    </w:p>
    <w:p>
      <w:pPr>
        <w:pStyle w:val="14"/>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5328.64</w:t>
      </w:r>
      <w:r>
        <w:rPr>
          <w:rFonts w:hint="eastAsia" w:ascii="Times New Roman" w:hAnsi="Times New Roman" w:eastAsia="仿宋_GB2312"/>
          <w:sz w:val="32"/>
          <w:szCs w:val="32"/>
        </w:rPr>
        <w:t>万元，主要用于以下方面：教育（类）支出</w:t>
      </w:r>
      <w:r>
        <w:rPr>
          <w:rFonts w:hint="eastAsia" w:ascii="Times New Roman" w:hAnsi="Times New Roman" w:eastAsia="仿宋_GB2312"/>
          <w:sz w:val="32"/>
          <w:szCs w:val="32"/>
          <w:lang w:val="en-US" w:eastAsia="zh-CN"/>
        </w:rPr>
        <w:t>4268.25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80.1</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社会保障和就业支出520.39万元，占9.77%；卫生健康支出140万元，占2.63%；住房保障支出400万元，占7.51%。</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3168.03</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6843.7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46.29</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w:t>
      </w:r>
      <w:r>
        <w:rPr>
          <w:rFonts w:hint="eastAsia" w:ascii="Times New Roman" w:hAnsi="Times New Roman" w:eastAsia="仿宋_GB2312"/>
          <w:sz w:val="32"/>
          <w:szCs w:val="32"/>
          <w:lang w:val="en-US" w:eastAsia="zh-CN"/>
        </w:rPr>
        <w:t>教育支出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职业教育</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中等职业教育</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100.83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1740.16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1725.84</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年中追加中职学校免学费补助1514.93万元，中职学校助学金116.4万元，2022年全省学校新冠肺炎疫情防控补助经费8万元。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w:t>
      </w:r>
      <w:r>
        <w:rPr>
          <w:rFonts w:hint="eastAsia" w:ascii="Times New Roman" w:hAnsi="Times New Roman" w:eastAsia="仿宋_GB2312"/>
          <w:sz w:val="32"/>
          <w:szCs w:val="32"/>
          <w:lang w:val="en-US" w:eastAsia="zh-CN"/>
        </w:rPr>
        <w:t>教育支出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职业教育</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技校教育</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2116.56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2528.08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119.44</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年中追加一般公共预算经费411.52万元。</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3、社会保障和就业支出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行政事业单位养老支出</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机关事业单位基本养老保险缴费支出</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36.3</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val="en-US" w:eastAsia="zh-CN"/>
        </w:rPr>
        <w:t>年中追加人员经费36.3万元。</w:t>
      </w:r>
    </w:p>
    <w:p>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社会保障和就业支出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行政事业单位养老支出</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事业单位离退休</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270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270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等于</w:t>
      </w:r>
      <w:r>
        <w:rPr>
          <w:rFonts w:hint="eastAsia" w:ascii="Times New Roman" w:hAnsi="Times New Roman" w:eastAsia="仿宋_GB2312"/>
          <w:sz w:val="32"/>
          <w:szCs w:val="32"/>
        </w:rPr>
        <w:t>年初预算数</w:t>
      </w:r>
      <w:r>
        <w:rPr>
          <w:rFonts w:hint="eastAsia" w:ascii="Times New Roman" w:hAnsi="Times New Roman" w:eastAsia="仿宋_GB2312"/>
          <w:sz w:val="32"/>
          <w:szCs w:val="32"/>
          <w:lang w:eastAsia="zh-CN"/>
        </w:rPr>
        <w:t>。</w:t>
      </w:r>
    </w:p>
    <w:p>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社会保障和就业支出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就业补助</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其他就业补助支出</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140.64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214.09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152.23</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大于</w:t>
      </w:r>
      <w:r>
        <w:rPr>
          <w:rFonts w:hint="eastAsia" w:ascii="Times New Roman" w:hAnsi="Times New Roman" w:eastAsia="仿宋_GB2312"/>
          <w:sz w:val="32"/>
          <w:szCs w:val="32"/>
        </w:rPr>
        <w:t>年初预算数</w:t>
      </w:r>
      <w:r>
        <w:rPr>
          <w:rFonts w:hint="eastAsia" w:ascii="Times New Roman" w:hAnsi="Times New Roman" w:eastAsia="仿宋_GB2312"/>
          <w:sz w:val="32"/>
          <w:szCs w:val="32"/>
          <w:lang w:val="en-US" w:eastAsia="zh-CN"/>
        </w:rPr>
        <w:t>主要原因是：年中追加省本级技工院校实训补贴73.45万元</w:t>
      </w:r>
      <w:r>
        <w:rPr>
          <w:rFonts w:hint="eastAsia" w:ascii="Times New Roman" w:hAnsi="Times New Roman" w:eastAsia="仿宋_GB2312"/>
          <w:sz w:val="32"/>
          <w:szCs w:val="32"/>
          <w:lang w:eastAsia="zh-CN"/>
        </w:rPr>
        <w:t>。</w:t>
      </w:r>
    </w:p>
    <w:p>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卫生健康支出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行政事业单位医疗</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事业单位医疗</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140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等于</w:t>
      </w:r>
      <w:r>
        <w:rPr>
          <w:rFonts w:hint="eastAsia" w:ascii="Times New Roman" w:hAnsi="Times New Roman" w:eastAsia="仿宋_GB2312"/>
          <w:sz w:val="32"/>
          <w:szCs w:val="32"/>
        </w:rPr>
        <w:t>年初预算数</w:t>
      </w:r>
      <w:r>
        <w:rPr>
          <w:rFonts w:hint="eastAsia" w:ascii="Times New Roman" w:hAnsi="Times New Roman" w:eastAsia="仿宋_GB2312"/>
          <w:sz w:val="32"/>
          <w:szCs w:val="32"/>
          <w:lang w:val="en-US" w:eastAsia="zh-CN"/>
        </w:rPr>
        <w:t>。</w:t>
      </w:r>
    </w:p>
    <w:p>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住房保障支出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住房改革支出</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住房公积金</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等于</w:t>
      </w:r>
      <w:r>
        <w:rPr>
          <w:rFonts w:hint="eastAsia" w:ascii="Times New Roman" w:hAnsi="Times New Roman" w:eastAsia="仿宋_GB2312"/>
          <w:sz w:val="32"/>
          <w:szCs w:val="32"/>
        </w:rPr>
        <w:t>年初预算数</w:t>
      </w:r>
      <w:r>
        <w:rPr>
          <w:rFonts w:hint="eastAsia" w:ascii="Times New Roman" w:hAnsi="Times New Roman" w:eastAsia="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2542.71</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2492.71</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98.03</w:t>
      </w:r>
      <w:r>
        <w:rPr>
          <w:rFonts w:hint="eastAsia" w:ascii="Times New Roman" w:hAnsi="Times New Roman" w:eastAsia="仿宋_GB2312"/>
          <w:sz w:val="32"/>
          <w:szCs w:val="32"/>
        </w:rPr>
        <w:t>%,主要包括基本工资、津贴补贴、</w:t>
      </w:r>
      <w:r>
        <w:rPr>
          <w:rFonts w:hint="eastAsia" w:ascii="Times New Roman" w:hAnsi="Times New Roman" w:eastAsia="仿宋_GB2312"/>
          <w:sz w:val="32"/>
          <w:szCs w:val="32"/>
          <w:lang w:val="en-US" w:eastAsia="zh-CN"/>
        </w:rPr>
        <w:t>绩效工资、机关事业单位基本养老保险缴费、职业基本医疗保险缴费、其他社会保障缴费、</w:t>
      </w:r>
      <w:r>
        <w:rPr>
          <w:rFonts w:hint="eastAsia" w:ascii="Times New Roman" w:hAnsi="Times New Roman" w:eastAsia="仿宋_GB2312"/>
          <w:sz w:val="32"/>
          <w:szCs w:val="32"/>
        </w:rPr>
        <w:t>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其他工资福利支出</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50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1.97</w:t>
      </w:r>
      <w:r>
        <w:rPr>
          <w:rFonts w:hint="eastAsia" w:ascii="Times New Roman" w:hAnsi="Times New Roman" w:eastAsia="仿宋_GB2312"/>
          <w:sz w:val="32"/>
          <w:szCs w:val="32"/>
        </w:rPr>
        <w:t>%，主要包括</w:t>
      </w:r>
      <w:r>
        <w:rPr>
          <w:rFonts w:hint="eastAsia" w:ascii="Times New Roman" w:hAnsi="Times New Roman" w:eastAsia="仿宋_GB2312"/>
          <w:sz w:val="32"/>
          <w:szCs w:val="32"/>
          <w:lang w:val="en-US" w:eastAsia="zh-CN"/>
        </w:rPr>
        <w:t>工会经费</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r>
        <w:rPr>
          <w:rFonts w:hint="eastAsia" w:ascii="楷体" w:hAnsi="楷体" w:eastAsia="楷体" w:cs="楷体"/>
          <w:b/>
          <w:bCs/>
          <w:i/>
          <w:color w:val="auto"/>
          <w:sz w:val="32"/>
          <w:szCs w:val="32"/>
          <w:lang w:eastAsia="zh-CN"/>
        </w:rPr>
        <w:t>（注意：三公经费情况说明，往年为一般公共预算财政拨款口径，今年为财政拨款口径）</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rPr>
        <w:t>于预算数，与上年相比</w:t>
      </w:r>
      <w:r>
        <w:rPr>
          <w:rFonts w:hint="eastAsia" w:ascii="Times New Roman" w:hAnsi="Times New Roman" w:eastAsia="仿宋_GB2312"/>
          <w:sz w:val="32"/>
          <w:szCs w:val="32"/>
          <w:lang w:val="en-US" w:eastAsia="zh-CN"/>
        </w:rPr>
        <w:t>一致</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rPr>
        <w:t>于预算数，与上年相比</w:t>
      </w:r>
      <w:r>
        <w:rPr>
          <w:rFonts w:hint="eastAsia" w:ascii="Times New Roman" w:hAnsi="Times New Roman" w:eastAsia="仿宋_GB2312"/>
          <w:sz w:val="32"/>
          <w:szCs w:val="32"/>
          <w:lang w:val="en-US" w:eastAsia="zh-CN"/>
        </w:rPr>
        <w:t>一致。</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rPr>
        <w:t>于预算数，与上年相比</w:t>
      </w:r>
      <w:r>
        <w:rPr>
          <w:rFonts w:hint="eastAsia" w:ascii="Times New Roman" w:hAnsi="Times New Roman" w:eastAsia="仿宋_GB2312"/>
          <w:sz w:val="32"/>
          <w:szCs w:val="32"/>
          <w:lang w:val="en-US" w:eastAsia="zh-CN"/>
        </w:rPr>
        <w:t>一致</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rPr>
        <w:t>于预算数，与上年相比</w:t>
      </w:r>
      <w:r>
        <w:rPr>
          <w:rFonts w:hint="eastAsia" w:ascii="Times New Roman" w:hAnsi="Times New Roman" w:eastAsia="仿宋_GB2312"/>
          <w:sz w:val="32"/>
          <w:szCs w:val="32"/>
          <w:lang w:val="en-US" w:eastAsia="zh-CN"/>
        </w:rPr>
        <w:t>一致。</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仿宋_GB2312" w:cs="楷体"/>
          <w:b/>
          <w:bCs/>
          <w:i/>
          <w:color w:val="auto"/>
          <w:sz w:val="32"/>
          <w:szCs w:val="32"/>
          <w:lang w:val="en-US"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年度政府性基金预算财政拨款收入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万元；年初结转和结余</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万元，项目支出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万元；年末结转和结余</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2022年本单位开支会议费0万元；开支培训费183.96万元，2022年培训费预算为279.8万元，用于开展安全生产培训，应试应赛技能培训，特种作业培训，创业培训，人数3906人，内容为我校对口升学部举办的对学生应试应赛技能培训，我校产业商学院举办的对醴陵相关企业人员进行的安全生产培训，特种作业培训，创业培训；举办校园职业技能竞赛，开支4.62万元，主要是我校举办职业技能竞赛，经费预算为11万 。</w:t>
      </w:r>
    </w:p>
    <w:p>
      <w:pPr>
        <w:pStyle w:val="14"/>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关于政府采购支出说明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2009.85</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1217.85</w:t>
      </w:r>
      <w:r>
        <w:rPr>
          <w:rFonts w:hint="eastAsia" w:ascii="Times New Roman" w:hAnsi="Times New Roman" w:eastAsia="仿宋_GB2312"/>
          <w:sz w:val="32"/>
          <w:szCs w:val="32"/>
        </w:rPr>
        <w:t xml:space="preserve"> 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792</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244.77</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12.18</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244.77</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12.18</w:t>
      </w:r>
      <w:r>
        <w:rPr>
          <w:rFonts w:hint="eastAsia" w:ascii="Times New Roman" w:hAnsi="Times New Roman" w:eastAsia="仿宋_GB2312"/>
          <w:sz w:val="32"/>
          <w:szCs w:val="32"/>
        </w:rPr>
        <w:t>%。货物采购授予中小企业合同金额占货物支出金额的</w:t>
      </w:r>
      <w:r>
        <w:rPr>
          <w:rFonts w:hint="eastAsia" w:ascii="Times New Roman" w:hAnsi="Times New Roman" w:eastAsia="仿宋_GB2312"/>
          <w:sz w:val="32"/>
          <w:szCs w:val="32"/>
          <w:lang w:val="en-US" w:eastAsia="zh-CN"/>
        </w:rPr>
        <w:t>20.1</w:t>
      </w:r>
      <w:r>
        <w:rPr>
          <w:rFonts w:hint="eastAsia" w:ascii="Times New Roman" w:hAnsi="Times New Roman" w:eastAsia="仿宋_GB2312"/>
          <w:sz w:val="32"/>
          <w:szCs w:val="32"/>
        </w:rPr>
        <w:t>%，工程采购授予中小企业合同金额占工程支出金额的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%，服务采购授予中小企业合同金额占服务支出金额的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辆，其中，其他用车</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辆，其他用车主要是</w:t>
      </w:r>
      <w:r>
        <w:rPr>
          <w:rFonts w:hint="eastAsia" w:ascii="Times New Roman" w:hAnsi="Times New Roman" w:eastAsia="仿宋_GB2312"/>
          <w:sz w:val="32"/>
          <w:szCs w:val="32"/>
          <w:lang w:val="en-US" w:eastAsia="zh-CN"/>
        </w:rPr>
        <w:t>学校外出办公用车</w:t>
      </w:r>
      <w:r>
        <w:rPr>
          <w:rFonts w:hint="eastAsia" w:ascii="Times New Roman" w:hAnsi="Times New Roman" w:eastAsia="仿宋_GB2312"/>
          <w:sz w:val="32"/>
          <w:szCs w:val="32"/>
        </w:rPr>
        <w:t>；单位价值50万元以上通用设备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autoSpaceDE w:val="0"/>
        <w:autoSpaceDN w:val="0"/>
        <w:adjustRightInd w:val="0"/>
        <w:snapToGrid w:val="0"/>
        <w:spacing w:line="360" w:lineRule="auto"/>
        <w:ind w:left="420" w:left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预算执行情况</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2022年全年预算数8,559.49万元，决算数6,843.69万元，总体预算执行率79.95%。其中一般公共预算7,049.79万元，决算数5,328.64万元，预算执行率75.58%。</w:t>
      </w:r>
    </w:p>
    <w:p>
      <w:pPr>
        <w:autoSpaceDE w:val="0"/>
        <w:autoSpaceDN w:val="0"/>
        <w:adjustRightInd w:val="0"/>
        <w:snapToGrid w:val="0"/>
        <w:spacing w:line="360" w:lineRule="auto"/>
        <w:ind w:left="420" w:left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产出指标绩效情况</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产出指标从数量、质量及时效三个维度来予以评价。</w:t>
      </w:r>
    </w:p>
    <w:p>
      <w:pPr>
        <w:numPr>
          <w:ilvl w:val="0"/>
          <w:numId w:val="4"/>
        </w:numPr>
        <w:autoSpaceDE w:val="0"/>
        <w:autoSpaceDN w:val="0"/>
        <w:adjustRightInd w:val="0"/>
        <w:snapToGrid w:val="0"/>
        <w:spacing w:line="360" w:lineRule="auto"/>
        <w:ind w:left="420" w:left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数量指标</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（1）招生录取人数。2022年学校计划招生1800人，实际招生1977人，招生工作完成率110.00%。</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高水平专业建设及认定数。按照工学一体教学要求，我院深入推进“12+6”教学模式，成效显著；陶瓷美术被省人社厅列为省级精品专业，以省级精品专业为引领，着力打造幼儿教育等3个校级精品专业，带动发展其他专业建设，形成“1个省级+1个市级+3个校级”的“1+1+3”高水平专业群布局。</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（3）改建、新建实训基地数。学校2022年新建新能源汽修实训室、改建了机电系实训基地。因疫情等原因新建新能源汽修实训室当年度未完工。该指标扣1分。</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 xml:space="preserve">（4）科研课题立项数。全年共立项各级各类课题6项，其中省级重点课题1项、院级课题5项。省级重点课题为“陶瓷设计创业孵化基地建设及运行模式研究”。 </w:t>
      </w:r>
    </w:p>
    <w:p>
      <w:pPr>
        <w:pStyle w:val="3"/>
        <w:ind w:firstLine="56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5）教师职业能力和教学能力比赛获奖数。我院教职工积极参加各类竞赛，踊跃参与各类教科研工作，不断提升教学业务能力。全年参加各类比赛共取得17个奖项，其中国家级2个、省级13个、市级2个。参加国家级赛事第二届“百鹤杯”工艺美术设计创新大赛，兰莉、蒋丽娥老师均获百鹤新锐奖；高质量承办了湖南省第一届职业技能大赛的陶瓷产品设计师和电子技术2个赛项，承办工作获得国家人社部副部长汤涛的高度肯定，逄威老师获陶瓷产品设计师教师组竞赛第一名；参加湖南省职业技能竞赛暨第24届湖南省发型美容美甲技能竞赛，获得一金二银四铜好成绩，黄琪老师获优秀指导老师称号；参加2022一带一路暨金砖国家技能发展与技术创新大赛财务机器人(RPA)技能，获得三等奖。</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6）学生参加技能竞赛赛项及获奖数。2022年读学生参加各类竞赛共获37项奖项。其中省级奖项10个，市级17个、县级10个。共获一等奖6个、二等奖10个、三等奖21个。学生参加人社厅主办的湖南省第一届职业技能大赛，荣获一、二、三等奖各1个；参加湖南省第一届职业技能大赛电子技术获第一名和第二名好成绩。</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（6）专利获得数。2022年度我院共获得实用新型专利8个、外观设计专利2个。</w:t>
      </w:r>
    </w:p>
    <w:p>
      <w:pPr>
        <w:numPr>
          <w:ilvl w:val="0"/>
          <w:numId w:val="4"/>
        </w:numPr>
        <w:autoSpaceDE w:val="0"/>
        <w:autoSpaceDN w:val="0"/>
        <w:adjustRightInd w:val="0"/>
        <w:snapToGrid w:val="0"/>
        <w:spacing w:line="360" w:lineRule="auto"/>
        <w:ind w:left="420" w:left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质量指标</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学生就业率。2022年我院三系一部毕业生合计为593人，其中对口升学部毕业生415人，其他系部毕业生178人。对口升学部415人中签订劳动合同就业3人，升学370人，升入陶瓷技师学院10人，另有32人选择自主创业，合计升学率99.28％。其他系部毕业生178人中，签订劳动合同128人，占比71.9％，灵活就业22人，占比21.36％，自主创业3人，占比2.91％，总计96.17％。</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（2）高考本科上线增长率。我院2022年7个本科上线，比2021年减少了4个，增值率为-27.27%。主要因为湖南省对口高考参考人数剧增，竞争大。该指标扣2分。</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安全事故发生率。2022年，学校扎牢安全防线，建设平安校园。成立了校内治安保卫工作安全、消防和校外实习安全、基础设施和基建安全、食品和校内交通安全、校内教学安全等5个安全工作管理小组，对安全工作形势进行研判，发现问题及时处置，有效防止了各类安全事故的发生。严格执行《食品安全法》，对食堂和超市的各个环节进行严格监督，定期和不定期地进行专项检查,保证全校师生的餐饮安全，未出现食品安全事故。在新冠疫情较严重的情况下,加强与各职能部门的沟通联系，严格落实上级各相关部门的防疫政策，严格执行各项防疫制度，保障全院各种防疫物资的供应。</w:t>
      </w:r>
    </w:p>
    <w:p>
      <w:pPr>
        <w:numPr>
          <w:ilvl w:val="0"/>
          <w:numId w:val="4"/>
        </w:numPr>
        <w:autoSpaceDE w:val="0"/>
        <w:autoSpaceDN w:val="0"/>
        <w:adjustRightInd w:val="0"/>
        <w:snapToGrid w:val="0"/>
        <w:spacing w:line="360" w:lineRule="auto"/>
        <w:ind w:left="420" w:left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时效指标</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新校区建设工程结算完成率。为加快新校区工程结算进程,在分管领导的带领下，多次到上级主管部口及省财政评审中心进行学习咨询，多次与结算单位、设计单位、施工单位进行沟通协调，积极配合进行现场勘查。2022年我院预计完成新校区3项建设工程的结算工作，其余工程项目进行初审。实际已完成门楼装饰装修和明月峰路片石护坡2项工程结算，国瓷楼装修工程因施工方送审资料不全未完成结算。该指标扣1.5分。</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（2）奖助学金及时发放。2022年度奖助学金分上下二学期发放，发放及时。</w:t>
      </w:r>
    </w:p>
    <w:p>
      <w:pPr>
        <w:numPr>
          <w:ilvl w:val="0"/>
          <w:numId w:val="4"/>
        </w:numPr>
        <w:autoSpaceDE w:val="0"/>
        <w:autoSpaceDN w:val="0"/>
        <w:adjustRightInd w:val="0"/>
        <w:snapToGrid w:val="0"/>
        <w:spacing w:line="360" w:lineRule="auto"/>
        <w:ind w:left="420" w:left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成本指标</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三公经费控制率。2022年学校继续厉行节约的规定，严控三公经费。22年三公经费预算30.00万元，实际支出28.90万元，控制率 96.33%。但比上年度增长23.14%，主要是因为油价上涨等原因导致公务用车运行维护费用增加。该指标扣0.5分。</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效益指标绩效情况</w:t>
      </w:r>
    </w:p>
    <w:p>
      <w:pPr>
        <w:autoSpaceDE w:val="0"/>
        <w:autoSpaceDN w:val="0"/>
        <w:adjustRightInd w:val="0"/>
        <w:snapToGrid w:val="0"/>
        <w:spacing w:line="360" w:lineRule="auto"/>
        <w:ind w:left="42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 xml:space="preserve"> 1. 经济效益指标</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服务培训收入。2022年度服务培训收入171.57万元，比2021年度下降114.33%。主要因为疫情原因，下半年未进行培训活动。该指标满分5分，扣2分，得分3分。</w:t>
      </w:r>
    </w:p>
    <w:p>
      <w:pPr>
        <w:autoSpaceDE w:val="0"/>
        <w:autoSpaceDN w:val="0"/>
        <w:adjustRightInd w:val="0"/>
        <w:snapToGrid w:val="0"/>
        <w:spacing w:line="360" w:lineRule="auto"/>
        <w:ind w:left="42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 xml:space="preserve"> 2. 社会效益指标</w:t>
      </w:r>
    </w:p>
    <w:p>
      <w:pPr>
        <w:autoSpaceDE w:val="0"/>
        <w:autoSpaceDN w:val="0"/>
        <w:adjustRightInd w:val="0"/>
        <w:snapToGrid w:val="0"/>
        <w:spacing w:line="360" w:lineRule="auto"/>
        <w:ind w:left="420" w:firstLine="320" w:firstLineChars="1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（1）教育对区域经济的促进作用</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学校全年走访与考察了省内外五十余家企业，与18家企业建立了长期校企合作关系，其中8家为株洲、醴陵本土企业。2022年度与水灵珑网络科技有限公司、湖南云协机械制造有限公司、湖南中科师创教育科技有限公司新签订校企合作协议。校企共商人才培养方案、专业规划、课程设置、教材开发、教学设计、理论和实践教学设施，合作共创建新专业、开发新课程、开展订单培养。推动形成产教良性互动、校企优势互补的发展格局，通过各种形式共同推进校企全面合作，形成专业、产业相互促进、共同发展。</w:t>
      </w:r>
    </w:p>
    <w:p>
      <w:pPr>
        <w:autoSpaceDE w:val="0"/>
        <w:autoSpaceDN w:val="0"/>
        <w:adjustRightInd w:val="0"/>
        <w:snapToGrid w:val="0"/>
        <w:spacing w:line="360" w:lineRule="auto"/>
        <w:ind w:left="420" w:firstLine="320" w:firstLineChars="1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（2）社会服务能力建设</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学校在国瓷楼三楼建成1000多平方的电子商务基地，为本地陶瓷产业电商人才培养搭建平台。大力推进职业技能提升行动，主动担当起区域职业技能培训任务。面向企业职工、个体工商户、特种作业人员，2022年度共开展政策性培训24期，共990人次；安全教育培训29期，共计1717人次。累计培训产值171.57万元，较好地满足了企业的用人需求，取得了良好的社会效益。</w:t>
      </w:r>
    </w:p>
    <w:p>
      <w:pPr>
        <w:autoSpaceDE w:val="0"/>
        <w:autoSpaceDN w:val="0"/>
        <w:adjustRightInd w:val="0"/>
        <w:snapToGrid w:val="0"/>
        <w:spacing w:line="360" w:lineRule="auto"/>
        <w:ind w:left="420" w:firstLine="320" w:firstLineChars="1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 可持续影响指标</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2022年度，学校全面深化，不断完善各项制度，不断提升办学实力和特色。有效提升了学校的可持续影响力。具体表现如下：</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（1）不断加强师资队伍的建设</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2022年度我院持续深入开展“教学质量提升年”和“工作作风务实年”建设，我院干事创业风气持续向好发展；持续深化人事制度改革，出台了《非技校系列职称评聘办法》，进一步激发了教师发展内驱力；不断加强干部队伍建设，举办了1期中层干部素质能力培训，完成了6名中层干部的轮岗交流和1名挂职锻炼干部的推荐工作，通过“请进来”“走出去”的方式，举办了8期“教职员工职业能力提升讲座”和第二届班主任业务能力大赛，进一步提升了教师教书育人能力素质。</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（2）教学改革逐步深化，科研水平显著提升</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2022年度学校严抓教风学风，加强教学过程管理和教学质量监控，建立科学严谨的教师准入制度，制定师德师风负面清单，进一步鼓励教师积极从事科研工作。组织申报2022年度湖南省技工教育和职业培训优秀论文29篇。立项省级重点课题1项、院级课题5项，科研课题立项和课题经费创同期最高纪录。按照工学一体教学要求，我院深入推进“12+6”教学模式，成效显著；陶瓷美术被省人社厅列为省级精品专业。2022年度教师出版专业书籍4本，发明专利10项。 与国家开放大学株洲电大签订合作协议，开启职业教育与开放教育一体化发展，形成了中技工、高技工、预备技师、继续教育完整的办学层次体系。</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（3）全面深化，不断提升办学特色。</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2022年度，陶瓷产业系以“质量提升”行动作为年度发展任务，以教研室为单位组建项目小组，完成《陶瓷美术省级优质专业申报材料》、《陶瓷美术校级精品专业建设方案》等材料，教学工作对标高端，蓄力启航。做好产教融通工作，2022年度共完成毛瓷再造、新产品研发6项。在株洲市第一届陶瓷行业技能竞赛（一类赛项）中，学生组包揽了前6名。</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2022年度，我院进一步建设完善教学资源，保障教学条件。新建了新能源汽修实训室，计算机网络专业搭建了网络空间安全平台，摄影摄像技术专业进一步完善了摄影工作室和摄影棚的建设，计算机动画制作专业优化了培训室的电脑设备，电子商务专业建成了可以开展直播、运营等实训活动的校内实训基地。目前学校达到了48个实训室，整体提升了全校的实训教学条件。</w:t>
      </w:r>
    </w:p>
    <w:p>
      <w:pPr>
        <w:autoSpaceDE w:val="0"/>
        <w:autoSpaceDN w:val="0"/>
        <w:adjustRightInd w:val="0"/>
        <w:snapToGrid w:val="0"/>
        <w:spacing w:line="360" w:lineRule="auto"/>
        <w:ind w:left="420" w:left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满意度指标绩效情况</w:t>
      </w:r>
    </w:p>
    <w:p>
      <w:pPr>
        <w:autoSpaceDE w:val="0"/>
        <w:autoSpaceDN w:val="0"/>
        <w:adjustRightInd w:val="0"/>
        <w:snapToGrid w:val="0"/>
        <w:spacing w:line="360" w:lineRule="auto"/>
        <w:ind w:left="420" w:leftChars="200" w:firstLine="320" w:firstLineChars="1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1、学生对学校整体满意度</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通过对学生开展问卷调查，学生对学校教师教学、学生管理工作及学院整体印象满意度平均为96.8%。学生对老师专业课教学、专业实训课、班主任工作等满意度较高。</w:t>
      </w:r>
    </w:p>
    <w:p>
      <w:pPr>
        <w:autoSpaceDE w:val="0"/>
        <w:autoSpaceDN w:val="0"/>
        <w:adjustRightInd w:val="0"/>
        <w:snapToGrid w:val="0"/>
        <w:spacing w:line="360" w:lineRule="auto"/>
        <w:ind w:left="420" w:leftChars="200" w:firstLine="320" w:firstLineChars="1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2、教职工对学校满意度</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老师对学校学校课程计划安排、学校管理、教学条件等方面总体满意度为95.1%。</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存在的问题及原因分析</w:t>
      </w:r>
    </w:p>
    <w:p>
      <w:pPr>
        <w:spacing w:before="240" w:beforeLines="100" w:line="360" w:lineRule="auto"/>
        <w:ind w:firstLine="560" w:firstLineChars="200"/>
        <w:outlineLvl w:val="0"/>
        <w:rPr>
          <w:rFonts w:ascii="黑体" w:hAnsi="黑体" w:eastAsia="黑体" w:cs="黑体"/>
          <w:b/>
          <w:sz w:val="28"/>
          <w:szCs w:val="28"/>
        </w:rPr>
      </w:pPr>
      <w:r>
        <w:rPr>
          <w:rFonts w:hint="eastAsia" w:ascii="黑体" w:hAnsi="黑体" w:eastAsia="黑体" w:cs="黑体"/>
          <w:b/>
          <w:sz w:val="28"/>
          <w:szCs w:val="28"/>
        </w:rPr>
        <w:t>十、</w:t>
      </w:r>
      <w:r>
        <w:rPr>
          <w:rFonts w:ascii="黑体" w:hAnsi="黑体" w:eastAsia="黑体" w:cs="黑体"/>
          <w:b/>
          <w:sz w:val="28"/>
          <w:szCs w:val="28"/>
        </w:rPr>
        <w:t>存在的问题及原因分析</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（一）年初绩效指标不够清晰、细化、可衡量</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学院各部门年初制定了工作计划，但工作计划没有细化、量化，没有形成具体的绩效指标。</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（二）项目资金执行率低</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2022年度省级专项资金制造强省专项资金200.00万元、省技工教育优质专业建设项目-陶瓷美术专业专项资金20.00万元，业务工作经费中中职生均拨款541.00万元，均未使用。</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（三）会计核算方面问题</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1、会计科目的设置欠妥</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往来款项科目均笼统地通过“其他应收款”、“其他应付款”核算，未按实际款项性质区分，如：固定资产购买款、基建工程预付款等预付的款项，均未通过“预付账款”核算。</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2、存在长期挂账未及时清理情况</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往来款项中存在与外单位、学校内部部门、个人借支长期挂账情况。如“其他应收款”中挂 “应收学生就业车费（刘春林）” 65,774.81元、挂应收“教职工”659,622.6元 ，“其他应付款”中挂应付“学生实习车费（刘建华）”144,689.68元，均挂账3年以上。</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3、未及时结转固定资产</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我院新校区已交付使用2年多，因竣工决算未完成，未结转固定资产并计提折旧，仍挂账于在建工程科目2.28亿元。</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一、基本支出：指单位为保障其机构正常运转、完成日常工作任务而发生的人员支出和公用支出。</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二、项目支出：指单位为完成特定行政任务和事业发展目标在基本支出之外所发生的支出。</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三、“三公经费”：纳入省财政预算管理的“三公”经费，是指用一般公共预算拨款安排的公务接待费、公务用车购置及运行维护费和因公出国（境）费。其中，公务接待费反映单位按规定开支的各类接待支出；公务用车购置及运行费反映单位公务用车车辆购置支出（含车辆购置税），以及燃料费、维修费、保险费等支出；因公出国（境）费反映单位公务出国（境）的国际旅游费、国外城市间交通费、食宿费等支出。</w:t>
      </w:r>
    </w:p>
    <w:p>
      <w:pPr>
        <w:autoSpaceDE w:val="0"/>
        <w:autoSpaceDN w:val="0"/>
        <w:adjustRightInd w:val="0"/>
        <w:snapToGrid w:val="0"/>
        <w:spacing w:line="360" w:lineRule="auto"/>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四、一般公共预算：一般公共预算是对以税收为主体的财政收入，安排用于保障和改善民生、推动经济社会发展、维护国家安全、维持国家机构正常运转等方面的收支预算。</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_GBK">
    <w:altName w:val="Arial Unicode MS"/>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64E71C"/>
    <w:multiLevelType w:val="singleLevel"/>
    <w:tmpl w:val="8864E71C"/>
    <w:lvl w:ilvl="0" w:tentative="0">
      <w:start w:val="4"/>
      <w:numFmt w:val="decimal"/>
      <w:suff w:val="nothing"/>
      <w:lvlText w:val="%1、"/>
      <w:lvlJc w:val="left"/>
    </w:lvl>
  </w:abstractNum>
  <w:abstractNum w:abstractNumId="1">
    <w:nsid w:val="9B053B4E"/>
    <w:multiLevelType w:val="singleLevel"/>
    <w:tmpl w:val="9B053B4E"/>
    <w:lvl w:ilvl="0" w:tentative="0">
      <w:start w:val="11"/>
      <w:numFmt w:val="chineseCounting"/>
      <w:suff w:val="nothing"/>
      <w:lvlText w:val="%1、"/>
      <w:lvlJc w:val="left"/>
      <w:rPr>
        <w:rFonts w:hint="eastAsia"/>
      </w:rPr>
    </w:lvl>
  </w:abstractNum>
  <w:abstractNum w:abstractNumId="2">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2AC4621"/>
    <w:multiLevelType w:val="singleLevel"/>
    <w:tmpl w:val="22AC4621"/>
    <w:lvl w:ilvl="0" w:tentative="0">
      <w:start w:val="1"/>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YjYyNzg1MmMyNzNjN2M3MDZiYjgzZGY3MTk1ZDIifQ=="/>
  </w:docVars>
  <w:rsids>
    <w:rsidRoot w:val="00000000"/>
    <w:rsid w:val="04887EA8"/>
    <w:rsid w:val="05BB4A13"/>
    <w:rsid w:val="065641F9"/>
    <w:rsid w:val="0D7831D9"/>
    <w:rsid w:val="0ED8159D"/>
    <w:rsid w:val="16EA6CCE"/>
    <w:rsid w:val="17244A9A"/>
    <w:rsid w:val="1DF23E39"/>
    <w:rsid w:val="21B370F1"/>
    <w:rsid w:val="22F5764C"/>
    <w:rsid w:val="243C7D07"/>
    <w:rsid w:val="2B3E7D74"/>
    <w:rsid w:val="2E275FAC"/>
    <w:rsid w:val="3D781959"/>
    <w:rsid w:val="41461B64"/>
    <w:rsid w:val="416E3818"/>
    <w:rsid w:val="45B06240"/>
    <w:rsid w:val="488C4BC9"/>
    <w:rsid w:val="493E78CF"/>
    <w:rsid w:val="4B59477C"/>
    <w:rsid w:val="55AD06B6"/>
    <w:rsid w:val="56A740D5"/>
    <w:rsid w:val="60D716CD"/>
    <w:rsid w:val="7BA82053"/>
    <w:rsid w:val="7DED105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color w:val="000000"/>
      <w:lang w:eastAsia="en-US" w:bidi="en-US"/>
    </w:rPr>
  </w:style>
  <w:style w:type="paragraph" w:customStyle="1" w:styleId="3">
    <w:name w:val="1"/>
    <w:basedOn w:val="1"/>
    <w:next w:val="4"/>
    <w:qFormat/>
    <w:uiPriority w:val="0"/>
    <w:pPr>
      <w:spacing w:line="360" w:lineRule="auto"/>
      <w:ind w:firstLine="200" w:firstLineChars="200"/>
    </w:pPr>
    <w:rPr>
      <w:rFonts w:cs="宋体"/>
      <w:color w:val="000000"/>
      <w:sz w:val="24"/>
      <w:szCs w:val="28"/>
    </w:rPr>
  </w:style>
  <w:style w:type="paragraph" w:styleId="4">
    <w:name w:val="Body Text Indent"/>
    <w:basedOn w:val="1"/>
    <w:unhideWhenUsed/>
    <w:qFormat/>
    <w:uiPriority w:val="99"/>
    <w:pPr>
      <w:spacing w:after="120"/>
      <w:ind w:left="420" w:leftChars="200"/>
    </w:pPr>
    <w:rPr>
      <w:rFonts w:eastAsia="Times New Roman"/>
      <w:color w:val="000000"/>
      <w:lang w:eastAsia="en-US" w:bidi="en-US"/>
    </w:r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页眉 Char"/>
    <w:basedOn w:val="11"/>
    <w:link w:val="7"/>
    <w:qFormat/>
    <w:uiPriority w:val="99"/>
    <w:rPr>
      <w:sz w:val="18"/>
      <w:szCs w:val="18"/>
    </w:rPr>
  </w:style>
  <w:style w:type="character" w:customStyle="1" w:styleId="13">
    <w:name w:val="页脚 Char"/>
    <w:basedOn w:val="11"/>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5"/>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greatwall</cp:lastModifiedBy>
  <cp:lastPrinted>2023-08-16T01:28:00Z</cp:lastPrinted>
  <dcterms:modified xsi:type="dcterms:W3CDTF">2023-08-25T10:33:09Z</dcterms:modified>
  <cp:revision>67</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Office_11.8.2.10195_F1E327BC-269C-435d-A152-05C5408002CA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greatwall</cp:lastModifiedBy>
  <cp:lastPrinted>2023-08-16T01:28:00Z</cp:lastPrinted>
  <dcterms:modified xsi:type="dcterms:W3CDTF">2023-08-25T10:33:09Z</dcterms:modified>
  <cp:revision>67</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str>2052-11.8.2.10195</vt:lpstr>
  </property>
</Properties>
</file>

<file path=customXml/item5.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Office_11.8.2.10195_F1E327BC-269C-435d-A152-05C5408002CA</Application>
  <DocSecurity>0</DocSecurity>
  <Lines>63</Lines>
  <Paragraphs>18</Paragraphs>
  <Company>Microsoft</Company>
  <CharactersWithSpaces>9008</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2023-08-16T01:28:00Z</cp:lastPrinted>
  <dcterms:created xsi:type="dcterms:W3CDTF">2020-07-05T10:32:00Z</dcterms:created>
  <dcterms:modified xsi:type="dcterms:W3CDTF">2023-08-25T10:33:09Z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

<file path=customXml/item8.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Office_11.8.2.10195_F1E327BC-269C-435d-A152-05C5408002CA</Application>
  <DocSecurity>0</DocSecurity>
</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b0ecc3a7-7edc-4eca-9d63-9e9350eb742d}">
  <ds:schemaRefs/>
</ds:datastoreItem>
</file>

<file path=customXml/itemProps2.xml><?xml version="1.0" encoding="utf-8"?>
<ds:datastoreItem xmlns:ds="http://schemas.openxmlformats.org/officeDocument/2006/customXml" ds:itemID="{6937143d-28de-4b64-9acd-9cb0ff0be4f1}">
  <ds:schemaRefs/>
</ds:datastoreItem>
</file>

<file path=customXml/itemProps3.xml><?xml version="1.0" encoding="utf-8"?>
<ds:datastoreItem xmlns:ds="http://schemas.openxmlformats.org/officeDocument/2006/customXml" ds:itemID="{10fbbec7-4395-423d-b040-0807903aaa42}">
  <ds:schemaRefs/>
</ds:datastoreItem>
</file>

<file path=customXml/itemProps4.xml><?xml version="1.0" encoding="utf-8"?>
<ds:datastoreItem xmlns:ds="http://schemas.openxmlformats.org/officeDocument/2006/customXml" ds:itemID="{143ef071-07a4-4a67-b435-1d08192169cb}">
  <ds:schemaRefs/>
</ds:datastoreItem>
</file>

<file path=customXml/itemProps5.xml><?xml version="1.0" encoding="utf-8"?>
<ds:datastoreItem xmlns:ds="http://schemas.openxmlformats.org/officeDocument/2006/customXml" ds:itemID="{9d7a477b-b64b-48fd-8770-1605792c9722}">
  <ds:schemaRefs/>
</ds:datastoreItem>
</file>

<file path=customXml/itemProps6.xml><?xml version="1.0" encoding="utf-8"?>
<ds:datastoreItem xmlns:ds="http://schemas.openxmlformats.org/officeDocument/2006/customXml" ds:itemID="{80214206-c200-4eab-af13-c517b1e37430}">
  <ds:schemaRefs/>
</ds:datastoreItem>
</file>

<file path=customXml/itemProps7.xml><?xml version="1.0" encoding="utf-8"?>
<ds:datastoreItem xmlns:ds="http://schemas.openxmlformats.org/officeDocument/2006/customXml" ds:itemID="{217ab5ee-a992-4641-b3f3-9716c1870c07}">
  <ds:schemaRefs/>
</ds:datastoreItem>
</file>

<file path=customXml/itemProps8.xml><?xml version="1.0" encoding="utf-8"?>
<ds:datastoreItem xmlns:ds="http://schemas.openxmlformats.org/officeDocument/2006/customXml" ds:itemID="{211b6eb4-f184-440e-b338-ffa6a502bd8e}">
  <ds:schemaRefs/>
</ds:datastoreItem>
</file>

<file path=customXml/itemProps9.xml><?xml version="1.0" encoding="utf-8"?>
<ds:datastoreItem xmlns:ds="http://schemas.openxmlformats.org/officeDocument/2006/customXml" ds:itemID="{cf3ce3be-3ffa-4d12-800d-6dddfc2f8a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10593</Words>
  <Characters>13767</Characters>
  <Lines>63</Lines>
  <Paragraphs>18</Paragraphs>
  <TotalTime>9</TotalTime>
  <ScaleCrop>false</ScaleCrop>
  <LinksUpToDate>false</LinksUpToDate>
  <CharactersWithSpaces>14556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2020-07-05T10:32:00Z</dcterms:created>
  <dc:creator>李航 null</dc:creator>
  <cp:lastModifiedBy>big bubble</cp:lastModifiedBy>
  <cp:lastPrinted>2023-08-16T01:28:00Z</cp:lastPrinted>
  <dcterms:modified xsi:type="dcterms:W3CDTF">2023-08-31T08:21:03Z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2FBDCFDB87204B0A8B774722875CDA96_12</vt:lpwstr>
  </property>
</Properties>
</file>