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2023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年湖南省侨联部门预算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楷体_GB2312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目录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rPr>
          <w:rFonts w:hint="default" w:ascii="Times New Roman" w:hAnsi="Times New Roman" w:eastAsia="方正小标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第一部分</w:t>
      </w:r>
      <w:r>
        <w:rPr>
          <w:rFonts w:hint="default" w:ascii="Times New Roman" w:hAnsi="Times New Roman" w:eastAsia="方正小标宋_GBK" w:cs="Times New Roman"/>
          <w:b/>
          <w:bCs/>
          <w:kern w:val="0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年部门预算说明</w:t>
      </w:r>
    </w:p>
    <w:p>
      <w:pPr>
        <w:widowControl/>
        <w:spacing w:line="60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第二部分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年部门预算表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12、一般公共预算基本支出表-公用经费（商品和服务支出）（按政府预算经济分类）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13、一般公共预算基本支出表-公用经费（商品和服务支出）（按部门预算经济分类）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20、省级专项资金预算汇总表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21、省级专项资金绩效目标表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22、其他项目支出绩效目标表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23、部门整体支出绩效目标表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注：以上部门预算报表中，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本部门无相关收支情况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，也需公开空表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第一部分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2023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年部门预算说明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both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30" w:firstLineChars="196"/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（一）职能职责。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湖南省侨联成立于1979年4月。现为省侨联第八届委员会。省侨联是中共湖南省委领导下的省一级人民团体，是党和政府联系广大归侨侨眷和海外侨胞的桥梁和纽带。主要职能与主要工作任务如下：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1.宣传、贯彻党和政府的方针、政策，团结和动员归侨、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侨眷积极参加我省改革开放和社会主义现代化建设。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2.依法维护归侨、侨眷的合法权益，确保各级侨联依法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开展活动，积极维护广大归侨、侨眷合法权益和海外侨胞正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当权益，引导侨界群众运用法治思维和法治方式维护权益。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3.围绕经济建设，凝聚侨心，发挥侨力。引进资金、技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术、设备和人才，协助和联络海外侨胞来湘投资兴办实业及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各种公益事业，为侨属企业、侨资企业提供服务。聚焦新侨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创新创业扶助，积极服务“一带一路”建设。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4.制订全省侨联工作计划和发展规划，并组织实施。负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责全省归侨侨眷代表大会及其委员会的决议、决定的实施。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5.积极参政议政，广泛了解和积极反映归侨、侨眷和海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外侨胞的意见和诉求，为党和政府制订侨务政策和地方性法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规提出建议和意见。参与人大、政协的侨界代表、委员人选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的协商和推荐。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6.密切与海外侨胞及其社团的联系，服务国家外交工作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大局。按中央有关部门和省委的要求，加强侨务对台工作，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为祖国统一大业服务。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7.拓展中华优秀文化传播，讲好中国故事，传播好中国</w:t>
      </w:r>
    </w:p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声音，切实服务海外华文教育，增强中华文化影响力。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8.积极参与社会治理，开展精准扶贫和困难帮扶。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9.加强对所属社团组织建设管理。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10.指导全省侨联组织的业务工作。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11.省委、省政府及上级部门交办的其他事项等。</w:t>
      </w:r>
    </w:p>
    <w:p>
      <w:pPr>
        <w:widowControl/>
        <w:spacing w:line="600" w:lineRule="exact"/>
        <w:ind w:firstLine="630" w:firstLineChars="196"/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（二）机构设置。</w:t>
      </w:r>
    </w:p>
    <w:p>
      <w:pPr>
        <w:widowControl/>
        <w:spacing w:line="600" w:lineRule="exact"/>
        <w:ind w:firstLine="627" w:firstLineChars="196"/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省委湘办〔2001〕90号《湖南省归国华侨联合会机关机构改革方案》及湘编办发〔2019〕6号《关于湖南省归国华侨联合会职责和机构编制调整的通知》的文件规定，省侨联下设：办公室、宣传联络处、经济工作处（权益保障处）、机关党委（人事处）。另有省华侨公益基金会、省侨商联合会、省侨联法律顾问委员会、省侨联海外侨社团联谊总会、省侨联青年委员会、省侨联参政议政委员会、省侨联特聘专家委员会等7个二级平台。</w:t>
      </w:r>
    </w:p>
    <w:p>
      <w:pPr>
        <w:widowControl/>
        <w:spacing w:line="600" w:lineRule="exact"/>
        <w:ind w:firstLine="627" w:firstLineChars="196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我会只有本级，没有其他二级预算单位，因此本部门预算仅含本级预算。</w:t>
      </w:r>
    </w:p>
    <w:p>
      <w:pPr>
        <w:widowControl/>
        <w:spacing w:line="600" w:lineRule="exact"/>
        <w:ind w:firstLine="627" w:firstLineChars="196"/>
        <w:jc w:val="both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（一）收入预算：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包括一般公共预算、政府性基金、国有资本经营预算等财政拨款收入，以及经营收入、事业收入等单位资金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年本部门收入预算1621.18万元，其中一般公共预算拨款1345.23万元，其他收入58.34万元，上年结转结余217.61万元。收入较去年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增加270.65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上年结转结余、增加人员经费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both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（二）支出预算：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年本部门支出预算1621.18万元，其中，一般公共服务支出1348.48万元，教育支出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万元，社会保障和就业支出138.00万元，卫生健康支出67.70万元，住房保障支出55.00万元。支出较去年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增加270.65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上年结转结余、增加人员经费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>
      <w:pPr>
        <w:widowControl/>
        <w:spacing w:line="600" w:lineRule="exact"/>
        <w:ind w:firstLine="66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27" w:firstLineChars="196"/>
        <w:jc w:val="both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年本部门一般公共预算拨款支出预算1562.84万元，其中，一般公共服务支出1290.14万元，占8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%；教育支出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.00万元，占1%；社会保障和就业支出138.00万元，占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%；卫生健康支出67.70万元，占4%；住房保障支出55.00万元，占4%。具体安排情况如下：</w:t>
      </w:r>
    </w:p>
    <w:p>
      <w:pPr>
        <w:widowControl/>
        <w:spacing w:line="600" w:lineRule="exact"/>
        <w:ind w:firstLine="66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2023</w:t>
      </w:r>
      <w:r>
        <w:rPr>
          <w:rFonts w:hint="default" w:ascii="仿宋_GB2312" w:hAnsi="仿宋_GB2312" w:eastAsia="仿宋_GB2312" w:cs="仿宋_GB2312"/>
          <w:sz w:val="32"/>
          <w:szCs w:val="32"/>
        </w:rPr>
        <w:t>年本部门基本支出预算数847.70万元，主要是为保障部门正常运转、完成日常工作任务而发生的各项支出，包括用于基本工资、津贴补贴等人员经费以及办公费、印刷费、水电费、办公设备购置等公用经费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（二）项目支出：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2023年本部门项目支出预算715.14万元，主要是部门为完成特定行政工作任务或事业发展目标而发生的支出，包括有关事业发展专项、专项业务费、基本建设支出等，其中：业务工作经费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362.24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万元，主要用于侨务理论方针政策的学习、宣传、贯彻；协调服务经济发展、依法维护侨益、积极参政议政、参与社会建设等工作；协调相关省直单位，指导全省各级侨联工作等。其他事业发展资金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75万元，主要用于文化宣传、海外联谊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运行维护经费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277.9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万元，主要用于保障机关运行维护、资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产购置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培训经费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等方面。</w:t>
      </w:r>
    </w:p>
    <w:p>
      <w:pPr>
        <w:widowControl/>
        <w:spacing w:line="600" w:lineRule="exact"/>
        <w:ind w:firstLine="66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我会无政府性基金安排的支出。</w:t>
      </w:r>
    </w:p>
    <w:p>
      <w:pPr>
        <w:widowControl/>
        <w:spacing w:line="600" w:lineRule="exact"/>
        <w:ind w:firstLine="66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（一）机关运行经费：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2023年我会本级机关运行经费</w:t>
      </w:r>
    </w:p>
    <w:p>
      <w:pPr>
        <w:widowControl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万元，比上年预算增加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51.47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万元，上升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%，主要是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支出科目调整和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正常公用经费调整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（二）“三公”经费预算：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2023年我会本级“三公”经费预算数为118.00万元，其中，公务接待费32.00万元，公务用车购置及运行费16.00万元（其中公务用车购置费为0万元，公务用车运行费为16.00万元），因公出国（境）费70.00万元。202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年“三公”经费预算较202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年数据持平。主要是因机构改革，省侨办的海外华侨华人社团联谊等职能划归省侨联，海外工作成为侨联工作的重要主战场，我会海外工作职能增强。</w:t>
      </w:r>
    </w:p>
    <w:p>
      <w:pPr>
        <w:widowControl/>
        <w:spacing w:line="600" w:lineRule="exact"/>
        <w:ind w:firstLine="660"/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（三）一般性支出情况：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2023年我会会议费预算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28.5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万元。拟召开省侨联八届五次全委会议暨八届六次常委会议，人数230人，内容为总结2022年全省侨联系统工作，安排部署2023年工作；拟召开省侨联八届七次常委会议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内容为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总结2023年全省侨联系统上半年工作，安排部署2023年下半年工作；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拟召开省侨联参政议政委换届会议，人数50人，内容为完成省侨联参政议政委第五届换届相关议程，部署省侨联参政议政委今后五年工作任务；拟召开省侨联系统务虚工作会议，人数50人，内容是谋划2023年工作，重点工作衔接；拟召开省侨联法顾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年年会，人数70人，内容是总结法顾委前段工作，安排部署后段工作；拟召开省侨联特聘专家委员会年会，人数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0人，内容为总结特聘专家委前段工作，安排部署后段工作。</w:t>
      </w:r>
    </w:p>
    <w:p>
      <w:pPr>
        <w:widowControl/>
        <w:spacing w:line="600" w:lineRule="exact"/>
        <w:ind w:firstLine="660"/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年我会培训费预算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为上年结余资金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拟与中国侨联合作举办1期全省基层侨联干部培训班，人数120人，内容是落实《中国侨联事业发展规划（2021—2025年）》《2019—2023年中国侨联培训规划》任务要求，持续加强侨联系统干部素质能力提升，建设一支政治上强、作风优良、专业水平高的新时代侨联干部队伍，培养“知侨、懂侨、爱侨”的“贴心人、实干家”。</w:t>
      </w:r>
    </w:p>
    <w:p>
      <w:pPr>
        <w:widowControl/>
        <w:spacing w:line="600" w:lineRule="exact"/>
        <w:ind w:firstLine="660"/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（四）政府采购情况：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年我会本级政府采购预算总额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21.53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万元，其中：货物类采购预算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万元；工程类采购预算0万元；服务类采购预算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.00万元。</w:t>
      </w:r>
    </w:p>
    <w:p>
      <w:pPr>
        <w:widowControl/>
        <w:spacing w:line="600" w:lineRule="exact"/>
        <w:ind w:firstLine="66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（五）国有资产占用使用及新增资产配置情况：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截至2022年12月底，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本部门共有车辆5辆，其中，机要通信用车1辆，应急保障用车1辆，其他按照规定配备的公务用车3辆（1辆已上交待核销）；无单价50万元以上通用设备和单价100万元以上专用设备。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拟新增配置公务用车辆，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新增配备单位价值50万元以上通用设备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单位价值100万元以上专用设备。</w:t>
      </w:r>
    </w:p>
    <w:p>
      <w:pPr>
        <w:widowControl/>
        <w:spacing w:line="600" w:lineRule="exact"/>
        <w:ind w:firstLine="66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（六）预算绩效目标说明：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本部门所有支出实行绩效目标管理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，纳入2023年部门整体支出绩效目标的金额为1,621.18万元，其中，基本支出847.70万元，项目支出773.48万元，具体绩效目标详见报表。</w:t>
      </w:r>
    </w:p>
    <w:p>
      <w:pPr>
        <w:widowControl/>
        <w:spacing w:line="600" w:lineRule="exact"/>
        <w:ind w:firstLine="66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720" w:firstLineChars="200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第二部分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2023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年部门预算表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B2DBA"/>
    <w:rsid w:val="009F6671"/>
    <w:rsid w:val="143127BF"/>
    <w:rsid w:val="15181476"/>
    <w:rsid w:val="44556B3B"/>
    <w:rsid w:val="4936721A"/>
    <w:rsid w:val="4D626360"/>
    <w:rsid w:val="504F5EF1"/>
    <w:rsid w:val="534B2DBA"/>
    <w:rsid w:val="56F62C57"/>
    <w:rsid w:val="63150EF7"/>
    <w:rsid w:val="68AA1E93"/>
    <w:rsid w:val="702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2023-02-16T07:34:00Z</dcterms:created>
  <dc:creator>(〃ﾉωﾉ)薏米小姐 </dc:creator>
  <cp:lastModifiedBy>Administrator</cp:lastModifiedBy>
  <cp:lastPrinted>2023-02-17T00:46:00Z</cp:lastPrinted>
  <dcterms:modified xsi:type="dcterms:W3CDTF">2023-02-21T00:19:05Z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