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CEA" w:rsidRDefault="002D2CEA">
      <w:pPr>
        <w:pStyle w:val="Default"/>
        <w:jc w:val="center"/>
        <w:rPr>
          <w:sz w:val="56"/>
          <w:szCs w:val="56"/>
        </w:rPr>
      </w:pPr>
    </w:p>
    <w:p w:rsidR="002D2CEA" w:rsidRDefault="002D2CEA">
      <w:pPr>
        <w:pStyle w:val="Default"/>
        <w:jc w:val="center"/>
        <w:rPr>
          <w:sz w:val="56"/>
          <w:szCs w:val="56"/>
        </w:rPr>
      </w:pPr>
    </w:p>
    <w:p w:rsidR="002D2CEA" w:rsidRDefault="002D2CEA">
      <w:pPr>
        <w:pStyle w:val="Default"/>
        <w:jc w:val="center"/>
        <w:rPr>
          <w:sz w:val="84"/>
          <w:szCs w:val="84"/>
        </w:rPr>
      </w:pPr>
    </w:p>
    <w:p w:rsidR="002D2CEA" w:rsidRDefault="002D2CEA">
      <w:pPr>
        <w:pStyle w:val="Default"/>
        <w:jc w:val="center"/>
        <w:rPr>
          <w:sz w:val="84"/>
          <w:szCs w:val="84"/>
        </w:rPr>
      </w:pPr>
    </w:p>
    <w:p w:rsidR="002D2CEA" w:rsidRDefault="006D6147">
      <w:pPr>
        <w:pStyle w:val="Default"/>
        <w:jc w:val="center"/>
        <w:rPr>
          <w:sz w:val="84"/>
          <w:szCs w:val="84"/>
        </w:rPr>
      </w:pPr>
      <w:r>
        <w:rPr>
          <w:sz w:val="84"/>
          <w:szCs w:val="84"/>
        </w:rPr>
        <w:t>2021</w:t>
      </w:r>
      <w:r>
        <w:rPr>
          <w:rFonts w:hint="eastAsia"/>
          <w:sz w:val="84"/>
          <w:szCs w:val="84"/>
        </w:rPr>
        <w:t>年度</w:t>
      </w:r>
    </w:p>
    <w:p w:rsidR="002D2CEA" w:rsidRDefault="006D6147">
      <w:pPr>
        <w:pStyle w:val="Default"/>
        <w:jc w:val="center"/>
        <w:rPr>
          <w:sz w:val="84"/>
          <w:szCs w:val="84"/>
        </w:rPr>
      </w:pPr>
      <w:r>
        <w:rPr>
          <w:rFonts w:hint="eastAsia"/>
          <w:sz w:val="84"/>
          <w:szCs w:val="84"/>
        </w:rPr>
        <w:t>湖南省高速公路交通警察局邵阳支队部门决算</w:t>
      </w:r>
    </w:p>
    <w:p w:rsidR="002D2CEA" w:rsidRDefault="002D2CEA">
      <w:pPr>
        <w:pStyle w:val="Default"/>
        <w:jc w:val="center"/>
        <w:rPr>
          <w:sz w:val="56"/>
          <w:szCs w:val="56"/>
        </w:rPr>
      </w:pPr>
    </w:p>
    <w:p w:rsidR="002D2CEA" w:rsidRDefault="002D2CEA">
      <w:pPr>
        <w:pStyle w:val="Default"/>
        <w:jc w:val="center"/>
        <w:rPr>
          <w:sz w:val="56"/>
          <w:szCs w:val="56"/>
        </w:rPr>
      </w:pPr>
    </w:p>
    <w:p w:rsidR="002D2CEA" w:rsidRDefault="002D2CEA">
      <w:pPr>
        <w:pStyle w:val="Default"/>
        <w:jc w:val="center"/>
        <w:rPr>
          <w:sz w:val="56"/>
          <w:szCs w:val="56"/>
        </w:rPr>
      </w:pPr>
    </w:p>
    <w:p w:rsidR="002D2CEA" w:rsidRDefault="002D2CEA">
      <w:pPr>
        <w:pStyle w:val="Default"/>
        <w:jc w:val="center"/>
        <w:rPr>
          <w:sz w:val="56"/>
          <w:szCs w:val="56"/>
        </w:rPr>
      </w:pPr>
    </w:p>
    <w:p w:rsidR="002D2CEA" w:rsidRDefault="002D2CEA">
      <w:pPr>
        <w:pStyle w:val="Default"/>
        <w:jc w:val="center"/>
        <w:rPr>
          <w:sz w:val="32"/>
          <w:szCs w:val="32"/>
        </w:rPr>
      </w:pPr>
    </w:p>
    <w:p w:rsidR="002D2CEA" w:rsidRDefault="002D2CEA">
      <w:pPr>
        <w:pStyle w:val="Default"/>
        <w:jc w:val="center"/>
        <w:rPr>
          <w:sz w:val="32"/>
          <w:szCs w:val="32"/>
        </w:rPr>
      </w:pPr>
    </w:p>
    <w:p w:rsidR="002D2CEA" w:rsidRDefault="002D2CEA">
      <w:pPr>
        <w:pStyle w:val="Default"/>
        <w:jc w:val="center"/>
        <w:rPr>
          <w:sz w:val="32"/>
          <w:szCs w:val="32"/>
        </w:rPr>
      </w:pPr>
    </w:p>
    <w:p w:rsidR="002D2CEA" w:rsidRDefault="002D2CEA">
      <w:pPr>
        <w:pStyle w:val="Default"/>
        <w:jc w:val="center"/>
        <w:rPr>
          <w:sz w:val="32"/>
          <w:szCs w:val="32"/>
        </w:rPr>
      </w:pPr>
    </w:p>
    <w:p w:rsidR="002D2CEA" w:rsidRDefault="002D2CEA">
      <w:pPr>
        <w:pStyle w:val="Default"/>
        <w:jc w:val="center"/>
        <w:rPr>
          <w:sz w:val="32"/>
          <w:szCs w:val="32"/>
        </w:rPr>
      </w:pPr>
    </w:p>
    <w:p w:rsidR="002D2CEA" w:rsidRDefault="002D2CEA">
      <w:pPr>
        <w:pStyle w:val="Default"/>
        <w:spacing w:line="500" w:lineRule="exact"/>
        <w:rPr>
          <w:b/>
          <w:sz w:val="30"/>
          <w:szCs w:val="30"/>
        </w:rPr>
      </w:pPr>
    </w:p>
    <w:p w:rsidR="002D2CEA" w:rsidRDefault="006D6147">
      <w:pPr>
        <w:pStyle w:val="Default"/>
        <w:spacing w:line="500" w:lineRule="exact"/>
        <w:jc w:val="center"/>
        <w:rPr>
          <w:b/>
          <w:sz w:val="36"/>
          <w:szCs w:val="28"/>
        </w:rPr>
      </w:pPr>
      <w:r>
        <w:rPr>
          <w:rFonts w:hint="eastAsia"/>
          <w:b/>
          <w:sz w:val="36"/>
          <w:szCs w:val="28"/>
        </w:rPr>
        <w:t>目录</w:t>
      </w:r>
    </w:p>
    <w:p w:rsidR="002D2CEA" w:rsidRDefault="006D6147">
      <w:pPr>
        <w:pStyle w:val="Default"/>
        <w:spacing w:line="500" w:lineRule="exact"/>
        <w:rPr>
          <w:rFonts w:ascii="仿宋_GB2312" w:eastAsia="仿宋_GB2312" w:cs="仿宋_GB2312"/>
          <w:b/>
          <w:sz w:val="28"/>
          <w:szCs w:val="28"/>
        </w:rPr>
      </w:pPr>
      <w:r>
        <w:rPr>
          <w:rFonts w:hint="eastAsia"/>
          <w:b/>
          <w:sz w:val="28"/>
          <w:szCs w:val="28"/>
        </w:rPr>
        <w:t>第一部分湖南省高速公路交通警察局邵阳支队概况</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一、部门职责</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二、机构设置</w:t>
      </w:r>
    </w:p>
    <w:p w:rsidR="002D2CEA" w:rsidRDefault="006D6147">
      <w:pPr>
        <w:pStyle w:val="Default"/>
        <w:spacing w:line="500" w:lineRule="exact"/>
        <w:rPr>
          <w:rFonts w:ascii="仿宋_GB2312" w:eastAsia="仿宋_GB2312" w:cs="仿宋_GB2312"/>
          <w:b/>
          <w:sz w:val="28"/>
          <w:szCs w:val="28"/>
        </w:rPr>
      </w:pPr>
      <w:r>
        <w:rPr>
          <w:rFonts w:hAnsi="仿宋_GB2312" w:hint="eastAsia"/>
          <w:b/>
          <w:sz w:val="28"/>
          <w:szCs w:val="28"/>
        </w:rPr>
        <w:t>第二部分</w:t>
      </w:r>
      <w:r>
        <w:rPr>
          <w:rFonts w:hAnsi="仿宋_GB2312"/>
          <w:b/>
          <w:sz w:val="28"/>
          <w:szCs w:val="28"/>
        </w:rPr>
        <w:t>2021</w:t>
      </w:r>
      <w:r>
        <w:rPr>
          <w:rFonts w:hAnsi="仿宋_GB2312" w:hint="eastAsia"/>
          <w:b/>
          <w:sz w:val="28"/>
          <w:szCs w:val="28"/>
        </w:rPr>
        <w:t>年度部门决算表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一、收入支出决算总表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二、收入决算表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三、支出决算表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四、财政拨款收入支出决算总表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五、一般公共预算财政拨款支出决算表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六、一般公共预算财政拨款基本支出决算明细表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七、一般公共预算财政拨款“三公”经费支出决算表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八、政府性基金预算财政拨款收入支出决算表</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九、国有资本经营预算财政拨款支出决算表</w:t>
      </w:r>
    </w:p>
    <w:p w:rsidR="002D2CEA" w:rsidRDefault="006D6147">
      <w:pPr>
        <w:pStyle w:val="Default"/>
        <w:spacing w:line="500" w:lineRule="exact"/>
        <w:rPr>
          <w:rFonts w:ascii="仿宋_GB2312" w:eastAsia="仿宋_GB2312" w:cs="仿宋_GB2312"/>
          <w:b/>
          <w:sz w:val="28"/>
          <w:szCs w:val="28"/>
        </w:rPr>
      </w:pPr>
      <w:r>
        <w:rPr>
          <w:rFonts w:hAnsi="仿宋_GB2312" w:hint="eastAsia"/>
          <w:b/>
          <w:sz w:val="28"/>
          <w:szCs w:val="28"/>
        </w:rPr>
        <w:t>第三部分</w:t>
      </w:r>
      <w:r>
        <w:rPr>
          <w:rFonts w:hAnsi="仿宋_GB2312"/>
          <w:b/>
          <w:sz w:val="28"/>
          <w:szCs w:val="28"/>
        </w:rPr>
        <w:t>2021</w:t>
      </w:r>
      <w:r>
        <w:rPr>
          <w:rFonts w:hAnsi="仿宋_GB2312" w:hint="eastAsia"/>
          <w:b/>
          <w:sz w:val="28"/>
          <w:szCs w:val="28"/>
        </w:rPr>
        <w:t>年度部门决算情况说明</w:t>
      </w:r>
    </w:p>
    <w:p w:rsidR="002D2CEA" w:rsidRDefault="006D6147">
      <w:pPr>
        <w:pStyle w:val="Default"/>
        <w:spacing w:line="500" w:lineRule="exact"/>
        <w:ind w:firstLineChars="250" w:firstLine="700"/>
        <w:rPr>
          <w:rFonts w:ascii="宋体" w:eastAsia="宋体" w:hAnsi="宋体" w:cs="仿宋_GB2312"/>
          <w:sz w:val="28"/>
          <w:szCs w:val="28"/>
        </w:rPr>
      </w:pPr>
      <w:r>
        <w:rPr>
          <w:rFonts w:ascii="宋体" w:eastAsia="宋体" w:hAnsi="宋体" w:cs="仿宋_GB2312" w:hint="eastAsia"/>
          <w:sz w:val="28"/>
          <w:szCs w:val="28"/>
        </w:rPr>
        <w:t>一、收入支出决算总体情况说明</w:t>
      </w:r>
    </w:p>
    <w:p w:rsidR="002D2CEA" w:rsidRDefault="006D6147">
      <w:pPr>
        <w:spacing w:line="500" w:lineRule="exact"/>
        <w:ind w:firstLineChars="250" w:firstLine="700"/>
        <w:jc w:val="left"/>
        <w:rPr>
          <w:rFonts w:ascii="仿宋_GB2312" w:eastAsia="仿宋_GB2312" w:cs="仿宋_GB2312"/>
          <w:sz w:val="28"/>
          <w:szCs w:val="28"/>
        </w:rPr>
      </w:pPr>
      <w:r>
        <w:rPr>
          <w:rFonts w:ascii="仿宋_GB2312" w:hAnsi="仿宋_GB2312" w:cs="仿宋_GB2312" w:hint="eastAsia"/>
          <w:sz w:val="28"/>
          <w:szCs w:val="28"/>
        </w:rPr>
        <w:t>二、收入决算情况说明</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三、支出决算情况说明</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四、财政拨款收入支出决算总体情况说明</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五、一般公共预算财政拨款支出决算情况说明</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六、一般公共预算财政拨款基本支出决算情况说明</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七、一般公共预算财政拨款“三公”经费支出决算情况说明</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八、政府性基金预算收入支出决算情况</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九、机关运行经费支出说明</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十、一般性支出情况说明</w:t>
      </w:r>
    </w:p>
    <w:p w:rsidR="002D2CEA" w:rsidRDefault="006D6147">
      <w:pPr>
        <w:autoSpaceDE w:val="0"/>
        <w:autoSpaceDN w:val="0"/>
        <w:adjustRightInd w:val="0"/>
        <w:spacing w:line="500" w:lineRule="exact"/>
        <w:ind w:firstLineChars="250" w:firstLine="700"/>
        <w:jc w:val="left"/>
        <w:rPr>
          <w:rFonts w:ascii="仿宋_GB2312" w:eastAsia="仿宋_GB2312" w:cs="仿宋_GB2312"/>
          <w:color w:val="000000"/>
          <w:kern w:val="0"/>
          <w:sz w:val="28"/>
          <w:szCs w:val="28"/>
        </w:rPr>
      </w:pPr>
      <w:r>
        <w:rPr>
          <w:rFonts w:ascii="仿宋_GB2312" w:hAnsi="仿宋_GB2312" w:cs="仿宋_GB2312" w:hint="eastAsia"/>
          <w:color w:val="000000"/>
          <w:kern w:val="0"/>
          <w:sz w:val="28"/>
          <w:szCs w:val="28"/>
        </w:rPr>
        <w:t>十一、政府采购支出说明</w:t>
      </w:r>
    </w:p>
    <w:p w:rsidR="002D2CEA" w:rsidRDefault="006D6147">
      <w:pPr>
        <w:pStyle w:val="Default"/>
        <w:spacing w:line="500" w:lineRule="exact"/>
        <w:ind w:firstLineChars="250" w:firstLine="700"/>
        <w:rPr>
          <w:rFonts w:ascii="仿宋_GB2312" w:eastAsia="宋体" w:hAnsi="仿宋_GB2312" w:cs="仿宋_GB2312"/>
          <w:sz w:val="28"/>
          <w:szCs w:val="28"/>
        </w:rPr>
      </w:pPr>
      <w:r>
        <w:rPr>
          <w:rFonts w:ascii="仿宋_GB2312" w:eastAsia="宋体" w:hAnsi="仿宋_GB2312" w:cs="仿宋_GB2312" w:hint="eastAsia"/>
          <w:sz w:val="28"/>
          <w:szCs w:val="28"/>
        </w:rPr>
        <w:t>十二、国有资产占用情况说明</w:t>
      </w:r>
    </w:p>
    <w:p w:rsidR="002D2CEA" w:rsidRDefault="006D6147">
      <w:pPr>
        <w:pStyle w:val="Default"/>
        <w:spacing w:line="500" w:lineRule="exact"/>
        <w:ind w:firstLineChars="250" w:firstLine="700"/>
        <w:rPr>
          <w:rFonts w:ascii="仿宋_GB2312" w:eastAsia="宋体" w:hAnsi="仿宋_GB2312" w:cs="仿宋_GB2312"/>
          <w:sz w:val="28"/>
          <w:szCs w:val="28"/>
        </w:rPr>
      </w:pPr>
      <w:r>
        <w:rPr>
          <w:rFonts w:ascii="仿宋_GB2312" w:eastAsia="宋体" w:hAnsi="仿宋_GB2312" w:cs="仿宋_GB2312" w:hint="eastAsia"/>
          <w:sz w:val="28"/>
          <w:szCs w:val="28"/>
        </w:rPr>
        <w:t>十三、</w:t>
      </w:r>
      <w:r>
        <w:rPr>
          <w:rFonts w:ascii="宋体" w:eastAsia="宋体" w:hAnsi="宋体" w:cs="仿宋_GB2312"/>
          <w:sz w:val="28"/>
          <w:szCs w:val="28"/>
        </w:rPr>
        <w:t>2021</w:t>
      </w:r>
      <w:r>
        <w:rPr>
          <w:rFonts w:ascii="宋体" w:eastAsia="宋体" w:hAnsi="宋体" w:cs="仿宋_GB2312" w:hint="eastAsia"/>
          <w:sz w:val="28"/>
          <w:szCs w:val="28"/>
        </w:rPr>
        <w:t>年</w:t>
      </w:r>
      <w:r>
        <w:rPr>
          <w:rFonts w:ascii="仿宋_GB2312" w:eastAsia="宋体" w:hAnsi="仿宋_GB2312" w:cs="仿宋_GB2312" w:hint="eastAsia"/>
          <w:sz w:val="28"/>
          <w:szCs w:val="28"/>
        </w:rPr>
        <w:t>度预算绩效情况说明</w:t>
      </w:r>
    </w:p>
    <w:p w:rsidR="002D2CEA" w:rsidRDefault="006D6147">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hint="eastAsia"/>
          <w:b/>
          <w:color w:val="000000"/>
          <w:kern w:val="0"/>
          <w:sz w:val="28"/>
          <w:szCs w:val="28"/>
        </w:rPr>
        <w:t>第四部分名词解释</w:t>
      </w:r>
    </w:p>
    <w:p w:rsidR="002D2CEA" w:rsidRDefault="006D6147">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lastRenderedPageBreak/>
        <w:t>第五部分附件</w:t>
      </w: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rPr>
          <w:sz w:val="72"/>
          <w:szCs w:val="72"/>
        </w:rPr>
      </w:pPr>
    </w:p>
    <w:p w:rsidR="002D2CEA" w:rsidRDefault="006D6147">
      <w:pPr>
        <w:pStyle w:val="Default"/>
        <w:jc w:val="center"/>
        <w:rPr>
          <w:sz w:val="84"/>
          <w:szCs w:val="84"/>
        </w:rPr>
      </w:pPr>
      <w:r>
        <w:rPr>
          <w:rFonts w:hint="eastAsia"/>
          <w:sz w:val="84"/>
          <w:szCs w:val="84"/>
        </w:rPr>
        <w:t>第一部分</w:t>
      </w:r>
      <w:r>
        <w:rPr>
          <w:sz w:val="84"/>
          <w:szCs w:val="84"/>
        </w:rPr>
        <w:t xml:space="preserve"> </w:t>
      </w:r>
    </w:p>
    <w:p w:rsidR="002D2CEA" w:rsidRDefault="002D2CEA">
      <w:pPr>
        <w:pStyle w:val="Default"/>
        <w:jc w:val="center"/>
        <w:rPr>
          <w:sz w:val="84"/>
          <w:szCs w:val="84"/>
        </w:rPr>
      </w:pPr>
    </w:p>
    <w:p w:rsidR="002D2CEA" w:rsidRDefault="006D6147">
      <w:pPr>
        <w:pStyle w:val="Default"/>
        <w:jc w:val="center"/>
        <w:rPr>
          <w:sz w:val="84"/>
          <w:szCs w:val="84"/>
        </w:rPr>
      </w:pPr>
      <w:r>
        <w:rPr>
          <w:rFonts w:hint="eastAsia"/>
          <w:sz w:val="84"/>
          <w:szCs w:val="84"/>
        </w:rPr>
        <w:t>湖南省高速公路交通警察局邵阳支队概况</w:t>
      </w: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pStyle w:val="a8"/>
        <w:ind w:left="720" w:firstLineChars="0" w:firstLine="0"/>
        <w:jc w:val="left"/>
        <w:rPr>
          <w:rFonts w:ascii="黑体" w:eastAsia="黑体" w:hAnsi="黑体"/>
          <w:sz w:val="32"/>
          <w:szCs w:val="32"/>
        </w:rPr>
      </w:pPr>
    </w:p>
    <w:p w:rsidR="002D2CEA" w:rsidRDefault="002D2CEA">
      <w:pPr>
        <w:pStyle w:val="a8"/>
        <w:ind w:left="720" w:firstLineChars="0" w:firstLine="0"/>
        <w:jc w:val="left"/>
        <w:rPr>
          <w:rFonts w:ascii="黑体" w:eastAsia="黑体" w:hAnsi="黑体"/>
          <w:sz w:val="32"/>
          <w:szCs w:val="32"/>
        </w:rPr>
      </w:pPr>
    </w:p>
    <w:p w:rsidR="002D2CEA" w:rsidRDefault="002D2CEA">
      <w:pPr>
        <w:pStyle w:val="a8"/>
        <w:ind w:left="720" w:firstLineChars="0" w:firstLine="0"/>
        <w:jc w:val="left"/>
        <w:rPr>
          <w:rFonts w:ascii="黑体" w:eastAsia="黑体" w:hAnsi="黑体"/>
          <w:sz w:val="32"/>
          <w:szCs w:val="32"/>
        </w:rPr>
      </w:pPr>
    </w:p>
    <w:p w:rsidR="002D2CEA" w:rsidRDefault="006D6147">
      <w:pPr>
        <w:pStyle w:val="a8"/>
        <w:numPr>
          <w:ilvl w:val="0"/>
          <w:numId w:val="1"/>
        </w:numPr>
        <w:ind w:firstLineChars="0"/>
        <w:jc w:val="left"/>
        <w:rPr>
          <w:rFonts w:ascii="黑体" w:eastAsia="黑体" w:hAnsi="黑体"/>
          <w:sz w:val="32"/>
          <w:szCs w:val="32"/>
        </w:rPr>
      </w:pPr>
      <w:r>
        <w:rPr>
          <w:rFonts w:ascii="黑体" w:eastAsia="黑体" w:hAnsi="黑体" w:hint="eastAsia"/>
          <w:sz w:val="32"/>
          <w:szCs w:val="32"/>
        </w:rPr>
        <w:t>部门职责</w:t>
      </w:r>
    </w:p>
    <w:p w:rsidR="002D2CEA" w:rsidRDefault="006D6147">
      <w:pPr>
        <w:pStyle w:val="a3"/>
        <w:spacing w:before="0" w:after="0" w:line="600" w:lineRule="exact"/>
        <w:ind w:leftChars="343" w:left="720" w:firstLineChars="200" w:firstLine="640"/>
        <w:rPr>
          <w:rFonts w:ascii="宋体" w:hAnsi="宋体"/>
          <w:bCs/>
          <w:kern w:val="0"/>
          <w:sz w:val="32"/>
          <w:szCs w:val="32"/>
        </w:rPr>
      </w:pPr>
      <w:r>
        <w:rPr>
          <w:rFonts w:ascii="宋体" w:hAnsi="宋体" w:hint="eastAsia"/>
          <w:bCs/>
          <w:kern w:val="0"/>
          <w:sz w:val="32"/>
          <w:szCs w:val="32"/>
        </w:rPr>
        <w:t>省高警局邵阳支队系副处级单位，主要担负贯彻执行国家有关道路交通管理法律、法规；组织、指导、监督全省公安交通管理部门维护城乡道路交通秩序，依法查处道路交通违法行为，预防和处理道路交通事故等工作职责。</w:t>
      </w:r>
    </w:p>
    <w:p w:rsidR="002D2CEA" w:rsidRDefault="006D6147">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2D2CEA" w:rsidRDefault="006D6147">
      <w:pPr>
        <w:jc w:val="left"/>
        <w:rPr>
          <w:rFonts w:ascii="宋体" w:hAnsi="宋体"/>
          <w:bCs/>
          <w:kern w:val="0"/>
          <w:sz w:val="32"/>
          <w:szCs w:val="32"/>
        </w:rPr>
      </w:pPr>
      <w:r>
        <w:rPr>
          <w:rFonts w:ascii="宋体" w:hAnsi="宋体" w:hint="eastAsia"/>
          <w:bCs/>
          <w:kern w:val="0"/>
          <w:sz w:val="32"/>
          <w:szCs w:val="32"/>
        </w:rPr>
        <w:t>（一）内设机构设置。支队现有支队机关交管科、法制科、办公室、政工室、纪检室共5个科室，下设双清大队、隆回大队、洞口大队、塘渡口大队、新邵大队、武冈大队、新宁大队、绥宁大队等9个大队，均为正科级机构。</w:t>
      </w:r>
    </w:p>
    <w:p w:rsidR="002D2CEA" w:rsidRDefault="006D6147">
      <w:pPr>
        <w:jc w:val="left"/>
        <w:rPr>
          <w:rFonts w:ascii="宋体" w:hAnsi="宋体"/>
          <w:bCs/>
          <w:kern w:val="0"/>
          <w:sz w:val="32"/>
          <w:szCs w:val="32"/>
        </w:rPr>
      </w:pPr>
      <w:r>
        <w:rPr>
          <w:rFonts w:ascii="宋体" w:hAnsi="宋体" w:hint="eastAsia"/>
          <w:bCs/>
          <w:kern w:val="0"/>
          <w:sz w:val="32"/>
          <w:szCs w:val="32"/>
        </w:rPr>
        <w:t>（二）决算单位构成。2021年部门决算汇总公开单位构成包括：湖南省高速公路交通警察局邵阳支队部门本级。</w:t>
      </w:r>
    </w:p>
    <w:p w:rsidR="002D2CEA" w:rsidRDefault="002D2CEA">
      <w:pPr>
        <w:jc w:val="left"/>
        <w:rPr>
          <w:rFonts w:ascii="仿宋_GB2312" w:eastAsia="仿宋_GB2312" w:hAnsi="宋体"/>
          <w:sz w:val="28"/>
          <w:szCs w:val="32"/>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rFonts w:ascii="黑体" w:eastAsia="黑体" w:hAnsi="黑体"/>
          <w:sz w:val="28"/>
          <w:szCs w:val="28"/>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6D6147">
      <w:pPr>
        <w:jc w:val="center"/>
        <w:rPr>
          <w:sz w:val="72"/>
          <w:szCs w:val="72"/>
        </w:rPr>
      </w:pPr>
      <w:r>
        <w:rPr>
          <w:rFonts w:hint="eastAsia"/>
          <w:sz w:val="72"/>
          <w:szCs w:val="72"/>
        </w:rPr>
        <w:t>第二部分</w:t>
      </w:r>
    </w:p>
    <w:p w:rsidR="002D2CEA" w:rsidRDefault="002D2CEA">
      <w:pPr>
        <w:jc w:val="center"/>
        <w:rPr>
          <w:sz w:val="72"/>
          <w:szCs w:val="72"/>
        </w:rPr>
      </w:pPr>
    </w:p>
    <w:p w:rsidR="002D2CEA" w:rsidRDefault="006D6147">
      <w:pPr>
        <w:jc w:val="center"/>
        <w:rPr>
          <w:sz w:val="72"/>
          <w:szCs w:val="72"/>
        </w:rPr>
      </w:pPr>
      <w:r>
        <w:rPr>
          <w:rFonts w:hint="eastAsia"/>
          <w:sz w:val="72"/>
          <w:szCs w:val="72"/>
        </w:rPr>
        <w:t>部门决算表</w:t>
      </w: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center"/>
        <w:rPr>
          <w:sz w:val="72"/>
          <w:szCs w:val="72"/>
        </w:rPr>
      </w:pPr>
    </w:p>
    <w:p w:rsidR="002D2CEA" w:rsidRDefault="002D2CEA">
      <w:pPr>
        <w:jc w:val="left"/>
        <w:rPr>
          <w:sz w:val="32"/>
          <w:szCs w:val="32"/>
        </w:rPr>
      </w:pPr>
    </w:p>
    <w:p w:rsidR="002D2CEA" w:rsidRDefault="002D2CEA">
      <w:pPr>
        <w:jc w:val="left"/>
        <w:rPr>
          <w:rFonts w:ascii="宋体"/>
          <w:sz w:val="32"/>
          <w:szCs w:val="32"/>
        </w:rPr>
        <w:sectPr w:rsidR="002D2CEA">
          <w:pgSz w:w="11906" w:h="16838"/>
          <w:pgMar w:top="720" w:right="720" w:bottom="720" w:left="720" w:header="851" w:footer="992" w:gutter="0"/>
          <w:cols w:space="425"/>
          <w:docGrid w:type="lines" w:linePitch="312"/>
        </w:sectPr>
      </w:pPr>
    </w:p>
    <w:p w:rsidR="002D2CEA" w:rsidRDefault="006D6147">
      <w:pPr>
        <w:pStyle w:val="Default"/>
        <w:rPr>
          <w:sz w:val="32"/>
          <w:szCs w:val="32"/>
        </w:rPr>
        <w:sectPr w:rsidR="002D2CEA">
          <w:pgSz w:w="16838" w:h="11906" w:orient="landscape"/>
          <w:pgMar w:top="720" w:right="720" w:bottom="720" w:left="720" w:header="851" w:footer="992" w:gutter="0"/>
          <w:cols w:space="425"/>
          <w:docGrid w:type="lines" w:linePitch="312"/>
        </w:sectPr>
      </w:pPr>
      <w:r>
        <w:rPr>
          <w:rFonts w:hint="eastAsia"/>
          <w:sz w:val="32"/>
          <w:szCs w:val="32"/>
        </w:rPr>
        <w:lastRenderedPageBreak/>
        <w:t>详见附件1</w:t>
      </w:r>
    </w:p>
    <w:p w:rsidR="002D2CEA" w:rsidRDefault="002D2CEA">
      <w:pPr>
        <w:pStyle w:val="Default"/>
        <w:rPr>
          <w:sz w:val="72"/>
          <w:szCs w:val="72"/>
        </w:rPr>
      </w:pPr>
    </w:p>
    <w:p w:rsidR="002D2CEA" w:rsidRDefault="002D2CEA">
      <w:pPr>
        <w:pStyle w:val="Default"/>
        <w:rPr>
          <w:sz w:val="72"/>
          <w:szCs w:val="72"/>
        </w:rPr>
      </w:pPr>
    </w:p>
    <w:p w:rsidR="002D2CEA" w:rsidRDefault="002D2CEA">
      <w:pPr>
        <w:pStyle w:val="Default"/>
        <w:rPr>
          <w:sz w:val="72"/>
          <w:szCs w:val="72"/>
        </w:rPr>
      </w:pPr>
    </w:p>
    <w:p w:rsidR="002D2CEA" w:rsidRDefault="002D2CEA">
      <w:pPr>
        <w:pStyle w:val="Default"/>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6D6147">
      <w:pPr>
        <w:pStyle w:val="Default"/>
        <w:jc w:val="center"/>
        <w:rPr>
          <w:sz w:val="72"/>
          <w:szCs w:val="72"/>
        </w:rPr>
      </w:pPr>
      <w:r>
        <w:rPr>
          <w:rFonts w:hint="eastAsia"/>
          <w:sz w:val="72"/>
          <w:szCs w:val="72"/>
        </w:rPr>
        <w:t>第三部分</w:t>
      </w:r>
    </w:p>
    <w:p w:rsidR="002D2CEA" w:rsidRDefault="002D2CEA">
      <w:pPr>
        <w:pStyle w:val="Default"/>
        <w:jc w:val="center"/>
        <w:rPr>
          <w:sz w:val="70"/>
          <w:szCs w:val="70"/>
        </w:rPr>
      </w:pPr>
    </w:p>
    <w:p w:rsidR="002D2CEA" w:rsidRDefault="006D6147">
      <w:pPr>
        <w:pStyle w:val="Default"/>
        <w:jc w:val="center"/>
        <w:rPr>
          <w:sz w:val="70"/>
          <w:szCs w:val="70"/>
        </w:rPr>
      </w:pPr>
      <w:r>
        <w:rPr>
          <w:sz w:val="70"/>
          <w:szCs w:val="70"/>
        </w:rPr>
        <w:t>2021</w:t>
      </w:r>
      <w:r>
        <w:rPr>
          <w:rFonts w:hint="eastAsia"/>
          <w:sz w:val="70"/>
          <w:szCs w:val="70"/>
        </w:rPr>
        <w:t>年度部门决算情况说明</w:t>
      </w:r>
    </w:p>
    <w:p w:rsidR="002D2CEA" w:rsidRDefault="006D6147">
      <w:pPr>
        <w:widowControl/>
        <w:jc w:val="left"/>
        <w:rPr>
          <w:rFonts w:ascii="黑体" w:eastAsia="黑体" w:cs="黑体"/>
          <w:color w:val="000000"/>
          <w:kern w:val="0"/>
          <w:sz w:val="70"/>
          <w:szCs w:val="70"/>
        </w:rPr>
      </w:pPr>
      <w:r>
        <w:rPr>
          <w:sz w:val="70"/>
          <w:szCs w:val="70"/>
        </w:rPr>
        <w:br w:type="page"/>
      </w:r>
    </w:p>
    <w:p w:rsidR="002D2CEA" w:rsidRDefault="002D2CEA">
      <w:pPr>
        <w:pStyle w:val="Default"/>
        <w:rPr>
          <w:rFonts w:ascii="宋体" w:eastAsia="宋体" w:hAnsi="宋体"/>
          <w:sz w:val="32"/>
          <w:szCs w:val="32"/>
        </w:rPr>
      </w:pPr>
    </w:p>
    <w:p w:rsidR="002D2CEA" w:rsidRDefault="006D6147">
      <w:pPr>
        <w:pStyle w:val="Default"/>
        <w:rPr>
          <w:rFonts w:hAnsi="黑体"/>
          <w:b/>
          <w:sz w:val="32"/>
          <w:szCs w:val="32"/>
        </w:rPr>
      </w:pPr>
      <w:r>
        <w:rPr>
          <w:rFonts w:hAnsi="黑体" w:hint="eastAsia"/>
          <w:b/>
          <w:sz w:val="32"/>
          <w:szCs w:val="32"/>
        </w:rPr>
        <w:t>一、收入支出决算总体情况说明</w:t>
      </w:r>
    </w:p>
    <w:p w:rsidR="002D2CEA" w:rsidRDefault="006D6147">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年度收、支总计2979万元。与上年相比，增加700.35万元，增加30.73%，主要是因为：一是两个交警基地的搬迁及改造；二是2020年度一个交警基地搬迁改造质保金的结转和预算追加。</w:t>
      </w:r>
    </w:p>
    <w:p w:rsidR="002D2CEA" w:rsidRDefault="006D6147" w:rsidP="000E56AA">
      <w:pPr>
        <w:pStyle w:val="Default"/>
        <w:ind w:firstLineChars="200" w:firstLine="643"/>
        <w:rPr>
          <w:rFonts w:hAnsi="黑体"/>
          <w:b/>
          <w:sz w:val="32"/>
          <w:szCs w:val="32"/>
        </w:rPr>
      </w:pPr>
      <w:r>
        <w:rPr>
          <w:rFonts w:hAnsi="黑体" w:hint="eastAsia"/>
          <w:b/>
          <w:sz w:val="32"/>
          <w:szCs w:val="32"/>
        </w:rPr>
        <w:t>二、收入决算情况说明</w:t>
      </w:r>
    </w:p>
    <w:p w:rsidR="002D2CEA" w:rsidRDefault="006D6147">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年度收入合计2928.00万元，其中：财政拨款收入2928.00万元，占100%。</w:t>
      </w:r>
    </w:p>
    <w:p w:rsidR="002D2CEA" w:rsidRDefault="006D6147" w:rsidP="000E56AA">
      <w:pPr>
        <w:pStyle w:val="Default"/>
        <w:ind w:firstLineChars="200" w:firstLine="643"/>
        <w:rPr>
          <w:rFonts w:hAnsi="黑体"/>
          <w:b/>
          <w:sz w:val="32"/>
          <w:szCs w:val="32"/>
        </w:rPr>
      </w:pPr>
      <w:r>
        <w:rPr>
          <w:rFonts w:hAnsi="黑体" w:hint="eastAsia"/>
          <w:b/>
          <w:sz w:val="32"/>
          <w:szCs w:val="32"/>
        </w:rPr>
        <w:t>三、支出决算情况说明</w:t>
      </w:r>
    </w:p>
    <w:p w:rsidR="002D2CEA" w:rsidRDefault="006D6147">
      <w:pPr>
        <w:pStyle w:val="Default"/>
        <w:ind w:firstLineChars="200" w:firstLine="640"/>
        <w:rPr>
          <w:rFonts w:ascii="宋体" w:hAnsi="宋体"/>
          <w:sz w:val="32"/>
          <w:szCs w:val="32"/>
        </w:rPr>
      </w:pPr>
      <w:r>
        <w:rPr>
          <w:rFonts w:ascii="宋体" w:eastAsia="宋体" w:hAnsi="宋体"/>
          <w:sz w:val="32"/>
          <w:szCs w:val="32"/>
        </w:rPr>
        <w:t>2021</w:t>
      </w:r>
      <w:r>
        <w:rPr>
          <w:rFonts w:ascii="宋体" w:eastAsia="宋体" w:hAnsi="宋体" w:hint="eastAsia"/>
          <w:sz w:val="32"/>
          <w:szCs w:val="32"/>
        </w:rPr>
        <w:t>年度支出合计</w:t>
      </w:r>
      <w:r>
        <w:rPr>
          <w:rFonts w:ascii="宋体" w:hAnsi="宋体" w:hint="eastAsia"/>
          <w:sz w:val="32"/>
          <w:szCs w:val="32"/>
        </w:rPr>
        <w:t>2686.35</w:t>
      </w:r>
      <w:r>
        <w:rPr>
          <w:rFonts w:ascii="宋体" w:eastAsia="宋体" w:hAnsi="宋体" w:hint="eastAsia"/>
          <w:sz w:val="32"/>
          <w:szCs w:val="32"/>
        </w:rPr>
        <w:t>万元，其中：基本支出1155万元，占43</w:t>
      </w:r>
      <w:r>
        <w:rPr>
          <w:rFonts w:ascii="宋体" w:eastAsia="宋体" w:hAnsi="宋体"/>
          <w:sz w:val="32"/>
          <w:szCs w:val="32"/>
        </w:rPr>
        <w:t>%</w:t>
      </w:r>
      <w:r>
        <w:rPr>
          <w:rFonts w:ascii="宋体" w:eastAsia="宋体" w:hAnsi="宋体" w:hint="eastAsia"/>
          <w:sz w:val="32"/>
          <w:szCs w:val="32"/>
        </w:rPr>
        <w:t>；项目支出1531.35万元，占57</w:t>
      </w:r>
      <w:r>
        <w:rPr>
          <w:rFonts w:ascii="宋体" w:eastAsia="宋体" w:hAnsi="宋体"/>
          <w:sz w:val="32"/>
          <w:szCs w:val="32"/>
        </w:rPr>
        <w:t>%</w:t>
      </w:r>
      <w:r>
        <w:rPr>
          <w:rFonts w:ascii="宋体" w:eastAsia="宋体" w:hAnsi="宋体" w:hint="eastAsia"/>
          <w:sz w:val="32"/>
          <w:szCs w:val="32"/>
        </w:rPr>
        <w:t>。</w:t>
      </w:r>
    </w:p>
    <w:p w:rsidR="002D2CEA" w:rsidRDefault="006D6147">
      <w:pPr>
        <w:pStyle w:val="Default"/>
        <w:rPr>
          <w:rFonts w:hAnsi="黑体"/>
          <w:b/>
          <w:sz w:val="32"/>
          <w:szCs w:val="32"/>
        </w:rPr>
      </w:pPr>
      <w:r>
        <w:rPr>
          <w:rFonts w:hAnsi="黑体" w:hint="eastAsia"/>
          <w:b/>
          <w:sz w:val="32"/>
          <w:szCs w:val="32"/>
        </w:rPr>
        <w:t>四、财政拨款收入支出决算总体情况说明</w:t>
      </w:r>
    </w:p>
    <w:p w:rsidR="002D2CEA" w:rsidRDefault="006D6147">
      <w:pPr>
        <w:pStyle w:val="Default"/>
        <w:rPr>
          <w:rFonts w:ascii="宋体" w:eastAsia="宋体" w:hAnsi="宋体"/>
          <w:sz w:val="32"/>
          <w:szCs w:val="32"/>
        </w:rPr>
      </w:pPr>
      <w:r>
        <w:rPr>
          <w:rFonts w:ascii="宋体" w:eastAsia="宋体" w:hAnsi="宋体"/>
          <w:sz w:val="32"/>
          <w:szCs w:val="32"/>
        </w:rPr>
        <w:t xml:space="preserve">    2021</w:t>
      </w:r>
      <w:r>
        <w:rPr>
          <w:rFonts w:ascii="宋体" w:eastAsia="宋体" w:hAnsi="宋体" w:hint="eastAsia"/>
          <w:sz w:val="32"/>
          <w:szCs w:val="32"/>
        </w:rPr>
        <w:t>年度财政拨款收、支总计2979万元，与上年相比，增加704.03万元</w:t>
      </w:r>
      <w:r>
        <w:rPr>
          <w:rFonts w:ascii="宋体" w:eastAsia="宋体" w:hAnsi="宋体"/>
          <w:sz w:val="32"/>
          <w:szCs w:val="32"/>
        </w:rPr>
        <w:t>,</w:t>
      </w:r>
      <w:r>
        <w:rPr>
          <w:rFonts w:ascii="宋体" w:eastAsia="宋体" w:hAnsi="宋体" w:hint="eastAsia"/>
          <w:sz w:val="32"/>
          <w:szCs w:val="32"/>
        </w:rPr>
        <w:t>增长30.94</w:t>
      </w:r>
      <w:r>
        <w:rPr>
          <w:rFonts w:ascii="宋体" w:eastAsia="宋体" w:hAnsi="宋体"/>
          <w:sz w:val="32"/>
          <w:szCs w:val="32"/>
        </w:rPr>
        <w:t>%</w:t>
      </w:r>
      <w:r>
        <w:rPr>
          <w:rFonts w:ascii="宋体" w:eastAsia="宋体" w:hAnsi="宋体" w:hint="eastAsia"/>
          <w:sz w:val="32"/>
          <w:szCs w:val="32"/>
        </w:rPr>
        <w:t>，主要是因为增加了两个交警基地搬迁维修。</w:t>
      </w:r>
    </w:p>
    <w:p w:rsidR="002D2CEA" w:rsidRDefault="006D6147">
      <w:pPr>
        <w:pStyle w:val="Default"/>
        <w:rPr>
          <w:rFonts w:hAnsi="黑体"/>
          <w:b/>
          <w:sz w:val="32"/>
          <w:szCs w:val="32"/>
        </w:rPr>
      </w:pPr>
      <w:r>
        <w:rPr>
          <w:rFonts w:hAnsi="黑体" w:hint="eastAsia"/>
          <w:b/>
          <w:sz w:val="32"/>
          <w:szCs w:val="32"/>
        </w:rPr>
        <w:t>五、一般公共预算财政拨款支出决算情况说明</w:t>
      </w:r>
    </w:p>
    <w:p w:rsidR="002D2CEA" w:rsidRDefault="006D6147" w:rsidP="000E56AA">
      <w:pPr>
        <w:pStyle w:val="Default"/>
        <w:ind w:firstLineChars="200" w:firstLine="643"/>
        <w:rPr>
          <w:rFonts w:ascii="宋体" w:eastAsia="宋体" w:hAnsi="宋体"/>
          <w:b/>
          <w:sz w:val="32"/>
          <w:szCs w:val="32"/>
        </w:rPr>
      </w:pPr>
      <w:r>
        <w:rPr>
          <w:rFonts w:ascii="宋体" w:eastAsia="宋体" w:hAnsi="宋体" w:hint="eastAsia"/>
          <w:b/>
          <w:sz w:val="32"/>
          <w:szCs w:val="32"/>
        </w:rPr>
        <w:t>（一）财政拨款支出决算总体情况</w:t>
      </w:r>
    </w:p>
    <w:p w:rsidR="002D2CEA" w:rsidRDefault="006D6147">
      <w:pPr>
        <w:pStyle w:val="Default"/>
        <w:ind w:firstLineChars="250" w:firstLine="80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年度财政拨款支出2686.35万元，占本年支出合计的100</w:t>
      </w:r>
      <w:r>
        <w:rPr>
          <w:rFonts w:ascii="宋体" w:eastAsia="宋体" w:hAnsi="宋体"/>
          <w:sz w:val="32"/>
          <w:szCs w:val="32"/>
        </w:rPr>
        <w:t>%</w:t>
      </w:r>
      <w:r>
        <w:rPr>
          <w:rFonts w:ascii="宋体" w:eastAsia="宋体" w:hAnsi="宋体" w:hint="eastAsia"/>
          <w:sz w:val="32"/>
          <w:szCs w:val="32"/>
        </w:rPr>
        <w:t>，与上年相比，财政拨款支出增加462.38万元，增长20.79</w:t>
      </w:r>
      <w:r>
        <w:rPr>
          <w:rFonts w:ascii="宋体" w:eastAsia="宋体" w:hAnsi="宋体"/>
          <w:sz w:val="32"/>
          <w:szCs w:val="32"/>
        </w:rPr>
        <w:t>%</w:t>
      </w:r>
      <w:r>
        <w:rPr>
          <w:rFonts w:ascii="宋体" w:eastAsia="宋体" w:hAnsi="宋体" w:hint="eastAsia"/>
          <w:sz w:val="32"/>
          <w:szCs w:val="32"/>
        </w:rPr>
        <w:t>，主要是因为增加了两个交警基地搬迁维修.</w:t>
      </w:r>
    </w:p>
    <w:p w:rsidR="002D2CEA" w:rsidRDefault="006D6147" w:rsidP="000E56AA">
      <w:pPr>
        <w:pStyle w:val="Default"/>
        <w:ind w:firstLineChars="150" w:firstLine="482"/>
        <w:rPr>
          <w:rFonts w:ascii="宋体" w:eastAsia="宋体" w:hAnsi="宋体"/>
          <w:b/>
          <w:sz w:val="32"/>
          <w:szCs w:val="32"/>
        </w:rPr>
      </w:pPr>
      <w:r>
        <w:rPr>
          <w:rFonts w:ascii="宋体" w:eastAsia="宋体" w:hAnsi="宋体" w:hint="eastAsia"/>
          <w:b/>
          <w:sz w:val="32"/>
          <w:szCs w:val="32"/>
        </w:rPr>
        <w:t>（二）财政拨款支出决算结构情况</w:t>
      </w:r>
    </w:p>
    <w:p w:rsidR="002D2CEA" w:rsidRDefault="006D6147">
      <w:pPr>
        <w:pStyle w:val="Default"/>
        <w:ind w:firstLineChars="200" w:firstLine="64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年度财政拨款支出2686.35万元，主要用于以下方面：一般公共服务（类）支出2676.35万元，占99.63</w:t>
      </w:r>
      <w:r>
        <w:rPr>
          <w:rFonts w:ascii="宋体" w:eastAsia="宋体" w:hAnsi="宋体"/>
          <w:sz w:val="32"/>
          <w:szCs w:val="32"/>
        </w:rPr>
        <w:t>%</w:t>
      </w:r>
      <w:r>
        <w:rPr>
          <w:rFonts w:ascii="宋体" w:eastAsia="宋体" w:hAnsi="宋体" w:hint="eastAsia"/>
          <w:sz w:val="32"/>
          <w:szCs w:val="32"/>
        </w:rPr>
        <w:t>；教育（类）支出10万元，占0.37</w:t>
      </w:r>
      <w:r>
        <w:rPr>
          <w:rFonts w:ascii="宋体" w:eastAsia="宋体" w:hAnsi="宋体"/>
          <w:sz w:val="32"/>
          <w:szCs w:val="32"/>
        </w:rPr>
        <w:t>%</w:t>
      </w:r>
      <w:r>
        <w:rPr>
          <w:rFonts w:ascii="宋体" w:eastAsia="宋体" w:hAnsi="宋体" w:hint="eastAsia"/>
          <w:sz w:val="32"/>
          <w:szCs w:val="32"/>
        </w:rPr>
        <w:t>.</w:t>
      </w:r>
    </w:p>
    <w:p w:rsidR="002D2CEA" w:rsidRDefault="006D6147" w:rsidP="000E56AA">
      <w:pPr>
        <w:pStyle w:val="Default"/>
        <w:ind w:firstLineChars="250" w:firstLine="803"/>
        <w:rPr>
          <w:rFonts w:ascii="宋体" w:eastAsia="宋体" w:hAnsi="宋体"/>
          <w:b/>
          <w:sz w:val="32"/>
          <w:szCs w:val="32"/>
        </w:rPr>
      </w:pPr>
      <w:r>
        <w:rPr>
          <w:rFonts w:ascii="宋体" w:eastAsia="宋体" w:hAnsi="宋体" w:hint="eastAsia"/>
          <w:b/>
          <w:sz w:val="32"/>
          <w:szCs w:val="32"/>
        </w:rPr>
        <w:t>（三）财政拨款支出决算具体情况</w:t>
      </w:r>
    </w:p>
    <w:p w:rsidR="002D2CEA" w:rsidRDefault="006D6147">
      <w:pPr>
        <w:pStyle w:val="Default"/>
        <w:ind w:firstLineChars="250" w:firstLine="800"/>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年度财政拨款支出年初预算数为2794万元，支出决算数为2979万</w:t>
      </w:r>
      <w:r>
        <w:rPr>
          <w:rFonts w:ascii="宋体" w:eastAsia="宋体" w:hAnsi="宋体" w:hint="eastAsia"/>
          <w:sz w:val="32"/>
          <w:szCs w:val="32"/>
        </w:rPr>
        <w:lastRenderedPageBreak/>
        <w:t>元，完成年初预算的106.62</w:t>
      </w:r>
      <w:r>
        <w:rPr>
          <w:rFonts w:ascii="宋体" w:eastAsia="宋体" w:hAnsi="宋体"/>
          <w:sz w:val="32"/>
          <w:szCs w:val="32"/>
        </w:rPr>
        <w:t>%</w:t>
      </w:r>
      <w:r>
        <w:rPr>
          <w:rFonts w:ascii="宋体" w:eastAsia="宋体" w:hAnsi="宋体" w:hint="eastAsia"/>
          <w:sz w:val="32"/>
          <w:szCs w:val="32"/>
        </w:rPr>
        <w:t>，其中：</w:t>
      </w:r>
    </w:p>
    <w:p w:rsidR="002D2CEA" w:rsidRDefault="006D6147">
      <w:pPr>
        <w:pStyle w:val="Default"/>
        <w:ind w:firstLineChars="250" w:firstLine="800"/>
        <w:rPr>
          <w:rFonts w:ascii="宋体" w:eastAsia="宋体" w:hAnsi="宋体"/>
          <w:sz w:val="32"/>
          <w:szCs w:val="32"/>
        </w:rPr>
      </w:pPr>
      <w:r>
        <w:rPr>
          <w:rFonts w:ascii="宋体" w:eastAsia="宋体" w:hAnsi="宋体" w:hint="eastAsia"/>
          <w:sz w:val="32"/>
          <w:szCs w:val="32"/>
        </w:rPr>
        <w:t>1、公共安全支出</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（1）公安行政运行</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年初预算为1,145.00万元，支出决算为1145.00万元，完成年初预算的100%，决算数与年初预算数持平。</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（2）公安信息化建设</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年初预算为85.00万元，支出决算为85万元，完成年初预算的100%，决算数与年初预算数持平</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（3）公安执法办案</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年初预算为1688万元，支出决算为1446.35万元，完成年初预算的85.68%，决算数小于年初预算数的主要原因是：部分基地改造项目需结转至下一年度支付。</w:t>
      </w:r>
    </w:p>
    <w:p w:rsidR="002D2CEA" w:rsidRDefault="006D6147">
      <w:pPr>
        <w:pStyle w:val="Default"/>
        <w:ind w:firstLineChars="250" w:firstLine="800"/>
        <w:rPr>
          <w:rFonts w:ascii="宋体" w:eastAsia="宋体" w:hAnsi="宋体"/>
          <w:sz w:val="32"/>
          <w:szCs w:val="32"/>
        </w:rPr>
      </w:pPr>
      <w:r>
        <w:rPr>
          <w:rFonts w:ascii="宋体" w:eastAsia="宋体" w:hAnsi="宋体" w:hint="eastAsia"/>
          <w:sz w:val="32"/>
          <w:szCs w:val="32"/>
        </w:rPr>
        <w:t>2、教育进修及培训培训支出</w:t>
      </w:r>
    </w:p>
    <w:p w:rsidR="002D2CEA" w:rsidRDefault="006D6147">
      <w:pPr>
        <w:pStyle w:val="Default"/>
        <w:rPr>
          <w:rFonts w:ascii="宋体" w:eastAsia="宋体" w:hAnsi="宋体"/>
          <w:sz w:val="32"/>
          <w:szCs w:val="32"/>
        </w:rPr>
      </w:pPr>
      <w:r>
        <w:rPr>
          <w:rFonts w:ascii="宋体" w:eastAsia="宋体" w:hAnsi="宋体" w:hint="eastAsia"/>
          <w:sz w:val="32"/>
          <w:szCs w:val="32"/>
        </w:rPr>
        <w:t>年初预算10.00万元，支出决算10.00万元，完成年初预算数的100%，决算数与预算数持平。</w:t>
      </w:r>
    </w:p>
    <w:p w:rsidR="002D2CEA" w:rsidRDefault="006D6147">
      <w:pPr>
        <w:pStyle w:val="Default"/>
        <w:rPr>
          <w:rFonts w:hAnsi="黑体"/>
          <w:b/>
          <w:sz w:val="32"/>
          <w:szCs w:val="32"/>
        </w:rPr>
      </w:pPr>
      <w:r>
        <w:rPr>
          <w:rFonts w:hAnsi="黑体" w:hint="eastAsia"/>
          <w:b/>
          <w:sz w:val="32"/>
          <w:szCs w:val="32"/>
        </w:rPr>
        <w:t>六、一般公共预算财政拨款基本支出决算情况说明</w:t>
      </w:r>
    </w:p>
    <w:p w:rsidR="002D2CEA" w:rsidRDefault="006D6147">
      <w:pPr>
        <w:pStyle w:val="Default"/>
        <w:ind w:firstLineChars="200" w:firstLine="640"/>
        <w:jc w:val="both"/>
        <w:rPr>
          <w:rFonts w:ascii="宋体" w:eastAsia="宋体" w:hAnsi="宋体"/>
          <w:sz w:val="32"/>
          <w:szCs w:val="32"/>
        </w:rPr>
      </w:pPr>
      <w:r>
        <w:rPr>
          <w:rFonts w:ascii="宋体" w:eastAsia="宋体" w:hAnsi="宋体"/>
          <w:sz w:val="32"/>
          <w:szCs w:val="32"/>
        </w:rPr>
        <w:t>2021</w:t>
      </w:r>
      <w:r>
        <w:rPr>
          <w:rFonts w:ascii="宋体" w:eastAsia="宋体" w:hAnsi="宋体" w:hint="eastAsia"/>
          <w:sz w:val="32"/>
          <w:szCs w:val="32"/>
        </w:rPr>
        <w:t>年度财政拨款基本支出1155万元，其中：人员经费711.75万元，占基本支出的61.62</w:t>
      </w:r>
      <w:r>
        <w:rPr>
          <w:rFonts w:ascii="宋体" w:eastAsia="宋体" w:hAnsi="宋体"/>
          <w:sz w:val="32"/>
          <w:szCs w:val="32"/>
        </w:rPr>
        <w:t>%,</w:t>
      </w:r>
      <w:r>
        <w:rPr>
          <w:rFonts w:ascii="宋体" w:eastAsia="宋体" w:hAnsi="宋体" w:hint="eastAsia"/>
          <w:sz w:val="32"/>
          <w:szCs w:val="32"/>
        </w:rPr>
        <w:t>主要包括住房公积金、其他工资福利支出等；公用经费443.25万元，占基本支出的38.38%，主要包括办公费、印刷费、咨询费、水费、电费、邮电费、差旅费、维修（护）费、租赁费、会议费、培训费、公务接待费、劳务费、工会经费、福利费、公务用车运行维护费、其他商品和服务支出、办公设备购置、专用设备购置、其他资本性支出等。</w:t>
      </w:r>
    </w:p>
    <w:p w:rsidR="002D2CEA" w:rsidRDefault="006D6147" w:rsidP="000E56AA">
      <w:pPr>
        <w:pStyle w:val="Default"/>
        <w:ind w:firstLineChars="200" w:firstLine="643"/>
        <w:rPr>
          <w:rFonts w:hAnsi="黑体"/>
          <w:b/>
          <w:sz w:val="32"/>
          <w:szCs w:val="32"/>
        </w:rPr>
      </w:pPr>
      <w:r>
        <w:rPr>
          <w:rFonts w:hAnsi="黑体" w:hint="eastAsia"/>
          <w:b/>
          <w:sz w:val="32"/>
          <w:szCs w:val="32"/>
        </w:rPr>
        <w:t>七、一般公共预算财政拨款“三公”经费支出决算情况说明</w:t>
      </w:r>
    </w:p>
    <w:p w:rsidR="002D2CEA" w:rsidRDefault="006D6147">
      <w:pPr>
        <w:pStyle w:val="Default"/>
        <w:rPr>
          <w:rFonts w:ascii="宋体" w:eastAsia="宋体" w:hAnsi="宋体"/>
          <w:b/>
          <w:sz w:val="32"/>
          <w:szCs w:val="32"/>
        </w:rPr>
      </w:pPr>
      <w:r>
        <w:rPr>
          <w:rFonts w:ascii="宋体" w:eastAsia="宋体" w:hAnsi="宋体" w:hint="eastAsia"/>
          <w:b/>
          <w:sz w:val="32"/>
          <w:szCs w:val="32"/>
        </w:rPr>
        <w:t>（一）“三公”经费财政拨款支出决算总体情况说明</w:t>
      </w:r>
    </w:p>
    <w:p w:rsidR="002D2CEA" w:rsidRDefault="006D6147">
      <w:pPr>
        <w:pStyle w:val="Default"/>
        <w:ind w:firstLineChars="250" w:firstLine="800"/>
        <w:rPr>
          <w:rFonts w:ascii="宋体" w:eastAsia="宋体" w:hAnsi="宋体"/>
          <w:sz w:val="32"/>
          <w:szCs w:val="32"/>
        </w:rPr>
      </w:pPr>
      <w:r>
        <w:rPr>
          <w:rFonts w:ascii="宋体" w:eastAsia="宋体" w:hAnsi="宋体"/>
          <w:sz w:val="32"/>
          <w:szCs w:val="32"/>
        </w:rPr>
        <w:lastRenderedPageBreak/>
        <w:t>2021</w:t>
      </w:r>
      <w:r>
        <w:rPr>
          <w:rFonts w:ascii="宋体" w:eastAsia="宋体" w:hAnsi="宋体" w:hint="eastAsia"/>
          <w:sz w:val="32"/>
          <w:szCs w:val="32"/>
        </w:rPr>
        <w:t>年度“三公”经费财政拨款支出预算为370万元，支出决算为370万元，完成预算的100</w:t>
      </w:r>
      <w:r>
        <w:rPr>
          <w:rFonts w:ascii="宋体" w:eastAsia="宋体" w:hAnsi="宋体"/>
          <w:sz w:val="32"/>
          <w:szCs w:val="32"/>
        </w:rPr>
        <w:t>%</w:t>
      </w:r>
      <w:r>
        <w:rPr>
          <w:rFonts w:ascii="宋体" w:eastAsia="宋体" w:hAnsi="宋体" w:hint="eastAsia"/>
          <w:sz w:val="32"/>
          <w:szCs w:val="32"/>
        </w:rPr>
        <w:t>，其中：</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公务接待费支出预算为1.00万元，支出决算为1.00万元，完成预算的100.00%，决算数与预算数持平，与上年相比增加0.67万元，增长203%,增长的主要原因是实际需求增加。</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公务用车购置费及运行维护费支出预算为369.00万元，支出决算为369.00万元，完成预算的100%，决算数与预算数持平，与上年相比增加69万元，增长23%,增长的主要原因是增长的主要原因是新增了部分高油耗车辆及执法执勤量增加。</w:t>
      </w:r>
    </w:p>
    <w:p w:rsidR="002D2CEA" w:rsidRDefault="006D6147">
      <w:pPr>
        <w:pStyle w:val="Default"/>
        <w:rPr>
          <w:rFonts w:ascii="宋体" w:eastAsia="宋体" w:hAnsi="宋体"/>
          <w:b/>
          <w:sz w:val="32"/>
          <w:szCs w:val="32"/>
        </w:rPr>
      </w:pPr>
      <w:r>
        <w:rPr>
          <w:rFonts w:ascii="宋体" w:eastAsia="宋体" w:hAnsi="宋体" w:hint="eastAsia"/>
          <w:b/>
          <w:sz w:val="32"/>
          <w:szCs w:val="32"/>
        </w:rPr>
        <w:t>（二）“三公”经费财政拨款支出决算具体情况说明</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2021年度“三公”经费财政拨款支出决算中，公务接待费支出决算1万元，占0.03%，公务用车购置费及运行维护费支出决算369.00万元，占99.97%。其中：</w:t>
      </w:r>
    </w:p>
    <w:p w:rsidR="0087480B" w:rsidRDefault="006D6147">
      <w:pPr>
        <w:pStyle w:val="Default"/>
        <w:ind w:firstLineChars="250" w:firstLine="800"/>
        <w:rPr>
          <w:rFonts w:ascii="宋体" w:eastAsia="宋体" w:hAnsi="宋体"/>
          <w:sz w:val="32"/>
          <w:szCs w:val="32"/>
        </w:rPr>
      </w:pPr>
      <w:r>
        <w:rPr>
          <w:rFonts w:ascii="宋体" w:eastAsia="宋体" w:hAnsi="宋体" w:hint="eastAsia"/>
          <w:sz w:val="32"/>
          <w:szCs w:val="32"/>
        </w:rPr>
        <w:t>1、</w:t>
      </w:r>
      <w:r w:rsidR="0087480B">
        <w:rPr>
          <w:rFonts w:ascii="宋体" w:eastAsia="宋体" w:hAnsi="宋体" w:hint="eastAsia"/>
          <w:sz w:val="32"/>
          <w:szCs w:val="32"/>
        </w:rPr>
        <w:t>因公出国（境）费支出决算0万元，全年因公出国（境）团组0个，因公出国（境）人数0人。</w:t>
      </w:r>
    </w:p>
    <w:p w:rsidR="002D2CEA" w:rsidRDefault="0087480B">
      <w:pPr>
        <w:pStyle w:val="Default"/>
        <w:ind w:firstLineChars="250" w:firstLine="800"/>
        <w:rPr>
          <w:rFonts w:ascii="宋体" w:eastAsia="宋体" w:hAnsi="宋体"/>
          <w:sz w:val="32"/>
          <w:szCs w:val="32"/>
        </w:rPr>
      </w:pPr>
      <w:r>
        <w:rPr>
          <w:rFonts w:ascii="宋体" w:eastAsia="宋体" w:hAnsi="宋体" w:hint="eastAsia"/>
          <w:sz w:val="32"/>
          <w:szCs w:val="32"/>
        </w:rPr>
        <w:t>2、</w:t>
      </w:r>
      <w:r w:rsidR="006D6147">
        <w:rPr>
          <w:rFonts w:ascii="宋体" w:eastAsia="宋体" w:hAnsi="宋体" w:hint="eastAsia"/>
          <w:sz w:val="32"/>
          <w:szCs w:val="32"/>
        </w:rPr>
        <w:t>公务接待费支出决算为1万元，全年共接待来访团组7个、来宾108人次，主要是国内公务接待活动发生的接待支出。</w:t>
      </w:r>
    </w:p>
    <w:p w:rsidR="002D2CEA" w:rsidRDefault="0087480B">
      <w:pPr>
        <w:ind w:firstLineChars="250" w:firstLine="800"/>
        <w:rPr>
          <w:rFonts w:ascii="宋体" w:hAnsi="宋体" w:cs="黑体"/>
          <w:color w:val="000000"/>
          <w:kern w:val="0"/>
          <w:sz w:val="32"/>
          <w:szCs w:val="32"/>
        </w:rPr>
      </w:pPr>
      <w:r>
        <w:rPr>
          <w:rFonts w:ascii="宋体" w:hAnsi="宋体" w:hint="eastAsia"/>
          <w:sz w:val="32"/>
          <w:szCs w:val="32"/>
        </w:rPr>
        <w:t>3</w:t>
      </w:r>
      <w:r w:rsidR="006D6147">
        <w:rPr>
          <w:rFonts w:ascii="宋体" w:hAnsi="宋体" w:hint="eastAsia"/>
          <w:sz w:val="32"/>
          <w:szCs w:val="32"/>
        </w:rPr>
        <w:t>、公务用车购置费及运行维护费支出决算为369.00万元，其中：公务用车购置费0万元</w:t>
      </w:r>
      <w:r w:rsidR="004448C1">
        <w:rPr>
          <w:rFonts w:ascii="宋体" w:hAnsi="宋体" w:hint="eastAsia"/>
          <w:sz w:val="32"/>
          <w:szCs w:val="32"/>
        </w:rPr>
        <w:t>，全年购置车辆0辆</w:t>
      </w:r>
      <w:r w:rsidR="006D6147">
        <w:rPr>
          <w:rFonts w:ascii="宋体" w:hAnsi="宋体" w:hint="eastAsia"/>
          <w:color w:val="000000"/>
          <w:sz w:val="32"/>
          <w:szCs w:val="32"/>
        </w:rPr>
        <w:t>。</w:t>
      </w:r>
      <w:r w:rsidR="006D6147">
        <w:rPr>
          <w:rFonts w:ascii="宋体" w:hAnsi="宋体" w:hint="eastAsia"/>
          <w:sz w:val="32"/>
          <w:szCs w:val="32"/>
        </w:rPr>
        <w:t>公务用车运行维护费369.00万元，主要是车辆维修及燃油支出，截止2021年12月31日，我单位开支财政拨款的公务用车保有量为69辆。</w:t>
      </w:r>
    </w:p>
    <w:p w:rsidR="002D2CEA" w:rsidRDefault="006D6147">
      <w:pPr>
        <w:pStyle w:val="Default"/>
        <w:rPr>
          <w:rFonts w:hAnsi="黑体"/>
          <w:b/>
          <w:sz w:val="32"/>
          <w:szCs w:val="32"/>
        </w:rPr>
      </w:pPr>
      <w:r>
        <w:rPr>
          <w:rFonts w:hAnsi="黑体" w:hint="eastAsia"/>
          <w:b/>
          <w:sz w:val="32"/>
          <w:szCs w:val="32"/>
        </w:rPr>
        <w:t>八、政府性基金预算收入支出决算情况</w:t>
      </w:r>
    </w:p>
    <w:p w:rsidR="002D2CEA" w:rsidRDefault="006D6147">
      <w:pPr>
        <w:pStyle w:val="Default"/>
        <w:ind w:firstLineChars="200" w:firstLine="640"/>
        <w:rPr>
          <w:rFonts w:ascii="宋体" w:eastAsia="宋体" w:hAnsi="宋体"/>
          <w:sz w:val="32"/>
          <w:szCs w:val="32"/>
        </w:rPr>
      </w:pPr>
      <w:r>
        <w:rPr>
          <w:rFonts w:ascii="宋体" w:eastAsia="宋体" w:hAnsi="宋体"/>
          <w:sz w:val="32"/>
          <w:szCs w:val="32"/>
        </w:rPr>
        <w:t xml:space="preserve">   </w:t>
      </w:r>
      <w:r>
        <w:rPr>
          <w:rFonts w:ascii="宋体" w:eastAsia="宋体" w:hAnsi="宋体" w:hint="eastAsia"/>
          <w:sz w:val="32"/>
          <w:szCs w:val="32"/>
        </w:rPr>
        <w:t>2021年度本部门无政府性基金收支。</w:t>
      </w:r>
    </w:p>
    <w:p w:rsidR="002D2CEA" w:rsidRDefault="006D6147">
      <w:pPr>
        <w:pStyle w:val="Default"/>
        <w:rPr>
          <w:rFonts w:hAnsi="黑体"/>
          <w:b/>
          <w:sz w:val="32"/>
          <w:szCs w:val="32"/>
        </w:rPr>
      </w:pPr>
      <w:r>
        <w:rPr>
          <w:rFonts w:hAnsi="黑体" w:hint="eastAsia"/>
          <w:b/>
          <w:sz w:val="32"/>
          <w:szCs w:val="32"/>
        </w:rPr>
        <w:t>九、机关运行经费支出说明</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lastRenderedPageBreak/>
        <w:t>本部门</w:t>
      </w:r>
      <w:r>
        <w:rPr>
          <w:rFonts w:ascii="宋体" w:eastAsia="宋体" w:hAnsi="宋体"/>
          <w:sz w:val="32"/>
          <w:szCs w:val="32"/>
        </w:rPr>
        <w:t>2021</w:t>
      </w:r>
      <w:r>
        <w:rPr>
          <w:rFonts w:ascii="宋体" w:eastAsia="宋体" w:hAnsi="宋体" w:hint="eastAsia"/>
          <w:sz w:val="32"/>
          <w:szCs w:val="32"/>
        </w:rPr>
        <w:t>年度机关运行经费支出443.25万元，比上年决算数减少71.35</w:t>
      </w:r>
      <w:r>
        <w:rPr>
          <w:rFonts w:ascii="宋体" w:eastAsia="宋体" w:hAnsi="宋体"/>
          <w:sz w:val="32"/>
          <w:szCs w:val="32"/>
        </w:rPr>
        <w:t xml:space="preserve"> </w:t>
      </w:r>
      <w:r>
        <w:rPr>
          <w:rFonts w:ascii="宋体" w:eastAsia="宋体" w:hAnsi="宋体" w:hint="eastAsia"/>
          <w:sz w:val="32"/>
          <w:szCs w:val="32"/>
        </w:rPr>
        <w:t>万元，降低16.10</w:t>
      </w:r>
      <w:r>
        <w:rPr>
          <w:rFonts w:ascii="宋体" w:eastAsia="宋体" w:hAnsi="宋体"/>
          <w:sz w:val="32"/>
          <w:szCs w:val="32"/>
        </w:rPr>
        <w:t>%</w:t>
      </w:r>
      <w:r>
        <w:rPr>
          <w:rFonts w:ascii="宋体" w:eastAsia="宋体" w:hAnsi="宋体" w:hint="eastAsia"/>
          <w:sz w:val="32"/>
          <w:szCs w:val="32"/>
        </w:rPr>
        <w:t>。主要原因是：机关压减一般性支出。</w:t>
      </w:r>
    </w:p>
    <w:p w:rsidR="002D2CEA" w:rsidRDefault="006D6147">
      <w:pPr>
        <w:pStyle w:val="Default"/>
        <w:rPr>
          <w:rFonts w:hAnsi="黑体"/>
          <w:b/>
          <w:sz w:val="32"/>
          <w:szCs w:val="32"/>
        </w:rPr>
      </w:pPr>
      <w:r>
        <w:rPr>
          <w:rFonts w:hAnsi="黑体" w:hint="eastAsia"/>
          <w:b/>
          <w:sz w:val="32"/>
          <w:szCs w:val="32"/>
        </w:rPr>
        <w:t>十、一般性支出情况说明</w:t>
      </w:r>
    </w:p>
    <w:p w:rsidR="002D2CEA" w:rsidRDefault="006D6147">
      <w:pPr>
        <w:ind w:firstLine="640"/>
        <w:rPr>
          <w:rFonts w:ascii="宋体" w:hAnsi="宋体"/>
          <w:sz w:val="32"/>
          <w:szCs w:val="32"/>
        </w:rPr>
      </w:pPr>
      <w:r>
        <w:rPr>
          <w:rFonts w:ascii="宋体" w:hAnsi="宋体"/>
          <w:sz w:val="32"/>
          <w:szCs w:val="32"/>
        </w:rPr>
        <w:t>2021</w:t>
      </w:r>
      <w:r>
        <w:rPr>
          <w:rFonts w:ascii="宋体" w:hAnsi="宋体" w:hint="eastAsia"/>
          <w:sz w:val="32"/>
          <w:szCs w:val="32"/>
        </w:rPr>
        <w:t xml:space="preserve">年本部门开支会议费1.67万元，用于开展护路联防会议，人数120人，内容为部署道路交通安全工作联防；交通管理业务会议，80人，内容为部署交通管理；法制工作会议，人数50人，内容为部署法制工作。；开支培训费15.62万元，用于开展射击培训，人数197人，内容为射击技能培训；交管业务培训，人数197人，内容为交通管理；警察执勤执法安全防护培训，人数100人，内容为执法安全防护训练；党建培训，人数为166人，内容为党建学习。 </w:t>
      </w:r>
    </w:p>
    <w:p w:rsidR="002D2CEA" w:rsidRDefault="006D6147" w:rsidP="000E56AA">
      <w:pPr>
        <w:pStyle w:val="Default"/>
        <w:ind w:firstLineChars="200" w:firstLine="643"/>
        <w:rPr>
          <w:rFonts w:hAnsi="黑体"/>
          <w:b/>
          <w:sz w:val="32"/>
          <w:szCs w:val="32"/>
        </w:rPr>
      </w:pPr>
      <w:r>
        <w:rPr>
          <w:rFonts w:hAnsi="黑体" w:hint="eastAsia"/>
          <w:b/>
          <w:sz w:val="32"/>
          <w:szCs w:val="32"/>
        </w:rPr>
        <w:t>十一、政府采购支出说明</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本部门</w:t>
      </w:r>
      <w:r>
        <w:rPr>
          <w:rFonts w:ascii="宋体" w:eastAsia="宋体" w:hAnsi="宋体"/>
          <w:sz w:val="32"/>
          <w:szCs w:val="32"/>
        </w:rPr>
        <w:t>2021</w:t>
      </w:r>
      <w:r>
        <w:rPr>
          <w:rFonts w:ascii="宋体" w:eastAsia="宋体" w:hAnsi="宋体" w:hint="eastAsia"/>
          <w:sz w:val="32"/>
          <w:szCs w:val="32"/>
        </w:rPr>
        <w:t>年度政府采购支出总额550.25万元，其中：政府采购货物支出102.78</w:t>
      </w:r>
      <w:r>
        <w:rPr>
          <w:rFonts w:ascii="宋体" w:eastAsia="宋体" w:hAnsi="宋体"/>
          <w:sz w:val="32"/>
          <w:szCs w:val="32"/>
        </w:rPr>
        <w:t xml:space="preserve"> </w:t>
      </w:r>
      <w:r>
        <w:rPr>
          <w:rFonts w:ascii="宋体" w:eastAsia="宋体" w:hAnsi="宋体" w:hint="eastAsia"/>
          <w:sz w:val="32"/>
          <w:szCs w:val="32"/>
        </w:rPr>
        <w:t>万元、政府采购工程支出447.48万元</w:t>
      </w:r>
      <w:r w:rsidR="000E56AA">
        <w:rPr>
          <w:rFonts w:ascii="宋体" w:eastAsia="宋体" w:hAnsi="宋体" w:hint="eastAsia"/>
          <w:sz w:val="32"/>
          <w:szCs w:val="32"/>
        </w:rPr>
        <w:t>、政府采购服务支出0万元</w:t>
      </w:r>
      <w:r>
        <w:rPr>
          <w:rFonts w:ascii="宋体" w:eastAsia="宋体" w:hAnsi="宋体" w:hint="eastAsia"/>
          <w:sz w:val="32"/>
          <w:szCs w:val="32"/>
        </w:rPr>
        <w:t>。</w:t>
      </w:r>
      <w:r w:rsidR="000F18A7">
        <w:rPr>
          <w:rFonts w:ascii="宋体" w:eastAsia="宋体" w:hAnsi="宋体" w:hint="eastAsia"/>
          <w:sz w:val="32"/>
          <w:szCs w:val="32"/>
        </w:rPr>
        <w:t>其中授予中小企业合同金额0万元，占政府采购支出总额的0%，授予小微企业合同金额0万元，占政府采购支出总额的0%。</w:t>
      </w:r>
    </w:p>
    <w:p w:rsidR="002D2CEA" w:rsidRDefault="006D6147">
      <w:pPr>
        <w:pStyle w:val="Default"/>
        <w:rPr>
          <w:rFonts w:hAnsi="黑体"/>
          <w:b/>
          <w:sz w:val="32"/>
          <w:szCs w:val="32"/>
        </w:rPr>
      </w:pPr>
      <w:r>
        <w:rPr>
          <w:rFonts w:hAnsi="黑体" w:hint="eastAsia"/>
          <w:b/>
          <w:sz w:val="32"/>
          <w:szCs w:val="32"/>
        </w:rPr>
        <w:t>十二、国有资产占用情况说明</w:t>
      </w:r>
    </w:p>
    <w:p w:rsidR="002D2CEA" w:rsidRDefault="006D6147">
      <w:pPr>
        <w:pStyle w:val="Default"/>
        <w:ind w:firstLineChars="200" w:firstLine="640"/>
        <w:rPr>
          <w:rFonts w:ascii="宋体" w:eastAsia="宋体" w:hAnsi="宋体"/>
          <w:sz w:val="32"/>
          <w:szCs w:val="32"/>
        </w:rPr>
      </w:pPr>
      <w:r>
        <w:rPr>
          <w:rFonts w:ascii="宋体" w:eastAsia="宋体" w:hAnsi="宋体" w:hint="eastAsia"/>
          <w:sz w:val="32"/>
          <w:szCs w:val="32"/>
        </w:rPr>
        <w:t>截至2021年12月31日，本单位共有车辆69辆，</w:t>
      </w:r>
      <w:r w:rsidR="0087480B">
        <w:rPr>
          <w:rFonts w:ascii="宋体" w:eastAsia="宋体" w:hAnsi="宋体" w:hint="eastAsia"/>
          <w:sz w:val="32"/>
          <w:szCs w:val="32"/>
        </w:rPr>
        <w:t>全年购置车辆0辆，</w:t>
      </w:r>
      <w:r>
        <w:rPr>
          <w:rFonts w:ascii="宋体" w:eastAsia="宋体" w:hAnsi="宋体" w:hint="eastAsia"/>
          <w:sz w:val="32"/>
          <w:szCs w:val="32"/>
        </w:rPr>
        <w:t>其中，执法执勤用车69辆；单位价值50万元以上通用设备0台（套）；单位价值100万元以上专用设备0台（套）。</w:t>
      </w:r>
    </w:p>
    <w:p w:rsidR="002D2CEA" w:rsidRDefault="006D6147">
      <w:pPr>
        <w:pStyle w:val="Default"/>
        <w:rPr>
          <w:rFonts w:hAnsi="黑体"/>
          <w:b/>
          <w:sz w:val="32"/>
          <w:szCs w:val="32"/>
        </w:rPr>
      </w:pPr>
      <w:r>
        <w:rPr>
          <w:rFonts w:hAnsi="黑体" w:hint="eastAsia"/>
          <w:b/>
          <w:sz w:val="32"/>
          <w:szCs w:val="32"/>
        </w:rPr>
        <w:t>十三、</w:t>
      </w:r>
      <w:r>
        <w:rPr>
          <w:rFonts w:hAnsi="黑体"/>
          <w:b/>
          <w:sz w:val="32"/>
          <w:szCs w:val="32"/>
        </w:rPr>
        <w:t>2021</w:t>
      </w:r>
      <w:r>
        <w:rPr>
          <w:rFonts w:hAnsi="黑体" w:hint="eastAsia"/>
          <w:b/>
          <w:sz w:val="32"/>
          <w:szCs w:val="32"/>
        </w:rPr>
        <w:t>年度预算绩效情况说明</w:t>
      </w:r>
    </w:p>
    <w:p w:rsidR="002D2CEA" w:rsidRDefault="006D6147">
      <w:pPr>
        <w:pStyle w:val="Default"/>
        <w:rPr>
          <w:sz w:val="72"/>
          <w:szCs w:val="72"/>
        </w:rPr>
      </w:pPr>
      <w:r>
        <w:rPr>
          <w:rFonts w:ascii="宋体" w:eastAsia="宋体" w:hAnsi="宋体" w:hint="eastAsia"/>
          <w:sz w:val="32"/>
          <w:szCs w:val="32"/>
        </w:rPr>
        <w:t xml:space="preserve">    </w:t>
      </w:r>
      <w:bookmarkStart w:id="0" w:name="_GoBack"/>
      <w:bookmarkEnd w:id="0"/>
      <w:r>
        <w:rPr>
          <w:rFonts w:ascii="宋体" w:eastAsia="宋体" w:hAnsi="宋体" w:hint="eastAsia"/>
          <w:sz w:val="32"/>
          <w:szCs w:val="32"/>
        </w:rPr>
        <w:t>本单位在收到《湖南省财政厅关于开展2021年度部门整体支出绩效自评工作的通知》后，领导高度重视，迅速组织开展自评。单位预算绩效管理开展情况、绩效目标和绩效评价报告等按照财政绩效部门要求汇总至公安厅公开。</w:t>
      </w:r>
    </w:p>
    <w:p w:rsidR="002D2CEA" w:rsidRDefault="002D2CEA">
      <w:pPr>
        <w:pStyle w:val="Default"/>
        <w:jc w:val="center"/>
        <w:rPr>
          <w:sz w:val="72"/>
          <w:szCs w:val="72"/>
        </w:rPr>
      </w:pPr>
    </w:p>
    <w:p w:rsidR="002D2CEA" w:rsidRDefault="002D2CEA">
      <w:pPr>
        <w:pStyle w:val="Default"/>
        <w:rPr>
          <w:sz w:val="72"/>
          <w:szCs w:val="72"/>
        </w:rPr>
      </w:pPr>
    </w:p>
    <w:p w:rsidR="002D2CEA" w:rsidRDefault="002D2CEA">
      <w:pPr>
        <w:pStyle w:val="Default"/>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6D6147">
      <w:pPr>
        <w:pStyle w:val="Default"/>
        <w:jc w:val="center"/>
        <w:rPr>
          <w:sz w:val="72"/>
          <w:szCs w:val="72"/>
        </w:rPr>
      </w:pPr>
      <w:r>
        <w:rPr>
          <w:rFonts w:hint="eastAsia"/>
          <w:sz w:val="72"/>
          <w:szCs w:val="72"/>
        </w:rPr>
        <w:t>第四部分</w:t>
      </w:r>
    </w:p>
    <w:p w:rsidR="002D2CEA" w:rsidRDefault="002D2CEA">
      <w:pPr>
        <w:jc w:val="center"/>
        <w:rPr>
          <w:rFonts w:ascii="黑体" w:eastAsia="黑体" w:cs="黑体"/>
          <w:color w:val="000000"/>
          <w:kern w:val="0"/>
          <w:sz w:val="70"/>
          <w:szCs w:val="70"/>
        </w:rPr>
      </w:pPr>
    </w:p>
    <w:p w:rsidR="002D2CEA" w:rsidRDefault="006D6147">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2D2CEA" w:rsidRDefault="006D6147">
      <w:pPr>
        <w:widowControl/>
        <w:jc w:val="left"/>
        <w:rPr>
          <w:rFonts w:ascii="黑体" w:eastAsia="黑体" w:cs="黑体"/>
          <w:color w:val="000000"/>
          <w:kern w:val="0"/>
          <w:sz w:val="70"/>
          <w:szCs w:val="70"/>
        </w:rPr>
      </w:pPr>
      <w:r>
        <w:rPr>
          <w:rFonts w:ascii="宋体" w:hAnsi="宋体" w:cs="黑体" w:hint="eastAsia"/>
          <w:color w:val="000000"/>
          <w:kern w:val="0"/>
          <w:sz w:val="32"/>
          <w:szCs w:val="32"/>
        </w:rPr>
        <w:t>一、财政拨款收入：指同级财政当年拨付的资金。</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t xml:space="preserve">    二、事业收入：指事业单位开展专业业务活动及辅助活动所取得的收入。</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t xml:space="preserve">    三、其他收入：指除上述 “财政拨款收入”、“事业收入”、“经营收入”等以外的收入。主要是按规定动用的售房收入、存款利息收入等。</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t xml:space="preserve">    四、年初结转和结余：指以前年度尚未完成、结转到本年按有关规定继续使用的资金。</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t xml:space="preserve">    五、年末结转和结余：指本年度或以前年度预算安排、因客观条件发生变化无法按原计划实施， 需延迟到以后年度按有关规定继续使用的资金。</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t xml:space="preserve">    六、基本支出：指为保障机构正常运转、完成日常工作任务而发生的人员支出和公用支出。</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lastRenderedPageBreak/>
        <w:t xml:space="preserve">    七、项目支出：指在基本支出之外为完成特定行政任务和事业发展目标所发生的支出。</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t xml:space="preserve">    八、经营支出：指事业单位在专业业务活动及其辅助活动之外开展非独立核算经营活动发生的支出。</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t xml:space="preserve">    九、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rsidR="002D2CEA" w:rsidRDefault="006D6147">
      <w:pPr>
        <w:widowControl/>
        <w:jc w:val="left"/>
        <w:rPr>
          <w:rFonts w:ascii="宋体" w:hAnsi="宋体" w:cs="黑体"/>
          <w:color w:val="000000"/>
          <w:kern w:val="0"/>
          <w:sz w:val="32"/>
          <w:szCs w:val="32"/>
        </w:rPr>
      </w:pPr>
      <w:r>
        <w:rPr>
          <w:rFonts w:ascii="宋体" w:hAnsi="宋体" w:cs="黑体" w:hint="eastAsia"/>
          <w:color w:val="000000"/>
          <w:kern w:val="0"/>
          <w:sz w:val="32"/>
          <w:szCs w:val="32"/>
        </w:rPr>
        <w:t xml:space="preserve">    十、“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2D2CEA" w:rsidRDefault="006D6147">
      <w:pPr>
        <w:widowControl/>
        <w:jc w:val="left"/>
        <w:rPr>
          <w:rFonts w:ascii="宋体" w:eastAsia="黑体" w:hAnsi="宋体" w:cs="黑体"/>
          <w:color w:val="000000"/>
          <w:kern w:val="0"/>
          <w:sz w:val="28"/>
          <w:szCs w:val="32"/>
        </w:rPr>
      </w:pPr>
      <w:r>
        <w:rPr>
          <w:rFonts w:ascii="宋体" w:hAnsi="宋体" w:hint="eastAsia"/>
          <w:sz w:val="28"/>
          <w:szCs w:val="32"/>
        </w:rPr>
        <w:t>（名词解释应包含本部门专有名词，如省财政厅应有对“财政事务”科目的解释）</w:t>
      </w: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2D2CEA">
      <w:pPr>
        <w:pStyle w:val="Default"/>
        <w:jc w:val="center"/>
        <w:rPr>
          <w:sz w:val="72"/>
          <w:szCs w:val="72"/>
        </w:rPr>
      </w:pPr>
    </w:p>
    <w:p w:rsidR="002D2CEA" w:rsidRDefault="006D6147">
      <w:pPr>
        <w:pStyle w:val="Default"/>
        <w:jc w:val="center"/>
        <w:rPr>
          <w:sz w:val="72"/>
          <w:szCs w:val="72"/>
        </w:rPr>
      </w:pPr>
      <w:r>
        <w:rPr>
          <w:rFonts w:hint="eastAsia"/>
          <w:sz w:val="72"/>
          <w:szCs w:val="72"/>
        </w:rPr>
        <w:t>第五部分</w:t>
      </w:r>
    </w:p>
    <w:p w:rsidR="002D2CEA" w:rsidRDefault="002D2CEA">
      <w:pPr>
        <w:jc w:val="center"/>
        <w:rPr>
          <w:rFonts w:ascii="黑体" w:eastAsia="黑体" w:cs="黑体"/>
          <w:color w:val="000000"/>
          <w:kern w:val="0"/>
          <w:sz w:val="70"/>
          <w:szCs w:val="70"/>
        </w:rPr>
      </w:pPr>
    </w:p>
    <w:p w:rsidR="002D2CEA" w:rsidRDefault="006D6147">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2D2CEA" w:rsidRDefault="006D6147">
      <w:pPr>
        <w:ind w:firstLine="640"/>
        <w:jc w:val="left"/>
        <w:rPr>
          <w:rFonts w:ascii="Times New Roman" w:eastAsia="仿宋" w:hAnsi="Times New Roman"/>
          <w:color w:val="000000"/>
          <w:sz w:val="32"/>
          <w:szCs w:val="32"/>
        </w:rPr>
      </w:pPr>
      <w:r>
        <w:rPr>
          <w:rFonts w:ascii="黑体" w:eastAsia="黑体" w:cs="黑体"/>
          <w:color w:val="000000"/>
          <w:kern w:val="0"/>
          <w:sz w:val="70"/>
          <w:szCs w:val="70"/>
        </w:rPr>
        <w:br w:type="page"/>
      </w:r>
      <w:r>
        <w:rPr>
          <w:rFonts w:ascii="Times New Roman" w:eastAsia="仿宋" w:hAnsi="Times New Roman"/>
          <w:color w:val="000000"/>
          <w:sz w:val="32"/>
          <w:szCs w:val="32"/>
        </w:rPr>
        <w:lastRenderedPageBreak/>
        <w:t>附件：</w:t>
      </w:r>
      <w:r>
        <w:rPr>
          <w:rFonts w:ascii="Times New Roman" w:eastAsia="仿宋" w:hAnsi="Times New Roman"/>
          <w:color w:val="000000"/>
          <w:sz w:val="32"/>
          <w:szCs w:val="32"/>
        </w:rPr>
        <w:t>1</w:t>
      </w:r>
      <w:r>
        <w:rPr>
          <w:rFonts w:ascii="Times New Roman" w:eastAsia="仿宋" w:hAnsi="Times New Roman"/>
          <w:color w:val="000000"/>
          <w:sz w:val="32"/>
          <w:szCs w:val="32"/>
        </w:rPr>
        <w:t>、</w:t>
      </w:r>
      <w:r>
        <w:rPr>
          <w:rFonts w:ascii="Times New Roman" w:eastAsia="仿宋" w:hAnsi="Times New Roman"/>
          <w:color w:val="000000"/>
          <w:sz w:val="32"/>
          <w:szCs w:val="32"/>
        </w:rPr>
        <w:t>202</w:t>
      </w:r>
      <w:r>
        <w:rPr>
          <w:rFonts w:ascii="Times New Roman" w:eastAsia="仿宋" w:hAnsi="Times New Roman" w:hint="eastAsia"/>
          <w:color w:val="000000"/>
          <w:sz w:val="32"/>
          <w:szCs w:val="32"/>
        </w:rPr>
        <w:t>1</w:t>
      </w:r>
      <w:r>
        <w:rPr>
          <w:rFonts w:ascii="Times New Roman" w:eastAsia="仿宋" w:hAnsi="Times New Roman"/>
          <w:color w:val="000000"/>
          <w:sz w:val="32"/>
          <w:szCs w:val="32"/>
        </w:rPr>
        <w:t>年</w:t>
      </w:r>
      <w:r>
        <w:rPr>
          <w:rFonts w:ascii="Times New Roman" w:eastAsia="仿宋" w:hAnsi="Times New Roman" w:hint="eastAsia"/>
          <w:color w:val="000000"/>
          <w:sz w:val="32"/>
          <w:szCs w:val="32"/>
        </w:rPr>
        <w:t>度</w:t>
      </w:r>
      <w:r>
        <w:rPr>
          <w:rFonts w:ascii="Times New Roman" w:eastAsia="仿宋" w:hAnsi="Times New Roman"/>
          <w:color w:val="000000"/>
          <w:sz w:val="32"/>
          <w:szCs w:val="32"/>
        </w:rPr>
        <w:t>部门决算公开表</w:t>
      </w:r>
    </w:p>
    <w:p w:rsidR="002D2CEA" w:rsidRDefault="006D6147">
      <w:pPr>
        <w:ind w:firstLine="640"/>
        <w:jc w:val="left"/>
        <w:rPr>
          <w:rFonts w:ascii="Times New Roman" w:eastAsia="仿宋" w:hAnsi="Times New Roman"/>
          <w:color w:val="000000"/>
          <w:spacing w:val="-24"/>
          <w:sz w:val="32"/>
          <w:szCs w:val="32"/>
        </w:rPr>
      </w:pPr>
      <w:r>
        <w:rPr>
          <w:rFonts w:ascii="Times New Roman" w:eastAsia="仿宋" w:hAnsi="Times New Roman"/>
          <w:color w:val="000000"/>
          <w:sz w:val="32"/>
          <w:szCs w:val="32"/>
        </w:rPr>
        <w:t xml:space="preserve">     </w:t>
      </w:r>
      <w:r>
        <w:rPr>
          <w:rFonts w:ascii="Times New Roman" w:eastAsia="仿宋" w:hAnsi="Times New Roman"/>
          <w:color w:val="000000"/>
          <w:spacing w:val="-24"/>
          <w:sz w:val="32"/>
          <w:szCs w:val="32"/>
        </w:rPr>
        <w:t xml:space="preserve"> 2</w:t>
      </w:r>
      <w:r>
        <w:rPr>
          <w:rFonts w:ascii="Times New Roman" w:eastAsia="仿宋" w:hAnsi="Times New Roman"/>
          <w:color w:val="000000"/>
          <w:spacing w:val="-24"/>
          <w:sz w:val="32"/>
          <w:szCs w:val="32"/>
        </w:rPr>
        <w:t>、</w:t>
      </w:r>
      <w:r>
        <w:rPr>
          <w:rFonts w:ascii="Times New Roman" w:eastAsia="仿宋" w:hAnsi="Times New Roman"/>
          <w:color w:val="000000"/>
          <w:spacing w:val="-24"/>
          <w:sz w:val="32"/>
          <w:szCs w:val="32"/>
        </w:rPr>
        <w:t>202</w:t>
      </w:r>
      <w:r>
        <w:rPr>
          <w:rFonts w:ascii="Times New Roman" w:eastAsia="仿宋" w:hAnsi="Times New Roman" w:hint="eastAsia"/>
          <w:color w:val="000000"/>
          <w:spacing w:val="-24"/>
          <w:sz w:val="32"/>
          <w:szCs w:val="32"/>
        </w:rPr>
        <w:t>1</w:t>
      </w:r>
      <w:r>
        <w:rPr>
          <w:rFonts w:ascii="Times New Roman" w:eastAsia="仿宋" w:hAnsi="Times New Roman"/>
          <w:color w:val="000000"/>
          <w:spacing w:val="-24"/>
          <w:sz w:val="32"/>
          <w:szCs w:val="32"/>
        </w:rPr>
        <w:t>年度部门整体支出绩效评价报告</w:t>
      </w:r>
    </w:p>
    <w:p w:rsidR="002D2CEA" w:rsidRDefault="002D2CEA">
      <w:pPr>
        <w:widowControl/>
        <w:jc w:val="left"/>
        <w:rPr>
          <w:rFonts w:ascii="黑体" w:eastAsia="黑体" w:cs="黑体"/>
          <w:color w:val="000000"/>
          <w:kern w:val="0"/>
          <w:sz w:val="70"/>
          <w:szCs w:val="70"/>
        </w:rPr>
      </w:pPr>
    </w:p>
    <w:sectPr w:rsidR="002D2CEA" w:rsidSect="002D2CEA">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CA8" w:rsidRDefault="00C57CA8" w:rsidP="000E56AA">
      <w:r>
        <w:separator/>
      </w:r>
    </w:p>
  </w:endnote>
  <w:endnote w:type="continuationSeparator" w:id="0">
    <w:p w:rsidR="00C57CA8" w:rsidRDefault="00C57CA8" w:rsidP="000E56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CA8" w:rsidRDefault="00C57CA8" w:rsidP="000E56AA">
      <w:r>
        <w:separator/>
      </w:r>
    </w:p>
  </w:footnote>
  <w:footnote w:type="continuationSeparator" w:id="0">
    <w:p w:rsidR="00C57CA8" w:rsidRDefault="00C57CA8" w:rsidP="000E56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VjODQyZmE2NzU0YTFmZmUyMzg2MjQ2MzUyZTkwY2MifQ=="/>
  </w:docVars>
  <w:rsids>
    <w:rsidRoot w:val="004506F9"/>
    <w:rsid w:val="0002229B"/>
    <w:rsid w:val="000273BD"/>
    <w:rsid w:val="000415B7"/>
    <w:rsid w:val="00041E3F"/>
    <w:rsid w:val="00055DAA"/>
    <w:rsid w:val="00057008"/>
    <w:rsid w:val="00061F7B"/>
    <w:rsid w:val="000658A3"/>
    <w:rsid w:val="00074155"/>
    <w:rsid w:val="000873EF"/>
    <w:rsid w:val="000903B0"/>
    <w:rsid w:val="0009768A"/>
    <w:rsid w:val="000A3F69"/>
    <w:rsid w:val="000E56AA"/>
    <w:rsid w:val="000F18A7"/>
    <w:rsid w:val="00103957"/>
    <w:rsid w:val="00124A1F"/>
    <w:rsid w:val="00152C6D"/>
    <w:rsid w:val="00162D39"/>
    <w:rsid w:val="00164419"/>
    <w:rsid w:val="001678BD"/>
    <w:rsid w:val="00182373"/>
    <w:rsid w:val="001A67DB"/>
    <w:rsid w:val="001B5AE8"/>
    <w:rsid w:val="001C3C29"/>
    <w:rsid w:val="001D51E5"/>
    <w:rsid w:val="001E080D"/>
    <w:rsid w:val="001E53D0"/>
    <w:rsid w:val="001F0C3B"/>
    <w:rsid w:val="001F4314"/>
    <w:rsid w:val="00202C14"/>
    <w:rsid w:val="00202C82"/>
    <w:rsid w:val="00214427"/>
    <w:rsid w:val="002254B6"/>
    <w:rsid w:val="00226CB7"/>
    <w:rsid w:val="00264552"/>
    <w:rsid w:val="00264EF9"/>
    <w:rsid w:val="00265724"/>
    <w:rsid w:val="00270373"/>
    <w:rsid w:val="0027426B"/>
    <w:rsid w:val="00285AFF"/>
    <w:rsid w:val="00296767"/>
    <w:rsid w:val="002C158F"/>
    <w:rsid w:val="002D2CEA"/>
    <w:rsid w:val="002D5CF0"/>
    <w:rsid w:val="002E0A30"/>
    <w:rsid w:val="003130C4"/>
    <w:rsid w:val="00316C4B"/>
    <w:rsid w:val="0032192B"/>
    <w:rsid w:val="00324BF1"/>
    <w:rsid w:val="003479BD"/>
    <w:rsid w:val="00355DB7"/>
    <w:rsid w:val="0037197D"/>
    <w:rsid w:val="003768D5"/>
    <w:rsid w:val="003B5687"/>
    <w:rsid w:val="003C4197"/>
    <w:rsid w:val="003C47E6"/>
    <w:rsid w:val="003C4FC2"/>
    <w:rsid w:val="003E19C4"/>
    <w:rsid w:val="003E2331"/>
    <w:rsid w:val="00416E61"/>
    <w:rsid w:val="0042790C"/>
    <w:rsid w:val="004448C1"/>
    <w:rsid w:val="004506F9"/>
    <w:rsid w:val="00452CB5"/>
    <w:rsid w:val="00463720"/>
    <w:rsid w:val="004712D8"/>
    <w:rsid w:val="004717A2"/>
    <w:rsid w:val="00473DF3"/>
    <w:rsid w:val="00487911"/>
    <w:rsid w:val="00491741"/>
    <w:rsid w:val="004B0CEE"/>
    <w:rsid w:val="004D5376"/>
    <w:rsid w:val="00500E5F"/>
    <w:rsid w:val="005122EF"/>
    <w:rsid w:val="0051441A"/>
    <w:rsid w:val="00517C33"/>
    <w:rsid w:val="00517D5F"/>
    <w:rsid w:val="00521AF2"/>
    <w:rsid w:val="00523644"/>
    <w:rsid w:val="0054069E"/>
    <w:rsid w:val="00544866"/>
    <w:rsid w:val="005767CC"/>
    <w:rsid w:val="00590D9F"/>
    <w:rsid w:val="00595D26"/>
    <w:rsid w:val="005A74E6"/>
    <w:rsid w:val="005B1BD5"/>
    <w:rsid w:val="005B404E"/>
    <w:rsid w:val="005D4D55"/>
    <w:rsid w:val="005E2CFB"/>
    <w:rsid w:val="005F2103"/>
    <w:rsid w:val="005F3D1C"/>
    <w:rsid w:val="0061452D"/>
    <w:rsid w:val="0062378F"/>
    <w:rsid w:val="00641842"/>
    <w:rsid w:val="00651C21"/>
    <w:rsid w:val="00651EEC"/>
    <w:rsid w:val="00686673"/>
    <w:rsid w:val="00691E8C"/>
    <w:rsid w:val="006A22C4"/>
    <w:rsid w:val="006A348B"/>
    <w:rsid w:val="006A351B"/>
    <w:rsid w:val="006B0422"/>
    <w:rsid w:val="006C1B53"/>
    <w:rsid w:val="006D6147"/>
    <w:rsid w:val="006D7730"/>
    <w:rsid w:val="006E5284"/>
    <w:rsid w:val="006F3EB5"/>
    <w:rsid w:val="00702E34"/>
    <w:rsid w:val="00704395"/>
    <w:rsid w:val="00710FE7"/>
    <w:rsid w:val="00717621"/>
    <w:rsid w:val="00720FF1"/>
    <w:rsid w:val="00727A53"/>
    <w:rsid w:val="00754CC1"/>
    <w:rsid w:val="00783259"/>
    <w:rsid w:val="00787B42"/>
    <w:rsid w:val="007C4539"/>
    <w:rsid w:val="007F3657"/>
    <w:rsid w:val="00812ED5"/>
    <w:rsid w:val="008277D9"/>
    <w:rsid w:val="008359EB"/>
    <w:rsid w:val="0084478C"/>
    <w:rsid w:val="0086638C"/>
    <w:rsid w:val="0087480B"/>
    <w:rsid w:val="00886919"/>
    <w:rsid w:val="008A3E8D"/>
    <w:rsid w:val="008C1ABB"/>
    <w:rsid w:val="008D1378"/>
    <w:rsid w:val="009237C4"/>
    <w:rsid w:val="0094017E"/>
    <w:rsid w:val="00944C48"/>
    <w:rsid w:val="00950252"/>
    <w:rsid w:val="00967F5D"/>
    <w:rsid w:val="00994461"/>
    <w:rsid w:val="009A0F95"/>
    <w:rsid w:val="009B3ADF"/>
    <w:rsid w:val="009C3B52"/>
    <w:rsid w:val="009D792F"/>
    <w:rsid w:val="009E6817"/>
    <w:rsid w:val="009E6E9A"/>
    <w:rsid w:val="009F222A"/>
    <w:rsid w:val="00A01D2B"/>
    <w:rsid w:val="00A17838"/>
    <w:rsid w:val="00A42218"/>
    <w:rsid w:val="00A47F3C"/>
    <w:rsid w:val="00A70249"/>
    <w:rsid w:val="00A70B02"/>
    <w:rsid w:val="00A71D9F"/>
    <w:rsid w:val="00A92E9F"/>
    <w:rsid w:val="00AF6369"/>
    <w:rsid w:val="00B33BEA"/>
    <w:rsid w:val="00B470EE"/>
    <w:rsid w:val="00B57C9F"/>
    <w:rsid w:val="00B63572"/>
    <w:rsid w:val="00B845B3"/>
    <w:rsid w:val="00B85D8B"/>
    <w:rsid w:val="00BB4A40"/>
    <w:rsid w:val="00BC69FA"/>
    <w:rsid w:val="00BD6C3E"/>
    <w:rsid w:val="00BE3674"/>
    <w:rsid w:val="00BF6F0C"/>
    <w:rsid w:val="00C10681"/>
    <w:rsid w:val="00C3049A"/>
    <w:rsid w:val="00C31B1E"/>
    <w:rsid w:val="00C57CA8"/>
    <w:rsid w:val="00C70764"/>
    <w:rsid w:val="00C77645"/>
    <w:rsid w:val="00CD1B3B"/>
    <w:rsid w:val="00CE04C3"/>
    <w:rsid w:val="00CE76A0"/>
    <w:rsid w:val="00D148C6"/>
    <w:rsid w:val="00D17A8A"/>
    <w:rsid w:val="00D24C87"/>
    <w:rsid w:val="00D31789"/>
    <w:rsid w:val="00D415BA"/>
    <w:rsid w:val="00D63780"/>
    <w:rsid w:val="00D644EE"/>
    <w:rsid w:val="00D75489"/>
    <w:rsid w:val="00DB2164"/>
    <w:rsid w:val="00DD06FF"/>
    <w:rsid w:val="00DD5FE9"/>
    <w:rsid w:val="00E00C7A"/>
    <w:rsid w:val="00E01617"/>
    <w:rsid w:val="00E209CF"/>
    <w:rsid w:val="00E37D6C"/>
    <w:rsid w:val="00E37DB2"/>
    <w:rsid w:val="00E55B68"/>
    <w:rsid w:val="00E67BE6"/>
    <w:rsid w:val="00E8683C"/>
    <w:rsid w:val="00E878D0"/>
    <w:rsid w:val="00EA2B72"/>
    <w:rsid w:val="00EC4906"/>
    <w:rsid w:val="00F239C8"/>
    <w:rsid w:val="00F74360"/>
    <w:rsid w:val="00FA7B15"/>
    <w:rsid w:val="00FB462F"/>
    <w:rsid w:val="00FE16FA"/>
    <w:rsid w:val="00FE328A"/>
    <w:rsid w:val="00FE6269"/>
    <w:rsid w:val="00FF5CD6"/>
    <w:rsid w:val="19F743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oa heading"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uiPriority="0" w:unhideWhenUsed="0"/>
    <w:lsdException w:name="Normal Table"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E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oa heading"/>
    <w:basedOn w:val="a"/>
    <w:next w:val="a"/>
    <w:qFormat/>
    <w:rsid w:val="002D2CEA"/>
    <w:pPr>
      <w:spacing w:before="120" w:after="200" w:line="276" w:lineRule="auto"/>
    </w:pPr>
    <w:rPr>
      <w:rFonts w:ascii="Arial" w:hAnsi="Arial"/>
      <w:sz w:val="24"/>
      <w:szCs w:val="24"/>
    </w:rPr>
  </w:style>
  <w:style w:type="paragraph" w:styleId="a4">
    <w:name w:val="Balloon Text"/>
    <w:basedOn w:val="a"/>
    <w:link w:val="Char"/>
    <w:uiPriority w:val="99"/>
    <w:semiHidden/>
    <w:rsid w:val="002D2CEA"/>
    <w:rPr>
      <w:sz w:val="18"/>
      <w:szCs w:val="18"/>
    </w:rPr>
  </w:style>
  <w:style w:type="paragraph" w:styleId="a5">
    <w:name w:val="footer"/>
    <w:basedOn w:val="a"/>
    <w:link w:val="Char0"/>
    <w:uiPriority w:val="99"/>
    <w:rsid w:val="002D2CEA"/>
    <w:pPr>
      <w:tabs>
        <w:tab w:val="center" w:pos="4153"/>
        <w:tab w:val="right" w:pos="8306"/>
      </w:tabs>
      <w:snapToGrid w:val="0"/>
      <w:jc w:val="left"/>
    </w:pPr>
    <w:rPr>
      <w:sz w:val="18"/>
      <w:szCs w:val="18"/>
    </w:rPr>
  </w:style>
  <w:style w:type="paragraph" w:styleId="a6">
    <w:name w:val="header"/>
    <w:basedOn w:val="a"/>
    <w:link w:val="Char1"/>
    <w:uiPriority w:val="99"/>
    <w:rsid w:val="002D2CEA"/>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2D2CEA"/>
    <w:pPr>
      <w:widowControl/>
      <w:spacing w:before="100" w:beforeAutospacing="1" w:after="100" w:afterAutospacing="1"/>
      <w:jc w:val="left"/>
    </w:pPr>
    <w:rPr>
      <w:kern w:val="0"/>
      <w:sz w:val="24"/>
      <w:szCs w:val="24"/>
    </w:rPr>
  </w:style>
  <w:style w:type="character" w:customStyle="1" w:styleId="Char1">
    <w:name w:val="页眉 Char"/>
    <w:basedOn w:val="a0"/>
    <w:link w:val="a6"/>
    <w:uiPriority w:val="99"/>
    <w:locked/>
    <w:rsid w:val="002D2CEA"/>
    <w:rPr>
      <w:rFonts w:cs="Times New Roman"/>
      <w:sz w:val="18"/>
      <w:szCs w:val="18"/>
    </w:rPr>
  </w:style>
  <w:style w:type="character" w:customStyle="1" w:styleId="Char0">
    <w:name w:val="页脚 Char"/>
    <w:basedOn w:val="a0"/>
    <w:link w:val="a5"/>
    <w:uiPriority w:val="99"/>
    <w:locked/>
    <w:rsid w:val="002D2CEA"/>
    <w:rPr>
      <w:rFonts w:cs="Times New Roman"/>
      <w:sz w:val="18"/>
      <w:szCs w:val="18"/>
    </w:rPr>
  </w:style>
  <w:style w:type="paragraph" w:customStyle="1" w:styleId="Default">
    <w:name w:val="Default"/>
    <w:rsid w:val="002D2CEA"/>
    <w:pPr>
      <w:widowControl w:val="0"/>
      <w:autoSpaceDE w:val="0"/>
      <w:autoSpaceDN w:val="0"/>
      <w:adjustRightInd w:val="0"/>
    </w:pPr>
    <w:rPr>
      <w:rFonts w:ascii="黑体" w:eastAsia="黑体" w:cs="黑体"/>
      <w:color w:val="000000"/>
      <w:sz w:val="24"/>
      <w:szCs w:val="24"/>
    </w:rPr>
  </w:style>
  <w:style w:type="paragraph" w:styleId="a8">
    <w:name w:val="List Paragraph"/>
    <w:basedOn w:val="a"/>
    <w:uiPriority w:val="99"/>
    <w:qFormat/>
    <w:rsid w:val="002D2CEA"/>
    <w:pPr>
      <w:ind w:firstLineChars="200" w:firstLine="420"/>
    </w:pPr>
  </w:style>
  <w:style w:type="character" w:customStyle="1" w:styleId="Char">
    <w:name w:val="批注框文本 Char"/>
    <w:basedOn w:val="a0"/>
    <w:link w:val="a4"/>
    <w:uiPriority w:val="99"/>
    <w:semiHidden/>
    <w:locked/>
    <w:rsid w:val="002D2CEA"/>
    <w:rPr>
      <w:rFonts w:cs="Times New Roman"/>
      <w:sz w:val="18"/>
      <w:szCs w:val="18"/>
    </w:rPr>
  </w:style>
  <w:style w:type="paragraph" w:customStyle="1" w:styleId="1">
    <w:name w:val="列出段落1"/>
    <w:basedOn w:val="a"/>
    <w:uiPriority w:val="99"/>
    <w:qFormat/>
    <w:rsid w:val="002D2CEA"/>
    <w:pPr>
      <w:ind w:firstLineChars="200" w:firstLine="42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15</Pages>
  <Words>623</Words>
  <Characters>3552</Characters>
  <Application>Microsoft Office Word</Application>
  <DocSecurity>0</DocSecurity>
  <Lines>29</Lines>
  <Paragraphs>8</Paragraphs>
  <ScaleCrop>false</ScaleCrop>
  <Company>Microsoft</Company>
  <LinksUpToDate>false</LinksUpToDate>
  <CharactersWithSpaces>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2021年度</dc:title>
  <dc:creator>李航 null</dc:creator>
  <cp:lastModifiedBy>李宗懋</cp:lastModifiedBy>
  <cp:revision>18</cp:revision>
  <cp:lastPrinted>2022-07-27T12:55:00Z</cp:lastPrinted>
  <dcterms:created xsi:type="dcterms:W3CDTF">2022-09-07T09:42:00Z</dcterms:created>
  <dcterms:modified xsi:type="dcterms:W3CDTF">2023-10-08T01:47:00Z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ED8C5B89E10B4714B49DDCFC3DA2D89C</vt:lpwstr>
  </property>
</Properties>
</file>