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640" w:lineRule="exact"/>
        <w:jc w:val="both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spacing w:beforeLines="50" w:afterLines="50" w:line="560" w:lineRule="exact"/>
        <w:jc w:val="center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方正小标宋_GBK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kern w:val="0"/>
          <w:sz w:val="36"/>
          <w:szCs w:val="36"/>
        </w:rPr>
        <w:t>1</w:t>
      </w:r>
      <w:r>
        <w:rPr>
          <w:rFonts w:ascii="Times New Roman" w:hAnsi="Times New Roman" w:eastAsia="方正小标宋_GBK"/>
          <w:kern w:val="0"/>
          <w:sz w:val="36"/>
          <w:szCs w:val="36"/>
        </w:rPr>
        <w:t>年度部门整体支出绩效评价基础数据表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160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160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</w:rPr>
              <w:t>20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332.00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353.10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353.10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332.00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353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353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2.00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2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1、业务工作专项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279.98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2、运行维护专项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791.34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1006.38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983.04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3、省级专项资金（一个专项一行）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478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478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bookmarkStart w:id="0" w:name="_GoBack" w:colFirst="3" w:colLast="6"/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28.5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25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98.5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120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120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12.68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13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13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98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83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37.35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16.33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楼堂馆所控制情况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（202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批复规模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实际规模（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/>
              </w:rPr>
              <w:t>贯彻执行“过紧日子”的工作精神，坚持厉行节约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kern w:val="0"/>
          <w:sz w:val="22"/>
        </w:rPr>
      </w:pPr>
      <w:r>
        <w:rPr>
          <w:rFonts w:ascii="Times New Roman" w:hAnsi="Times New Roman"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pStyle w:val="4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Cs w:val="21"/>
        </w:rPr>
        <w:t>欧锴填</w:t>
      </w:r>
      <w:r>
        <w:rPr>
          <w:rFonts w:ascii="Times New Roman" w:hAnsi="Times New Roman" w:eastAsia="仿宋_GB2312"/>
          <w:kern w:val="0"/>
          <w:szCs w:val="21"/>
        </w:rPr>
        <w:t>报日期：</w:t>
      </w:r>
      <w:r>
        <w:rPr>
          <w:rFonts w:hint="eastAsia" w:ascii="Times New Roman" w:hAnsi="Times New Roman" w:eastAsia="仿宋_GB2312"/>
          <w:kern w:val="0"/>
          <w:szCs w:val="21"/>
        </w:rPr>
        <w:t>2022年5月18日</w:t>
      </w:r>
      <w:r>
        <w:rPr>
          <w:rFonts w:ascii="Times New Roman" w:hAnsi="Times New Roman" w:eastAsia="仿宋_GB2312"/>
          <w:kern w:val="0"/>
          <w:szCs w:val="21"/>
        </w:rPr>
        <w:t>联系电话：</w:t>
      </w:r>
      <w:r>
        <w:rPr>
          <w:rFonts w:hint="eastAsia" w:ascii="Times New Roman" w:hAnsi="Times New Roman" w:eastAsia="仿宋_GB2312"/>
          <w:kern w:val="0"/>
          <w:szCs w:val="21"/>
        </w:rPr>
        <w:t>18173193192</w:t>
      </w:r>
      <w:r>
        <w:rPr>
          <w:rFonts w:ascii="Times New Roman" w:hAnsi="Times New Roman" w:eastAsia="仿宋_GB2312"/>
          <w:kern w:val="0"/>
          <w:szCs w:val="21"/>
        </w:rPr>
        <w:t>负责人签字：</w:t>
      </w:r>
    </w:p>
    <w:p>
      <w:pPr>
        <w:widowControl/>
        <w:spacing w:afterLines="5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kern w:val="0"/>
          <w:sz w:val="22"/>
        </w:rPr>
        <w:br w:type="page"/>
      </w:r>
      <w:r>
        <w:rPr>
          <w:rFonts w:ascii="Times New Roman" w:hAnsi="Times New Roman" w:eastAsia="黑体"/>
          <w:sz w:val="32"/>
          <w:szCs w:val="32"/>
        </w:rPr>
        <w:t>附件2</w:t>
      </w:r>
    </w:p>
    <w:p>
      <w:pPr>
        <w:widowControl/>
        <w:spacing w:afterLines="50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年度部门整体支出绩效自评表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953"/>
        <w:gridCol w:w="1256"/>
        <w:gridCol w:w="95"/>
        <w:gridCol w:w="1200"/>
        <w:gridCol w:w="1276"/>
        <w:gridCol w:w="709"/>
        <w:gridCol w:w="992"/>
        <w:gridCol w:w="13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省级预算部门名称</w:t>
            </w:r>
          </w:p>
        </w:tc>
        <w:tc>
          <w:tcPr>
            <w:tcW w:w="891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湖南省高速公路交通警察局株洲支队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算申请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年初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预算数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2378.00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2449.93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2416.59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98.64%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 xml:space="preserve">  其中：  一般公共预算：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2449.93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其中：基本支出：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1292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政府性基金拨款：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项目支出：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1132.59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ind w:firstLine="1470" w:firstLineChars="7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43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8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及时保障机构运行及交管工作的开展</w:t>
            </w:r>
          </w:p>
        </w:tc>
        <w:tc>
          <w:tcPr>
            <w:tcW w:w="43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完成机构运转和交管工作的开展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：保障违法车辆停放工作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：保障必要的交通事故鉴定的开展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：保障高速公路护路联防工作的开展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：保障交警中心工作的开展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：保障春运暑运交管工作开展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6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：保障交警被装购置专项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ab/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7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：保障营房租赁费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：保障高速交警科信及装备购置维护专项工作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：保障党建及警体活动专项工作开展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：保障执勤执法车辆运行维护专项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：保障高速公路护路联防工作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提高事故预防能力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法质量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：提升交警队伍素质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953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各级党组织满意度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9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pStyle w:val="4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Cs w:val="21"/>
        </w:rPr>
        <w:t>欧锴填</w:t>
      </w:r>
      <w:r>
        <w:rPr>
          <w:rFonts w:ascii="Times New Roman" w:hAnsi="Times New Roman" w:eastAsia="仿宋_GB2312"/>
          <w:kern w:val="0"/>
          <w:szCs w:val="21"/>
        </w:rPr>
        <w:t>报日期：</w:t>
      </w:r>
      <w:r>
        <w:rPr>
          <w:rFonts w:hint="eastAsia" w:ascii="Times New Roman" w:hAnsi="Times New Roman" w:eastAsia="仿宋_GB2312"/>
          <w:kern w:val="0"/>
          <w:szCs w:val="21"/>
        </w:rPr>
        <w:t>2022年5月18日</w:t>
      </w:r>
      <w:r>
        <w:rPr>
          <w:rFonts w:ascii="Times New Roman" w:hAnsi="Times New Roman" w:eastAsia="仿宋_GB2312"/>
          <w:kern w:val="0"/>
          <w:szCs w:val="21"/>
        </w:rPr>
        <w:t>联系电话：</w:t>
      </w:r>
      <w:r>
        <w:rPr>
          <w:rFonts w:hint="eastAsia" w:ascii="Times New Roman" w:hAnsi="Times New Roman" w:eastAsia="仿宋_GB2312"/>
          <w:kern w:val="0"/>
          <w:szCs w:val="21"/>
        </w:rPr>
        <w:t>18173193192</w:t>
      </w:r>
      <w:r>
        <w:rPr>
          <w:rFonts w:ascii="Times New Roman" w:hAnsi="Times New Roman" w:eastAsia="仿宋_GB2312"/>
          <w:kern w:val="0"/>
          <w:szCs w:val="21"/>
        </w:rPr>
        <w:t>负责人签字：</w:t>
      </w: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eastAsia" w:ascii="Times New Roman" w:hAnsi="Times New Roman"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业务工作专项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湖南省高速公路交通警察局株洲支队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株洲支队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149.55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保障业务工作的开展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基本保障业务工作的开展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：保障违法车辆停放工作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：保障必要的交通事故鉴定的开展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：保障高速公路护路联防工作的开展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：保障交警中心工作的开展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：保障春运暑运交管工作开展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：保障高速公路护路联防工作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提高事故预防能力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法质量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各级党组织满意度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pStyle w:val="4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Cs w:val="21"/>
        </w:rPr>
        <w:t>欧锴填</w:t>
      </w:r>
      <w:r>
        <w:rPr>
          <w:rFonts w:ascii="Times New Roman" w:hAnsi="Times New Roman" w:eastAsia="仿宋_GB2312"/>
          <w:kern w:val="0"/>
          <w:szCs w:val="21"/>
        </w:rPr>
        <w:t>报日期：</w:t>
      </w:r>
      <w:r>
        <w:rPr>
          <w:rFonts w:hint="eastAsia" w:ascii="Times New Roman" w:hAnsi="Times New Roman" w:eastAsia="仿宋_GB2312"/>
          <w:kern w:val="0"/>
          <w:szCs w:val="21"/>
        </w:rPr>
        <w:t>2022年5月18日</w:t>
      </w:r>
      <w:r>
        <w:rPr>
          <w:rFonts w:ascii="Times New Roman" w:hAnsi="Times New Roman" w:eastAsia="仿宋_GB2312"/>
          <w:kern w:val="0"/>
          <w:szCs w:val="21"/>
        </w:rPr>
        <w:t>联系电话：</w:t>
      </w:r>
      <w:r>
        <w:rPr>
          <w:rFonts w:hint="eastAsia" w:ascii="Times New Roman" w:hAnsi="Times New Roman" w:eastAsia="仿宋_GB2312"/>
          <w:kern w:val="0"/>
          <w:szCs w:val="21"/>
        </w:rPr>
        <w:t>18173193192</w:t>
      </w:r>
      <w:r>
        <w:rPr>
          <w:rFonts w:ascii="Times New Roman" w:hAnsi="Times New Roman" w:eastAsia="仿宋_GB2312"/>
          <w:kern w:val="0"/>
          <w:szCs w:val="21"/>
        </w:rPr>
        <w:t>负责人签字：</w:t>
      </w:r>
    </w:p>
    <w:p>
      <w:pPr>
        <w:rPr>
          <w:rFonts w:ascii="Times New Roman" w:hAnsi="Times New Roma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</w:rPr>
        <w:t>1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年度项目支出绩效自评表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运行维护专项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湖南省高速公路交通警察局株洲支队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株洲支队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791.34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1006.38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983.04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97%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791.34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945.11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37.93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保障支队正常运转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基本保障支队运转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指标1：保障交警被装购置专项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ab/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：保障营房租赁费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：保障高速交警科信及装备购置维护专项工作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：保障党建及警体活动专项工作开展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：保障执勤执法车辆运行维护专项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：提升交警队伍素质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60%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22.5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各级党组织满意度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92.5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pStyle w:val="4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Cs w:val="21"/>
        </w:rPr>
        <w:t>欧锴填</w:t>
      </w:r>
      <w:r>
        <w:rPr>
          <w:rFonts w:ascii="Times New Roman" w:hAnsi="Times New Roman" w:eastAsia="仿宋_GB2312"/>
          <w:kern w:val="0"/>
          <w:szCs w:val="21"/>
        </w:rPr>
        <w:t>报日期：</w:t>
      </w:r>
      <w:r>
        <w:rPr>
          <w:rFonts w:hint="eastAsia" w:ascii="Times New Roman" w:hAnsi="Times New Roman" w:eastAsia="仿宋_GB2312"/>
          <w:kern w:val="0"/>
          <w:szCs w:val="21"/>
        </w:rPr>
        <w:t>2022年5月18日</w:t>
      </w:r>
      <w:r>
        <w:rPr>
          <w:rFonts w:ascii="Times New Roman" w:hAnsi="Times New Roman" w:eastAsia="仿宋_GB2312"/>
          <w:kern w:val="0"/>
          <w:szCs w:val="21"/>
        </w:rPr>
        <w:t>联系电话：</w:t>
      </w:r>
      <w:r>
        <w:rPr>
          <w:rFonts w:hint="eastAsia" w:ascii="Times New Roman" w:hAnsi="Times New Roman" w:eastAsia="仿宋_GB2312"/>
          <w:kern w:val="0"/>
          <w:szCs w:val="21"/>
        </w:rPr>
        <w:t>18173193192</w:t>
      </w:r>
      <w:r>
        <w:rPr>
          <w:rFonts w:ascii="Times New Roman" w:hAnsi="Times New Roman" w:eastAsia="仿宋_GB2312"/>
          <w:kern w:val="0"/>
          <w:szCs w:val="21"/>
        </w:rPr>
        <w:t>负责人签字：</w:t>
      </w:r>
    </w:p>
    <w:p>
      <w:pPr>
        <w:rPr>
          <w:rFonts w:ascii="Times New Roman" w:hAnsi="Times New Roman" w:eastAsia="方正小标宋_GBK"/>
          <w:sz w:val="48"/>
          <w:szCs w:val="48"/>
        </w:rPr>
      </w:pPr>
    </w:p>
    <w:p>
      <w:pPr>
        <w:rPr>
          <w:rFonts w:hint="eastAsia" w:ascii="Times New Roman" w:hAnsi="Times New Roman" w:eastAsia="方正小标宋_GBK"/>
          <w:sz w:val="48"/>
          <w:szCs w:val="48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</w:pPr>
    </w:p>
    <w:p>
      <w:pPr>
        <w:rPr>
          <w:rFonts w:ascii="Times New Roman" w:hAnsi="Times New Roman" w:eastAsia="方正小标宋_GBK"/>
          <w:sz w:val="48"/>
          <w:szCs w:val="48"/>
        </w:rPr>
      </w:pPr>
    </w:p>
    <w:p>
      <w:pPr>
        <w:jc w:val="center"/>
        <w:rPr>
          <w:rFonts w:ascii="Times New Roman" w:hAnsi="Times New Roman" w:eastAsia="方正小标宋_GBK"/>
          <w:sz w:val="48"/>
          <w:szCs w:val="48"/>
        </w:rPr>
      </w:pPr>
      <w:r>
        <w:rPr>
          <w:rFonts w:hint="eastAsia" w:ascii="Times New Roman" w:hAnsi="Times New Roman" w:eastAsia="方正小标宋_GBK"/>
          <w:sz w:val="48"/>
          <w:szCs w:val="48"/>
        </w:rPr>
        <w:t>2021</w:t>
      </w:r>
      <w:r>
        <w:rPr>
          <w:rFonts w:ascii="Times New Roman" w:hAnsi="Times New Roman" w:eastAsia="方正小标宋_GBK"/>
          <w:sz w:val="48"/>
          <w:szCs w:val="48"/>
        </w:rPr>
        <w:t>年度</w:t>
      </w:r>
      <w:r>
        <w:rPr>
          <w:rFonts w:hint="eastAsia" w:ascii="Times New Roman" w:hAnsi="Times New Roman" w:eastAsia="方正小标宋_GBK"/>
          <w:sz w:val="48"/>
          <w:szCs w:val="48"/>
        </w:rPr>
        <w:t>株洲支队</w:t>
      </w:r>
      <w:r>
        <w:rPr>
          <w:rFonts w:ascii="Times New Roman" w:hAnsi="Times New Roman" w:eastAsia="方正小标宋_GBK"/>
          <w:sz w:val="48"/>
          <w:szCs w:val="48"/>
        </w:rPr>
        <w:t>整体支出</w:t>
      </w:r>
    </w:p>
    <w:p>
      <w:pPr>
        <w:jc w:val="center"/>
        <w:rPr>
          <w:rFonts w:ascii="Times New Roman" w:hAnsi="Times New Roman" w:eastAsia="方正小标宋_GBK"/>
          <w:sz w:val="48"/>
          <w:szCs w:val="48"/>
        </w:rPr>
      </w:pPr>
      <w:r>
        <w:rPr>
          <w:rFonts w:ascii="Times New Roman" w:hAnsi="Times New Roman" w:eastAsia="方正小标宋_GBK"/>
          <w:sz w:val="48"/>
          <w:szCs w:val="48"/>
        </w:rPr>
        <w:t>绩效自评报告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pStyle w:val="4"/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>单位名称（盖章）</w:t>
      </w: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</w:p>
    <w:p>
      <w:pPr>
        <w:pStyle w:val="4"/>
        <w:rPr>
          <w:rFonts w:hint="eastAsia"/>
        </w:rPr>
      </w:pPr>
    </w:p>
    <w:p/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（此页为封面）</w:t>
      </w:r>
    </w:p>
    <w:p>
      <w:pPr>
        <w:pStyle w:val="11"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部门（单位）基本情况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湖南省高速公路交通警察局株洲支队为副处级单位，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成立于2014年</w:t>
      </w:r>
      <w:r>
        <w:rPr>
          <w:rFonts w:hint="eastAsia" w:ascii="仿宋_GB2312" w:eastAsia="仿宋_GB2312"/>
          <w:color w:val="000000"/>
          <w:sz w:val="32"/>
          <w:szCs w:val="32"/>
        </w:rPr>
        <w:t>，统一社会信用代码为11430000320596632J，</w:t>
      </w:r>
      <w:r>
        <w:rPr>
          <w:rFonts w:hint="eastAsia" w:ascii="仿宋_GB2312" w:hAnsi="仿宋_GB2312" w:eastAsia="仿宋_GB2312" w:cs="仿宋_GB2312"/>
          <w:sz w:val="32"/>
          <w:szCs w:val="32"/>
        </w:rPr>
        <w:t>是隶属于湖南省高速公路交通警察局的全额拨款行政单位，负责株洲市辖区内472公里高速公路的交通安全管理工作，</w:t>
      </w:r>
      <w:r>
        <w:rPr>
          <w:rFonts w:hint="eastAsia" w:ascii="仿宋_GB2312" w:eastAsia="仿宋_GB2312"/>
          <w:color w:val="000000"/>
          <w:sz w:val="32"/>
          <w:szCs w:val="32"/>
        </w:rPr>
        <w:t>2020年我支队有民警160人，警务辅助人员100人、聘用人员34人、警车66台。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支队机关设有政工纪检室、办公室、交管科、法制科，以及派驻支队纪检组等4个正科级科室，支队下设有</w:t>
      </w:r>
      <w:r>
        <w:rPr>
          <w:rFonts w:hint="eastAsia" w:ascii="仿宋_GB2312" w:eastAsia="仿宋_GB2312"/>
          <w:color w:val="000000"/>
          <w:sz w:val="32"/>
          <w:szCs w:val="32"/>
        </w:rPr>
        <w:t>天元大队、荷塘大队、芦淞大队、醴陵大队、攸县大队、茶陵大队、炎陵大队等7个正科级基层大队。</w:t>
      </w:r>
    </w:p>
    <w:p>
      <w:pPr>
        <w:pStyle w:val="11"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11"/>
        <w:spacing w:line="600" w:lineRule="exact"/>
        <w:ind w:left="640" w:firstLine="0" w:firstLineChars="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pStyle w:val="11"/>
        <w:spacing w:line="60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2021年基本支出1292万元，其中工资福利支出816元，商品和服务支出476万元。</w:t>
      </w:r>
    </w:p>
    <w:p>
      <w:pPr>
        <w:pStyle w:val="11"/>
        <w:spacing w:line="600" w:lineRule="exact"/>
        <w:ind w:left="640" w:firstLine="0" w:firstLineChars="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（二）项目支出情况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2021年项目支出1132.59万元。</w:t>
      </w:r>
    </w:p>
    <w:p>
      <w:pPr>
        <w:pStyle w:val="11"/>
        <w:spacing w:line="600" w:lineRule="exact"/>
        <w:ind w:firstLine="64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11"/>
        <w:spacing w:line="600" w:lineRule="exact"/>
        <w:ind w:firstLine="64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无。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</w:t>
      </w:r>
      <w:r>
        <w:rPr>
          <w:rFonts w:ascii="Times New Roman" w:hAnsi="Times New Roman" w:eastAsia="黑体"/>
          <w:sz w:val="32"/>
          <w:szCs w:val="32"/>
        </w:rPr>
        <w:t>国有资本经营预算支出情况</w:t>
      </w:r>
    </w:p>
    <w:p>
      <w:pPr>
        <w:pStyle w:val="11"/>
        <w:spacing w:line="600" w:lineRule="exact"/>
        <w:ind w:firstLine="64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无。</w:t>
      </w:r>
    </w:p>
    <w:p>
      <w:pPr>
        <w:pStyle w:val="11"/>
        <w:spacing w:line="600" w:lineRule="exact"/>
        <w:ind w:firstLine="64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</w:t>
      </w:r>
      <w:r>
        <w:rPr>
          <w:rFonts w:ascii="Times New Roman" w:hAnsi="Times New Roman" w:eastAsia="黑体"/>
          <w:sz w:val="32"/>
          <w:szCs w:val="32"/>
        </w:rPr>
        <w:t>社会保险基金预算支出情况</w:t>
      </w:r>
    </w:p>
    <w:p>
      <w:pPr>
        <w:pStyle w:val="11"/>
        <w:spacing w:line="600" w:lineRule="exact"/>
        <w:ind w:firstLine="64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无。</w:t>
      </w:r>
    </w:p>
    <w:p>
      <w:pPr>
        <w:spacing w:line="600" w:lineRule="exact"/>
        <w:ind w:firstLine="645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六、部门整体支出绩效情况</w:t>
      </w:r>
    </w:p>
    <w:p>
      <w:pPr>
        <w:spacing w:line="540" w:lineRule="exact"/>
        <w:ind w:firstLine="640" w:firstLineChars="200"/>
        <w:textAlignment w:val="baseline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2021年，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株洲支队在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总队党委和高警局党委的坚强领导下，</w:t>
      </w:r>
      <w:r>
        <w:rPr>
          <w:rFonts w:hint="eastAsia" w:ascii="Times New Roman" w:hAnsi="Times New Roman" w:eastAsia="仿宋_GB2312"/>
          <w:color w:val="000000"/>
          <w:kern w:val="10"/>
          <w:sz w:val="32"/>
          <w:szCs w:val="32"/>
        </w:rPr>
        <w:t>全体民、辅警团结拼搏、开拓创新，紧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扣“优勤务、除隐患、严打击”工作理念，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深入推进事故预防“减量控大”，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圆满完成春运、国庆假期及建党100周年等重要节点交通安保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和各项工作任务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共查处各类交通违法15.76万起，其中现场执法5.39万起，占比34.1%，查获酒驾270起、醉驾93起、四类突出违法15946起、夜间重点违法1576起；行政拘留235人，刑事打击101人，移送非法营运案件380起；运用缉查布控系统查获违法7424起，检查登记重点车辆8.33万台次，未发生较大以上道路交通事故，交通安全形势平稳可控。</w:t>
      </w:r>
    </w:p>
    <w:p>
      <w:pPr>
        <w:spacing w:line="540" w:lineRule="exact"/>
        <w:ind w:firstLine="643" w:firstLineChars="200"/>
        <w:textAlignment w:val="baseline"/>
        <w:rPr>
          <w:rFonts w:ascii="楷体_GB2312" w:hAnsi="楷体_GB2312" w:eastAsia="楷体_GB2312" w:cs="楷体_GB2312"/>
          <w:b/>
          <w:bCs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kern w:val="0"/>
          <w:sz w:val="32"/>
          <w:szCs w:val="32"/>
        </w:rPr>
        <w:t>（一）政治建警、锤炼队伍，队伍建设亮点纷呈。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一是建设担当作为班子。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支队党委班子带头讲政治、讲规矩、讲担当，坚决与党中央保持高度一致，</w:t>
      </w:r>
      <w:r>
        <w:rPr>
          <w:rFonts w:hint="eastAsia" w:ascii="仿宋_GB2312" w:eastAsia="仿宋_GB2312"/>
          <w:color w:val="000000"/>
          <w:sz w:val="32"/>
          <w:szCs w:val="32"/>
        </w:rPr>
        <w:t>团结共事、民主议事，群策群力，</w:t>
      </w:r>
      <w:r>
        <w:rPr>
          <w:rFonts w:hint="eastAsia" w:ascii="仿宋_GB2312" w:eastAsia="仿宋_GB2312"/>
          <w:color w:val="000000"/>
          <w:sz w:val="32"/>
        </w:rPr>
        <w:t>规范</w:t>
      </w:r>
      <w:r>
        <w:rPr>
          <w:rFonts w:hint="eastAsia" w:ascii="仿宋_GB2312" w:eastAsia="仿宋_GB2312"/>
          <w:color w:val="000000"/>
          <w:sz w:val="32"/>
          <w:szCs w:val="32"/>
        </w:rPr>
        <w:t>、公开、透明</w:t>
      </w:r>
      <w:r>
        <w:rPr>
          <w:rFonts w:hint="eastAsia" w:ascii="仿宋_GB2312" w:eastAsia="仿宋_GB2312"/>
          <w:color w:val="000000"/>
          <w:sz w:val="32"/>
        </w:rPr>
        <w:t>议定“三重一大”事项。</w:t>
      </w:r>
      <w:r>
        <w:rPr>
          <w:rFonts w:hint="eastAsia" w:ascii="仿宋_GB2312" w:eastAsia="仿宋_GB2312"/>
          <w:color w:val="000000"/>
          <w:sz w:val="32"/>
          <w:szCs w:val="32"/>
        </w:rPr>
        <w:t>大队班子牢固树立宗旨意识和奉献意识，发挥战斗堡垒作用，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切实履行党员领导干部工作职责。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二是教育整顿走深走实。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落实</w:t>
      </w:r>
      <w:r>
        <w:rPr>
          <w:rFonts w:ascii="仿宋_GB2312" w:hAnsi="Arial" w:eastAsia="仿宋_GB2312" w:cs="仿宋_GB2312"/>
          <w:color w:val="000000"/>
          <w:sz w:val="32"/>
          <w:szCs w:val="32"/>
        </w:rPr>
        <w:t>教育整顿工作定事、定人、定责、定时，挂图作战、紧张快干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，开展学习74场次，撰写体会460篇，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查摆支部问题42个，民警个人问题189个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归纳提出整改措施56项，出台整改性通知、文件、制度等13个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，收集廉洁家书230余份</w:t>
      </w:r>
      <w:r>
        <w:rPr>
          <w:rFonts w:hint="eastAsia" w:ascii="仿宋_GB2312" w:hAnsi="Arial" w:eastAsia="仿宋_GB2312" w:cs="仿宋_GB2312"/>
          <w:color w:val="000000"/>
          <w:sz w:val="32"/>
          <w:szCs w:val="32"/>
        </w:rPr>
        <w:t>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三是强化政治引领。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围绕党史学习教育、习近平新时代中国特色社会主义思想、政治建警“1+9”规定等内容，党委中心组发挥示范引领作用，开展学习54次，各单位集中学习600余课时，撰写学习笔记260余万字。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举办党组织书记赛党课、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党史知识竞赛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等系列主题活动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四是落实暖心惠警。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组织工会活动10余次，落实工会慰问经费66.4万元，慰问民警及家属50余人次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。积极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汇报协调，建立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就医“绿色通道”和就学“育苗工程”，解决民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辅警及家属就医和民辅警子女就学问题。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五是坚持荣誉励警。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深入挖掘、收集典型事迹，在支队微信公众号推介先进事迹20余件、先进个人30余人，被湖南公安党建、湖南公安交警微信公众号转发10余条，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3个集体、20余名民警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受到上级表彰奖励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荷塘大队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获评“全国成绩突出交警大队”“全省十佳公安基层单位”、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2021年交警总队五星党支部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spacing w:line="540" w:lineRule="exact"/>
        <w:ind w:firstLine="643" w:firstLineChars="200"/>
        <w:textAlignment w:val="baseline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kern w:val="0"/>
          <w:sz w:val="32"/>
          <w:szCs w:val="32"/>
        </w:rPr>
        <w:t>（二）聚焦主业、全力以赴，保安保畅蹄疾步稳。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提升勤务效能，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出台《株洲支队路面巡逻勤务实施细则》，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依托客危货动态监管平台、集成指挥平台预警功能，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形成“风险识别-预警发现-警情流转-实战管控-隐患消除-延伸管理”实战机制</w:t>
      </w: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提升勤务精准度。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延伸管理触角，</w:t>
      </w:r>
      <w:r>
        <w:rPr>
          <w:rFonts w:hint="eastAsia" w:ascii="仿宋_GB2312" w:hAnsi="宋体" w:eastAsia="仿宋_GB2312" w:cs="仿宋_GB2312"/>
          <w:color w:val="000000"/>
          <w:sz w:val="31"/>
          <w:szCs w:val="31"/>
        </w:rPr>
        <w:t>应用近场监控设备预警500余起，成功拦截175起，精准查处交通违法49起。利用重点车辆预警功能，检查登记重点车辆78台次，警示提醒教育380余次。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坚持以打促防，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全面营造严管重罚的高压态势，现场查获超速违法10810起，超员载客违法1133起，疲劳驾驶违法842起，违法停车违法2927起；查获货车重点违法2283起，客车重点违法1158起，危运车重点违法286起；查获酒驾270起、醉驾93起；查获非法营运车辆312台次，采取刑事拘留强制措施4人；移送非法运输烟花爆竹案件33起，行政拘留违法人员36人。</w:t>
      </w:r>
      <w:r>
        <w:rPr>
          <w:rFonts w:hint="eastAsia" w:ascii="仿宋_GB2312" w:hAnsi="宋体" w:eastAsia="仿宋_GB2312"/>
          <w:b/>
          <w:bCs/>
          <w:color w:val="000000"/>
          <w:sz w:val="32"/>
          <w:szCs w:val="32"/>
        </w:rPr>
        <w:t>攸县大队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严打非法营运车辆经验被高警局专报刊发推介。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夯实节点勤务，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固化工作措施，完成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春运、各节假日、建党100周年等重要节点交通安保工作，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完成大件运输护送任务28趟次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kern w:val="0"/>
          <w:sz w:val="32"/>
          <w:szCs w:val="32"/>
        </w:rPr>
        <w:t>（三）重拳出击、追本溯源，风险防控卓有成效。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多维排查，整治道路设施隐患。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联合摸排“三个三”等高风险路段安全隐患480处，中央分隔带安全隐患69起。借力市整治办和平安办平台，召开排查治理会17次，送达抄告函32份，整改隐患122处。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源头管控，压实安全责任。</w:t>
      </w:r>
      <w:r>
        <w:rPr>
          <w:rFonts w:hint="eastAsia" w:ascii="仿宋_GB2312" w:eastAsia="仿宋_GB2312"/>
          <w:color w:val="000000"/>
          <w:sz w:val="32"/>
          <w:szCs w:val="32"/>
        </w:rPr>
        <w:t>开展风险源头集中整治和“联企”服务活动，走访、约谈本省重点运输企业40家，外省运输企业24家。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抄告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重点车辆交通违法1326条，涉及车辆1203台，客危货企业764家。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多措并举，强化高频车辆管控。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约谈、走访高频车辆驾驶人、所属企业30次，对属地水产品、蔬果等通行频次较高、凌晨载货运输、易发疲劳驾驶事故的3类车辆“见人见车”，逐一建立信息台账，建立线上管理群4个，重点运输企业联络群1个，邀请500余名从业人员入群管理。</w:t>
      </w:r>
    </w:p>
    <w:p>
      <w:pPr>
        <w:pStyle w:val="8"/>
        <w:widowControl/>
        <w:spacing w:before="0" w:beforeAutospacing="0" w:after="0" w:afterAutospacing="0" w:line="540" w:lineRule="exact"/>
        <w:ind w:firstLine="643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（四）协同共治、因地施策，综合治理稳步推进。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一是强化省际勤务协作。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建立“湘赣高速联动群”微信工作群，实时共享通行秩序、交通流量、突发事件、天气状况等信息200余条。</w:t>
      </w:r>
      <w:r>
        <w:rPr>
          <w:rFonts w:hint="eastAsia" w:ascii="仿宋_GB2312" w:hAnsi="宋体" w:eastAsia="仿宋_GB2312" w:cs="仿宋_GB2312"/>
          <w:color w:val="000000"/>
          <w:sz w:val="31"/>
          <w:szCs w:val="31"/>
        </w:rPr>
        <w:t>加强区域联动，与江西高警实时互通违法车辆信息及位置，常态化开展联合整治。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二是建立“警企”联动巡逻工作机制。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联合制发《株洲高速公路警企联勤协作方案》，建立联合巡逻、错时巡逻、定点值守等勤务联动模式，强化动态监管和恶劣天气、大流量期间的疏堵保畅工作。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三是严管严控行人上高速违法。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高速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交警、路政、养护、施救部门协同配合，落实行人管控“四个一律”措施，对发现的上高速行人，一律拍照固定，一律开具处罚决定书；一律劝离高速公路；对患有精神障碍的行人及流浪人员一律护送救助站。全年共处罚教育行人284人次，救助流浪人员63人次。</w:t>
      </w:r>
    </w:p>
    <w:p>
      <w:pPr>
        <w:pStyle w:val="8"/>
        <w:widowControl/>
        <w:spacing w:before="0" w:beforeAutospacing="0" w:after="0" w:afterAutospacing="0" w:line="540" w:lineRule="exact"/>
        <w:ind w:firstLine="643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（五）多措并举、责任上肩，规范执法持续深入。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强化业务培训，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交警网校、送训、实地训练培训21次</w:t>
      </w:r>
      <w:r>
        <w:rPr>
          <w:rFonts w:hint="eastAsia" w:ascii="仿宋_GB2312" w:hAnsi="宋体" w:eastAsia="仿宋_GB2312" w:cs="仿宋_GB2312"/>
          <w:color w:val="000000"/>
          <w:sz w:val="31"/>
          <w:szCs w:val="31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开展业务专题视频培训12次，摸底考试2次</w:t>
      </w:r>
      <w:r>
        <w:rPr>
          <w:rFonts w:hint="eastAsia" w:ascii="仿宋_GB2312" w:eastAsia="仿宋_GB2312"/>
          <w:color w:val="000000"/>
          <w:sz w:val="32"/>
          <w:szCs w:val="32"/>
        </w:rPr>
        <w:t>。开设“日积月累学法律”栏目，针对热点难点执法问题培训61期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坚决杜绝因民警执法不规范引发的涉警负面炒作舆情。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完善机制建设，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规范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撤销修改、案卷移交保存、案件结案回访、执法记录仪巡查制度，持续推行“分级把关负责制”、法制过错追究制，建立三级执法档案，定期通报。积极协调推动扩大涉交类刑事行政拘留案件直审直批试点成果，做好复议模式转换工作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开展专项清查，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对218起“醉酒驾驶刑事案件”，18起“交通肇事刑事案件”，39起“交通事故（非交通肇事）案件”，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12842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起大客车及大货车交通违法一次记6分以上的行政处罚案件进行逐案评查，整改完成案件1435起。</w:t>
      </w:r>
      <w:r>
        <w:rPr>
          <w:rFonts w:hint="eastAsia" w:ascii="仿宋_GB2312" w:hAnsi="黑体" w:eastAsia="仿宋_GB2312"/>
          <w:b/>
          <w:bCs/>
          <w:color w:val="000000"/>
          <w:kern w:val="2"/>
          <w:sz w:val="32"/>
          <w:szCs w:val="32"/>
        </w:rPr>
        <w:t>落实事故研判和深度调查，</w:t>
      </w:r>
      <w:r>
        <w:rPr>
          <w:rFonts w:hint="eastAsia" w:ascii="仿宋_GB2312" w:eastAsia="仿宋_GB2312"/>
          <w:color w:val="000000"/>
          <w:sz w:val="32"/>
          <w:szCs w:val="32"/>
        </w:rPr>
        <w:t>定期开展交通事故分析研判，发布事故预警15期，事故研判14期，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完成14起一般以上事故深度调查，约谈企业8家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kern w:val="0"/>
          <w:sz w:val="32"/>
          <w:szCs w:val="32"/>
        </w:rPr>
        <w:t>（六）着眼大局、改革创新，服务保障提质增效。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践行“我为群众办实事”主题活动。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践行服务“三高四新”战略，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深入中车、北汽等重点企业，建立联络机制，开展驾驶员安全教育共建服务工作；积极配合株洲市开展疫情防控工作，为援株医疗保驾护航；积极为群众排忧解难，累计救助服务群众300余人次。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做强指挥情报工作。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依托科技平台，做实情报研判，强化实战应用，高效应急处突。全年共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接处各类警情30116起；签收指派客货危重点车辆各类预警6939起，协助路面警力查处客货危重点车辆疲劳驾驶717起、闯禁106起、超速122起、违停310起。制定警情研判63期，重要节点安保专题研判7期，妥善应对15次雨雾恶劣天气，成功处置“</w:t>
      </w:r>
      <w:r>
        <w:rPr>
          <w:rFonts w:ascii="Times New Roman" w:hAnsi="Times New Roman" w:eastAsia="仿宋_GB2312"/>
          <w:color w:val="000000"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·</w:t>
      </w:r>
      <w:r>
        <w:rPr>
          <w:rFonts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”京港澳高速</w:t>
      </w:r>
      <w:r>
        <w:rPr>
          <w:rFonts w:ascii="Times New Roman" w:hAnsi="Times New Roman" w:eastAsia="仿宋_GB2312"/>
          <w:color w:val="000000"/>
          <w:sz w:val="32"/>
          <w:szCs w:val="32"/>
        </w:rPr>
        <w:t>1543km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货车自燃事件、“12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·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9”泉南高速云阳山隧道货车自燃事件。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做实后勤保障。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坚决贯彻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党中央关于“过紧日子”的工作要求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</w:rPr>
        <w:t>规范</w:t>
      </w:r>
      <w:r>
        <w:rPr>
          <w:rFonts w:hint="eastAsia" w:ascii="仿宋_GB2312" w:eastAsia="仿宋_GB2312"/>
          <w:color w:val="000000"/>
          <w:sz w:val="32"/>
          <w:szCs w:val="32"/>
        </w:rPr>
        <w:t>、公开、透明议定重大事项。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制定基地建设年度工作计划，投入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经费150万元，完成醴陵大队基地建设搬迁，协调株洲分公司解决炎陵、攸县、天元、茶陵等4个大队基地调剂意向。紧急采购防疫物资、组合式反光交通标志、4G对讲机、压缩折叠锥筒等简易防护设备发放基层大队。定期检查警用车辆、车载设备以及安全防护装备，确保性能良好、装备齐全。</w:t>
      </w:r>
      <w:r>
        <w:rPr>
          <w:rFonts w:hint="eastAsia" w:ascii="仿宋_GB2312" w:hAnsi="黑体" w:eastAsia="仿宋_GB2312"/>
          <w:b/>
          <w:bCs/>
          <w:color w:val="000000"/>
          <w:sz w:val="32"/>
          <w:szCs w:val="32"/>
        </w:rPr>
        <w:t>强化交安宣教诱导。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依托主流媒体、新媒体平台，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开展违法大曝光，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发布服务群众暖心事例，在央级媒体发布稿件15条，省市级媒体发稿215条，在部局微博发稿10条，总队、高警局等新媒体平台发稿220余条。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发布、张贴宣传标语、海报2000余份（次），发放宣传资料3万份；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开展执法直播10场次，线上累计观看量达70余万人次。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深入学校、企业、村镇开展宣教40余次，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走访入户宣传2600余户，通过“村村响喇叭”“高速护路联防工作群”，加强源头安全宣导，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形成浓厚交安宣教氛围。</w:t>
      </w:r>
    </w:p>
    <w:p>
      <w:pPr>
        <w:spacing w:line="540" w:lineRule="exact"/>
        <w:ind w:firstLine="640" w:firstLineChars="200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 2022 年春运安保中，支队各级领导骨干率先垂范，民警辅警团结拼搏，克服疫情防控、雨雾冰雪恶劣天气、京港澳单日流量突破7.9万台次历史峰值等多重困难，累计查处各类交通违法15404起，其中现场执法6222起，六类突出违法2579起，夜间重点954起，酒驾9起，醉驾5起，查获移交非法运输烟花鞭炮车辆7起，非法营运21起，行政拘留6人，刑事拘留4人。深化与导航公司合作，发布路况信息70余条，引导错峰出行、安全出行。在央视发稿2条，省级媒体发稿7条，推送微博微信70余条。践行“我为群众办实事”，开展“平安温馨春运 高速交警同行”主题活动14次，开展安全宣传32次，发放宣传资料20000余份，救助帮扶群众30人次。其中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茶陵大队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救助待产孕妇和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炎陵大队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扑灭隧道自燃车辆疏散群众事迹被媒体报道，彰显了高速警察良好形象。期间，未发生因工作不到位引发的长距离、大面积交通拥堵，未发涉高治安刑事案件，未发生因工作不到位引发的重大负面舆情，取得了 2022年春运安保工作全面胜利。</w:t>
      </w:r>
    </w:p>
    <w:p>
      <w:pPr>
        <w:spacing w:line="540" w:lineRule="exact"/>
        <w:ind w:firstLine="640" w:firstLineChars="200"/>
        <w:textAlignment w:val="baseline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 年，在流量大幅增长、客危车辆风险巨大、疫情防控形势复杂的背景下，支队各级众志成城、奋力拼搏，确保了辖区平安畅通。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七、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在预算执行过程中存在执行偏离绩效目标的情况，经过分析认为原因在以下几个方面：</w:t>
      </w:r>
    </w:p>
    <w:p>
      <w:pPr>
        <w:pStyle w:val="4"/>
        <w:numPr>
          <w:ilvl w:val="0"/>
          <w:numId w:val="2"/>
        </w:num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对于预算绩效管理工作重视不够，对于预算绩效管理的计划性不足，配套的工作机制还不成熟，在预算执行过程中，绩效管理的参与性不足。</w:t>
      </w:r>
    </w:p>
    <w:p>
      <w:pPr>
        <w:numPr>
          <w:ilvl w:val="0"/>
          <w:numId w:val="2"/>
        </w:num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预算管理人员的业务能力相对较弱，预算绩效管理工作是一个较新的业务领域，现有的业务人员尚不能很好的胜任预算的绩效管理工作。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下一步改进措施</w:t>
      </w:r>
    </w:p>
    <w:p>
      <w:pPr>
        <w:pStyle w:val="4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（一）加强对预算绩效管理重要性的思想认识，将预算的绩效意识深入到每一个预算相关人员。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（二）完善工作机制，结合我单位自身工作的实际情况，逐步健全预算绩效管理工作机制。</w:t>
      </w:r>
    </w:p>
    <w:p>
      <w:pPr>
        <w:pStyle w:val="4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（三）提升预算管理人员的相关业务能力，在预算绩效管理上，做到心中有意识，</w:t>
      </w:r>
      <w:r>
        <w:rPr>
          <w:rFonts w:hint="eastAsia" w:ascii="Times New Roman" w:hAnsi="Times New Roman" w:eastAsia="仿宋_GB2312"/>
          <w:sz w:val="32"/>
          <w:szCs w:val="32"/>
        </w:rPr>
        <w:t>工作中有能力。</w:t>
      </w:r>
    </w:p>
    <w:p>
      <w:pPr>
        <w:pStyle w:val="4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九、部门整体支出绩效自评结果拟应用和公开情况</w:t>
      </w:r>
    </w:p>
    <w:p>
      <w:pPr>
        <w:pStyle w:val="4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我单位根据相关绩效自评工作文件，对比分析自评得分95分，实际评分待总队审定，全年预算及绩效按规定进行公开。</w:t>
      </w:r>
    </w:p>
    <w:p>
      <w:pPr>
        <w:pStyle w:val="4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十、其他需要说明的情况</w:t>
      </w:r>
    </w:p>
    <w:p>
      <w:pPr>
        <w:pStyle w:val="4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无其他需要说明的情况。</w:t>
      </w:r>
    </w:p>
    <w:p>
      <w:pPr>
        <w:widowControl/>
        <w:spacing w:line="600" w:lineRule="exact"/>
        <w:jc w:val="left"/>
      </w:pPr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6492D"/>
    <w:multiLevelType w:val="singleLevel"/>
    <w:tmpl w:val="BF2649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48D3BA0"/>
    <w:multiLevelType w:val="singleLevel"/>
    <w:tmpl w:val="348D3B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C846530"/>
    <w:multiLevelType w:val="singleLevel"/>
    <w:tmpl w:val="3C8465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jODQyZmE2NzU0YTFmZmUyMzg2MjQ2MzUyZTkwY2MifQ=="/>
  </w:docVars>
  <w:rsids>
    <w:rsidRoot w:val="00D36D34"/>
    <w:rsid w:val="000E194C"/>
    <w:rsid w:val="0063451B"/>
    <w:rsid w:val="00AB252D"/>
    <w:rsid w:val="00D36D34"/>
    <w:rsid w:val="2B0E0F25"/>
    <w:rsid w:val="3E2D221C"/>
    <w:rsid w:val="5AB146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toa heading"/>
    <w:basedOn w:val="1"/>
    <w:next w:val="1"/>
    <w:qFormat/>
    <w:uiPriority w:val="0"/>
    <w:pPr>
      <w:spacing w:before="120" w:after="200" w:line="276" w:lineRule="auto"/>
    </w:pPr>
    <w:rPr>
      <w:rFonts w:ascii="Arial" w:hAnsi="Arial"/>
      <w:sz w:val="24"/>
    </w:rPr>
  </w:style>
  <w:style w:type="paragraph" w:styleId="5">
    <w:name w:val="Balloon Text"/>
    <w:basedOn w:val="1"/>
    <w:link w:val="14"/>
    <w:uiPriority w:val="0"/>
    <w:rPr>
      <w:sz w:val="18"/>
      <w:szCs w:val="18"/>
    </w:r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szCs w:val="22"/>
    </w:rPr>
  </w:style>
  <w:style w:type="character" w:customStyle="1" w:styleId="12">
    <w:name w:val="页眉 Char"/>
    <w:basedOn w:val="10"/>
    <w:link w:val="7"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0"/>
    <w:rPr>
      <w:kern w:val="2"/>
      <w:sz w:val="18"/>
      <w:szCs w:val="18"/>
    </w:rPr>
  </w:style>
  <w:style w:type="character" w:customStyle="1" w:styleId="14">
    <w:name w:val="批注框文本 Char"/>
    <w:basedOn w:val="10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16</Pages>
  <Words>6393</Words>
  <Characters>7195</Characters>
  <Lines>61</Lines>
  <Paragraphs>17</Paragraphs>
  <TotalTime>1</TotalTime>
  <ScaleCrop>false</ScaleCrop>
  <LinksUpToDate>false</LinksUpToDate>
  <CharactersWithSpaces>7274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2013-01-10T16:08:00Z</dcterms:created>
  <dc:creator>Administrator</dc:creator>
  <cp:lastModifiedBy>Administrator</cp:lastModifiedBy>
  <dcterms:modified xsi:type="dcterms:W3CDTF">2023-09-20T09:53:59Z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53FF29048FF14E219449015F619C70B5</vt:lpwstr>
  </property>
</Properties>
</file>