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8A2" w:rsidRDefault="00DE48A2">
      <w:pPr>
        <w:pStyle w:val="Default"/>
        <w:jc w:val="center"/>
        <w:rPr>
          <w:sz w:val="56"/>
          <w:szCs w:val="56"/>
        </w:rPr>
      </w:pPr>
    </w:p>
    <w:p w:rsidR="00DE48A2" w:rsidRDefault="00DE48A2">
      <w:pPr>
        <w:pStyle w:val="Default"/>
        <w:jc w:val="center"/>
        <w:rPr>
          <w:sz w:val="56"/>
          <w:szCs w:val="56"/>
        </w:rPr>
      </w:pPr>
    </w:p>
    <w:p w:rsidR="00DE48A2" w:rsidRDefault="00DE48A2">
      <w:pPr>
        <w:pStyle w:val="Default"/>
        <w:jc w:val="center"/>
        <w:rPr>
          <w:sz w:val="84"/>
          <w:szCs w:val="84"/>
        </w:rPr>
      </w:pPr>
    </w:p>
    <w:p w:rsidR="00DE48A2" w:rsidRDefault="00DE48A2">
      <w:pPr>
        <w:pStyle w:val="Default"/>
        <w:jc w:val="center"/>
        <w:rPr>
          <w:sz w:val="84"/>
          <w:szCs w:val="84"/>
        </w:rPr>
      </w:pPr>
    </w:p>
    <w:p w:rsidR="00DE48A2" w:rsidRDefault="0097375C">
      <w:pPr>
        <w:pStyle w:val="Default"/>
        <w:jc w:val="center"/>
        <w:rPr>
          <w:sz w:val="84"/>
          <w:szCs w:val="84"/>
        </w:rPr>
      </w:pPr>
      <w:r>
        <w:rPr>
          <w:rFonts w:hint="eastAsia"/>
          <w:sz w:val="84"/>
          <w:szCs w:val="84"/>
        </w:rPr>
        <w:t>2021年度</w:t>
      </w:r>
    </w:p>
    <w:p w:rsidR="00DE48A2" w:rsidRDefault="0097375C">
      <w:pPr>
        <w:pStyle w:val="Default"/>
        <w:jc w:val="center"/>
        <w:rPr>
          <w:sz w:val="84"/>
          <w:szCs w:val="84"/>
        </w:rPr>
      </w:pPr>
      <w:r>
        <w:rPr>
          <w:rFonts w:hint="eastAsia"/>
          <w:sz w:val="84"/>
          <w:szCs w:val="84"/>
        </w:rPr>
        <w:t>湖南省高速公路交通警察局怀化支队部门决算</w:t>
      </w:r>
    </w:p>
    <w:p w:rsidR="00DE48A2" w:rsidRDefault="00DE48A2">
      <w:pPr>
        <w:pStyle w:val="Default"/>
        <w:jc w:val="center"/>
        <w:rPr>
          <w:sz w:val="56"/>
          <w:szCs w:val="56"/>
        </w:rPr>
      </w:pPr>
    </w:p>
    <w:p w:rsidR="00DE48A2" w:rsidRDefault="00DE48A2">
      <w:pPr>
        <w:pStyle w:val="Default"/>
        <w:jc w:val="center"/>
        <w:rPr>
          <w:sz w:val="56"/>
          <w:szCs w:val="56"/>
        </w:rPr>
      </w:pPr>
    </w:p>
    <w:p w:rsidR="00DE48A2" w:rsidRDefault="00DE48A2">
      <w:pPr>
        <w:pStyle w:val="Default"/>
        <w:jc w:val="center"/>
        <w:rPr>
          <w:sz w:val="56"/>
          <w:szCs w:val="56"/>
        </w:rPr>
      </w:pPr>
    </w:p>
    <w:p w:rsidR="00DE48A2" w:rsidRDefault="00DE48A2">
      <w:pPr>
        <w:pStyle w:val="Default"/>
        <w:spacing w:line="540" w:lineRule="exact"/>
        <w:jc w:val="both"/>
        <w:rPr>
          <w:sz w:val="56"/>
          <w:szCs w:val="56"/>
        </w:rPr>
      </w:pPr>
    </w:p>
    <w:p w:rsidR="00DE48A2" w:rsidRDefault="00DE48A2">
      <w:pPr>
        <w:pStyle w:val="Default"/>
        <w:spacing w:line="500" w:lineRule="exact"/>
        <w:jc w:val="center"/>
        <w:rPr>
          <w:b/>
          <w:sz w:val="36"/>
          <w:szCs w:val="28"/>
        </w:rPr>
      </w:pPr>
    </w:p>
    <w:p w:rsidR="00DE48A2" w:rsidRDefault="00DE48A2">
      <w:pPr>
        <w:pStyle w:val="Default"/>
        <w:spacing w:line="500" w:lineRule="exact"/>
        <w:jc w:val="center"/>
        <w:rPr>
          <w:b/>
          <w:sz w:val="36"/>
          <w:szCs w:val="28"/>
        </w:rPr>
      </w:pPr>
    </w:p>
    <w:p w:rsidR="00DE48A2" w:rsidRDefault="0097375C">
      <w:pPr>
        <w:pStyle w:val="Default"/>
        <w:spacing w:line="500" w:lineRule="exact"/>
        <w:jc w:val="center"/>
        <w:rPr>
          <w:b/>
          <w:sz w:val="36"/>
          <w:szCs w:val="28"/>
        </w:rPr>
      </w:pPr>
      <w:r>
        <w:rPr>
          <w:rFonts w:hint="eastAsia"/>
          <w:b/>
          <w:sz w:val="36"/>
          <w:szCs w:val="28"/>
        </w:rPr>
        <w:lastRenderedPageBreak/>
        <w:t>目录</w:t>
      </w:r>
    </w:p>
    <w:p w:rsidR="00DE48A2" w:rsidRDefault="0097375C">
      <w:pPr>
        <w:pStyle w:val="Default"/>
        <w:spacing w:line="500" w:lineRule="exact"/>
        <w:rPr>
          <w:rFonts w:ascii="仿宋_GB2312" w:hAnsi="仿宋_GB2312" w:cs="仿宋_GB2312"/>
          <w:b/>
          <w:sz w:val="28"/>
          <w:szCs w:val="28"/>
        </w:rPr>
      </w:pPr>
      <w:r>
        <w:rPr>
          <w:rFonts w:hint="eastAsia"/>
          <w:b/>
          <w:sz w:val="28"/>
          <w:szCs w:val="28"/>
        </w:rPr>
        <w:t>第一部分湖南省高速公路交通警察局怀化支队概况</w:t>
      </w:r>
    </w:p>
    <w:p w:rsidR="00DE48A2" w:rsidRDefault="0097375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DE48A2" w:rsidRDefault="0097375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DE48A2" w:rsidRDefault="0097375C">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21年度部门决算表</w:t>
      </w:r>
    </w:p>
    <w:p w:rsidR="00DE48A2" w:rsidRDefault="0097375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DE48A2" w:rsidRDefault="0097375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DE48A2" w:rsidRDefault="0097375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DE48A2" w:rsidRDefault="0097375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DE48A2" w:rsidRDefault="0097375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DE48A2" w:rsidRDefault="0097375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w:t>
      </w:r>
      <w:r>
        <w:rPr>
          <w:rFonts w:asciiTheme="minorEastAsia" w:eastAsiaTheme="minorEastAsia" w:hAnsiTheme="minorEastAsia" w:cs="仿宋_GB2312" w:hint="eastAsia"/>
          <w:sz w:val="28"/>
          <w:szCs w:val="28"/>
        </w:rPr>
        <w:t>明细</w:t>
      </w:r>
      <w:r>
        <w:rPr>
          <w:rFonts w:asciiTheme="minorEastAsia" w:eastAsiaTheme="minorEastAsia" w:hAnsiTheme="minorEastAsia" w:cs="仿宋_GB2312"/>
          <w:sz w:val="28"/>
          <w:szCs w:val="28"/>
        </w:rPr>
        <w:t>表</w:t>
      </w:r>
    </w:p>
    <w:p w:rsidR="00DE48A2" w:rsidRDefault="0097375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DE48A2" w:rsidRDefault="0097375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DE48A2" w:rsidRDefault="0097375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DE48A2" w:rsidRDefault="0097375C">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21年度部门决算情况说明</w:t>
      </w:r>
    </w:p>
    <w:p w:rsidR="00DE48A2" w:rsidRDefault="0097375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DE48A2" w:rsidRDefault="0097375C">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DE48A2" w:rsidRDefault="0097375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DE48A2" w:rsidRDefault="0097375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DE48A2" w:rsidRDefault="0097375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DE48A2" w:rsidRDefault="0097375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DE48A2" w:rsidRDefault="0097375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ascii="仿宋_GB2312" w:hAnsi="仿宋_GB2312" w:cs="仿宋_GB2312" w:hint="eastAsia"/>
          <w:color w:val="000000"/>
          <w:kern w:val="0"/>
          <w:sz w:val="28"/>
          <w:szCs w:val="28"/>
        </w:rPr>
        <w:t>“</w:t>
      </w:r>
      <w:r>
        <w:rPr>
          <w:rFonts w:ascii="仿宋_GB2312" w:hAnsi="仿宋_GB2312" w:cs="仿宋_GB2312"/>
          <w:color w:val="000000"/>
          <w:kern w:val="0"/>
          <w:sz w:val="28"/>
          <w:szCs w:val="28"/>
        </w:rPr>
        <w:t>三公</w:t>
      </w:r>
      <w:r>
        <w:rPr>
          <w:rFonts w:ascii="仿宋_GB2312" w:hAnsi="仿宋_GB2312" w:cs="仿宋_GB2312" w:hint="eastAsia"/>
          <w:color w:val="000000"/>
          <w:kern w:val="0"/>
          <w:sz w:val="28"/>
          <w:szCs w:val="28"/>
        </w:rPr>
        <w:t>”</w:t>
      </w:r>
      <w:r>
        <w:rPr>
          <w:rFonts w:ascii="仿宋_GB2312" w:hAnsi="仿宋_GB2312" w:cs="仿宋_GB2312"/>
          <w:color w:val="000000"/>
          <w:kern w:val="0"/>
          <w:sz w:val="28"/>
          <w:szCs w:val="28"/>
        </w:rPr>
        <w:t>经费支出决算情况说明</w:t>
      </w:r>
    </w:p>
    <w:p w:rsidR="00DE48A2" w:rsidRDefault="0097375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DE48A2" w:rsidRDefault="0097375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机关运行经费支出说明</w:t>
      </w:r>
    </w:p>
    <w:p w:rsidR="00DE48A2" w:rsidRDefault="0097375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十、一般性支出情况说明</w:t>
      </w:r>
    </w:p>
    <w:p w:rsidR="00DE48A2" w:rsidRDefault="0097375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十一、政府采购支出说明</w:t>
      </w:r>
    </w:p>
    <w:p w:rsidR="00DE48A2" w:rsidRDefault="0097375C">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十二、国有资产占用情况说明</w:t>
      </w:r>
    </w:p>
    <w:p w:rsidR="00DE48A2" w:rsidRDefault="0097375C">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lastRenderedPageBreak/>
        <w:t>十三、</w:t>
      </w:r>
      <w:r>
        <w:rPr>
          <w:rFonts w:asciiTheme="minorEastAsia" w:eastAsiaTheme="minorEastAsia" w:hAnsiTheme="minorEastAsia" w:cs="仿宋_GB2312" w:hint="eastAsia"/>
          <w:sz w:val="28"/>
          <w:szCs w:val="28"/>
        </w:rPr>
        <w:t>2021年</w:t>
      </w:r>
      <w:r>
        <w:rPr>
          <w:rFonts w:ascii="仿宋_GB2312" w:eastAsiaTheme="minorEastAsia" w:hAnsi="仿宋_GB2312" w:cs="仿宋_GB2312" w:hint="eastAsia"/>
          <w:sz w:val="28"/>
          <w:szCs w:val="28"/>
        </w:rPr>
        <w:t>度预算绩效情况说明</w:t>
      </w:r>
    </w:p>
    <w:p w:rsidR="00DE48A2" w:rsidRDefault="0097375C">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DE48A2" w:rsidRDefault="0097375C">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DE48A2" w:rsidRDefault="00DE48A2">
      <w:pPr>
        <w:jc w:val="center"/>
        <w:rPr>
          <w:sz w:val="72"/>
          <w:szCs w:val="72"/>
        </w:rPr>
      </w:pPr>
    </w:p>
    <w:p w:rsidR="00DE48A2" w:rsidRDefault="00DE48A2">
      <w:pPr>
        <w:jc w:val="center"/>
        <w:rPr>
          <w:sz w:val="72"/>
          <w:szCs w:val="72"/>
        </w:rPr>
      </w:pPr>
    </w:p>
    <w:p w:rsidR="00DE48A2" w:rsidRDefault="00DE48A2">
      <w:pPr>
        <w:jc w:val="center"/>
        <w:rPr>
          <w:sz w:val="72"/>
          <w:szCs w:val="72"/>
        </w:rPr>
      </w:pPr>
    </w:p>
    <w:p w:rsidR="00DE48A2" w:rsidRDefault="00DE48A2">
      <w:pPr>
        <w:jc w:val="center"/>
        <w:rPr>
          <w:sz w:val="72"/>
          <w:szCs w:val="72"/>
        </w:rPr>
      </w:pPr>
    </w:p>
    <w:p w:rsidR="00DE48A2" w:rsidRDefault="00DE48A2">
      <w:pPr>
        <w:rPr>
          <w:sz w:val="72"/>
          <w:szCs w:val="72"/>
        </w:rPr>
      </w:pPr>
    </w:p>
    <w:p w:rsidR="00DE48A2" w:rsidRDefault="00DE48A2">
      <w:pPr>
        <w:pStyle w:val="Default"/>
        <w:jc w:val="center"/>
        <w:rPr>
          <w:sz w:val="84"/>
          <w:szCs w:val="84"/>
        </w:rPr>
      </w:pPr>
    </w:p>
    <w:p w:rsidR="00DE48A2" w:rsidRDefault="00DE48A2">
      <w:pPr>
        <w:pStyle w:val="Default"/>
        <w:jc w:val="center"/>
        <w:rPr>
          <w:sz w:val="84"/>
          <w:szCs w:val="84"/>
        </w:rPr>
      </w:pPr>
    </w:p>
    <w:p w:rsidR="00DE48A2" w:rsidRDefault="00DE48A2">
      <w:pPr>
        <w:pStyle w:val="Default"/>
        <w:jc w:val="center"/>
        <w:rPr>
          <w:sz w:val="84"/>
          <w:szCs w:val="84"/>
        </w:rPr>
      </w:pPr>
    </w:p>
    <w:p w:rsidR="00DE48A2" w:rsidRDefault="00DE48A2">
      <w:pPr>
        <w:pStyle w:val="Default"/>
        <w:jc w:val="center"/>
        <w:rPr>
          <w:sz w:val="84"/>
          <w:szCs w:val="84"/>
        </w:rPr>
      </w:pPr>
    </w:p>
    <w:p w:rsidR="00DE48A2" w:rsidRDefault="00DE48A2">
      <w:pPr>
        <w:pStyle w:val="Default"/>
        <w:jc w:val="center"/>
        <w:rPr>
          <w:sz w:val="84"/>
          <w:szCs w:val="84"/>
        </w:rPr>
      </w:pPr>
    </w:p>
    <w:p w:rsidR="00DE48A2" w:rsidRDefault="00DE48A2">
      <w:pPr>
        <w:pStyle w:val="Default"/>
        <w:jc w:val="center"/>
        <w:rPr>
          <w:sz w:val="84"/>
          <w:szCs w:val="84"/>
        </w:rPr>
      </w:pPr>
    </w:p>
    <w:p w:rsidR="00DE48A2" w:rsidRDefault="00DE48A2">
      <w:pPr>
        <w:pStyle w:val="Default"/>
        <w:jc w:val="center"/>
        <w:rPr>
          <w:sz w:val="84"/>
          <w:szCs w:val="84"/>
        </w:rPr>
      </w:pPr>
    </w:p>
    <w:p w:rsidR="00DE48A2" w:rsidRDefault="00DE48A2">
      <w:pPr>
        <w:pStyle w:val="Default"/>
        <w:jc w:val="both"/>
        <w:rPr>
          <w:sz w:val="84"/>
          <w:szCs w:val="84"/>
        </w:rPr>
      </w:pPr>
    </w:p>
    <w:p w:rsidR="00DE48A2" w:rsidRDefault="00DE48A2">
      <w:pPr>
        <w:pStyle w:val="Default"/>
        <w:jc w:val="center"/>
        <w:rPr>
          <w:sz w:val="84"/>
          <w:szCs w:val="84"/>
        </w:rPr>
      </w:pPr>
    </w:p>
    <w:p w:rsidR="00DE48A2" w:rsidRDefault="0097375C">
      <w:pPr>
        <w:pStyle w:val="Default"/>
        <w:jc w:val="center"/>
        <w:rPr>
          <w:sz w:val="84"/>
          <w:szCs w:val="84"/>
        </w:rPr>
      </w:pPr>
      <w:r>
        <w:rPr>
          <w:rFonts w:hint="eastAsia"/>
          <w:sz w:val="84"/>
          <w:szCs w:val="84"/>
        </w:rPr>
        <w:t>第一部分</w:t>
      </w:r>
      <w:r>
        <w:rPr>
          <w:sz w:val="84"/>
          <w:szCs w:val="84"/>
        </w:rPr>
        <w:t xml:space="preserve"> </w:t>
      </w:r>
    </w:p>
    <w:p w:rsidR="00DE48A2" w:rsidRDefault="00DE48A2">
      <w:pPr>
        <w:pStyle w:val="Default"/>
        <w:jc w:val="center"/>
        <w:rPr>
          <w:sz w:val="84"/>
          <w:szCs w:val="84"/>
        </w:rPr>
      </w:pPr>
    </w:p>
    <w:p w:rsidR="00DE48A2" w:rsidRDefault="0097375C">
      <w:pPr>
        <w:pStyle w:val="Default"/>
        <w:jc w:val="center"/>
        <w:rPr>
          <w:sz w:val="52"/>
          <w:szCs w:val="52"/>
        </w:rPr>
      </w:pPr>
      <w:r>
        <w:rPr>
          <w:rFonts w:hint="eastAsia"/>
          <w:sz w:val="52"/>
          <w:szCs w:val="52"/>
        </w:rPr>
        <w:t>湖南省高速公路交通警察局怀化支队概况</w:t>
      </w:r>
    </w:p>
    <w:p w:rsidR="00DE48A2" w:rsidRDefault="00DE48A2">
      <w:pPr>
        <w:pStyle w:val="Default"/>
        <w:jc w:val="center"/>
        <w:rPr>
          <w:sz w:val="84"/>
          <w:szCs w:val="84"/>
        </w:rPr>
      </w:pPr>
    </w:p>
    <w:p w:rsidR="00DE48A2" w:rsidRDefault="00DE48A2">
      <w:pPr>
        <w:jc w:val="center"/>
        <w:rPr>
          <w:sz w:val="72"/>
          <w:szCs w:val="72"/>
        </w:rPr>
      </w:pPr>
    </w:p>
    <w:p w:rsidR="00DE48A2" w:rsidRDefault="00DE48A2">
      <w:pPr>
        <w:jc w:val="center"/>
        <w:rPr>
          <w:sz w:val="72"/>
          <w:szCs w:val="72"/>
        </w:rPr>
      </w:pPr>
    </w:p>
    <w:p w:rsidR="00DE48A2" w:rsidRDefault="00DE48A2">
      <w:pPr>
        <w:jc w:val="center"/>
        <w:rPr>
          <w:sz w:val="72"/>
          <w:szCs w:val="72"/>
        </w:rPr>
      </w:pPr>
    </w:p>
    <w:p w:rsidR="00DE48A2" w:rsidRDefault="00DE48A2">
      <w:pPr>
        <w:jc w:val="center"/>
        <w:rPr>
          <w:sz w:val="72"/>
          <w:szCs w:val="72"/>
        </w:rPr>
      </w:pPr>
    </w:p>
    <w:p w:rsidR="00DE48A2" w:rsidRDefault="00DE48A2">
      <w:pPr>
        <w:pStyle w:val="a7"/>
        <w:ind w:left="720" w:firstLineChars="0" w:firstLine="0"/>
        <w:jc w:val="left"/>
        <w:rPr>
          <w:rFonts w:ascii="黑体" w:eastAsia="黑体" w:hAnsi="黑体"/>
          <w:sz w:val="32"/>
          <w:szCs w:val="32"/>
        </w:rPr>
      </w:pPr>
    </w:p>
    <w:p w:rsidR="00DE48A2" w:rsidRDefault="0097375C">
      <w:pPr>
        <w:pStyle w:val="a7"/>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DE48A2" w:rsidRDefault="0097375C">
      <w:pPr>
        <w:widowControl/>
        <w:spacing w:line="600" w:lineRule="exact"/>
        <w:rPr>
          <w:rFonts w:ascii="仿宋" w:eastAsia="仿宋" w:hAnsi="仿宋"/>
          <w:sz w:val="32"/>
          <w:szCs w:val="32"/>
        </w:rPr>
      </w:pPr>
      <w:r>
        <w:rPr>
          <w:rFonts w:ascii="Times New Roman" w:eastAsia="仿宋_GB2312" w:hAnsi="Times New Roman" w:hint="eastAsia"/>
          <w:color w:val="000000"/>
          <w:sz w:val="32"/>
          <w:szCs w:val="32"/>
        </w:rPr>
        <w:t xml:space="preserve">    </w:t>
      </w:r>
      <w:r>
        <w:rPr>
          <w:rFonts w:ascii="仿宋" w:eastAsia="仿宋" w:hAnsi="仿宋" w:hint="eastAsia"/>
          <w:sz w:val="32"/>
          <w:szCs w:val="32"/>
        </w:rPr>
        <w:t>湖南省高速公路交通警察局怀化支队组建于2014年11月，副处级建制，为省公安厅、交警总队直属的基层实战单位，统一信用证代码证书为114300003205966082，担负着怀化市辖区高速公路的公安交通管理任务，</w:t>
      </w:r>
      <w:r>
        <w:rPr>
          <w:rFonts w:ascii="仿宋" w:eastAsia="仿宋" w:hAnsi="仿宋"/>
          <w:sz w:val="32"/>
          <w:szCs w:val="32"/>
        </w:rPr>
        <w:t>支队管辖里程7</w:t>
      </w:r>
      <w:r>
        <w:rPr>
          <w:rFonts w:ascii="仿宋" w:eastAsia="仿宋" w:hAnsi="仿宋" w:hint="eastAsia"/>
          <w:sz w:val="32"/>
          <w:szCs w:val="32"/>
        </w:rPr>
        <w:t>23.53</w:t>
      </w:r>
      <w:r>
        <w:rPr>
          <w:rFonts w:ascii="仿宋" w:eastAsia="仿宋" w:hAnsi="仿宋"/>
          <w:sz w:val="32"/>
          <w:szCs w:val="32"/>
        </w:rPr>
        <w:t>公里，其中沪昆段154.95公里，包茂段270.9</w:t>
      </w:r>
      <w:r>
        <w:rPr>
          <w:rFonts w:ascii="仿宋" w:eastAsia="仿宋" w:hAnsi="仿宋" w:hint="eastAsia"/>
          <w:sz w:val="32"/>
          <w:szCs w:val="32"/>
        </w:rPr>
        <w:t>9</w:t>
      </w:r>
      <w:r>
        <w:rPr>
          <w:rFonts w:ascii="仿宋" w:eastAsia="仿宋" w:hAnsi="仿宋"/>
          <w:sz w:val="32"/>
          <w:szCs w:val="32"/>
        </w:rPr>
        <w:t>公里，杭瑞段102.5公里，长芷段</w:t>
      </w:r>
      <w:r>
        <w:rPr>
          <w:rFonts w:ascii="仿宋" w:eastAsia="仿宋" w:hAnsi="仿宋" w:hint="eastAsia"/>
          <w:sz w:val="32"/>
          <w:szCs w:val="32"/>
        </w:rPr>
        <w:t>166.29</w:t>
      </w:r>
      <w:r>
        <w:rPr>
          <w:rFonts w:ascii="仿宋" w:eastAsia="仿宋" w:hAnsi="仿宋"/>
          <w:sz w:val="32"/>
          <w:szCs w:val="32"/>
        </w:rPr>
        <w:t>公里（其中4公里与包茂高速共线），绕城段23.4公里，武靖段5.4公里，枢纽互通7个，收费站</w:t>
      </w:r>
      <w:r>
        <w:rPr>
          <w:rFonts w:ascii="仿宋" w:eastAsia="仿宋" w:hAnsi="仿宋" w:hint="eastAsia"/>
          <w:sz w:val="32"/>
          <w:szCs w:val="32"/>
        </w:rPr>
        <w:t>39</w:t>
      </w:r>
      <w:r>
        <w:rPr>
          <w:rFonts w:ascii="仿宋" w:eastAsia="仿宋" w:hAnsi="仿宋"/>
          <w:sz w:val="32"/>
          <w:szCs w:val="32"/>
        </w:rPr>
        <w:t>个，省际卡口2个。</w:t>
      </w:r>
    </w:p>
    <w:p w:rsidR="00DE48A2" w:rsidRDefault="0097375C">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DE48A2" w:rsidRDefault="0097375C" w:rsidP="003609F0">
      <w:pPr>
        <w:pStyle w:val="a3"/>
        <w:spacing w:before="0" w:after="0" w:line="640" w:lineRule="exact"/>
        <w:ind w:firstLineChars="200" w:firstLine="643"/>
        <w:rPr>
          <w:rFonts w:ascii="仿宋" w:eastAsia="仿宋" w:hAnsi="仿宋"/>
          <w:sz w:val="32"/>
          <w:szCs w:val="32"/>
        </w:rPr>
      </w:pPr>
      <w:r>
        <w:rPr>
          <w:rFonts w:ascii="楷体" w:eastAsia="楷体" w:hAnsi="楷体"/>
          <w:b/>
          <w:bCs/>
          <w:kern w:val="0"/>
          <w:sz w:val="32"/>
          <w:szCs w:val="32"/>
        </w:rPr>
        <w:t>（</w:t>
      </w:r>
      <w:r>
        <w:rPr>
          <w:rFonts w:ascii="楷体" w:eastAsia="楷体" w:hAnsi="楷体" w:hint="eastAsia"/>
          <w:b/>
          <w:bCs/>
          <w:kern w:val="0"/>
          <w:sz w:val="32"/>
          <w:szCs w:val="32"/>
        </w:rPr>
        <w:t>一</w:t>
      </w:r>
      <w:r>
        <w:rPr>
          <w:rFonts w:ascii="楷体" w:eastAsia="楷体" w:hAnsi="楷体"/>
          <w:b/>
          <w:bCs/>
          <w:kern w:val="0"/>
          <w:sz w:val="32"/>
          <w:szCs w:val="32"/>
        </w:rPr>
        <w:t>）</w:t>
      </w:r>
      <w:r>
        <w:rPr>
          <w:rFonts w:ascii="楷体" w:eastAsia="楷体" w:hAnsi="楷体" w:hint="eastAsia"/>
          <w:b/>
          <w:bCs/>
          <w:kern w:val="0"/>
          <w:sz w:val="32"/>
          <w:szCs w:val="32"/>
        </w:rPr>
        <w:t>内设</w:t>
      </w:r>
      <w:r>
        <w:rPr>
          <w:rFonts w:ascii="楷体" w:eastAsia="楷体" w:hAnsi="楷体"/>
          <w:b/>
          <w:bCs/>
          <w:kern w:val="0"/>
          <w:sz w:val="32"/>
          <w:szCs w:val="32"/>
        </w:rPr>
        <w:t>机构设置</w:t>
      </w:r>
      <w:r>
        <w:rPr>
          <w:rFonts w:ascii="仿宋" w:eastAsia="仿宋" w:hAnsi="仿宋"/>
          <w:sz w:val="32"/>
          <w:szCs w:val="32"/>
        </w:rPr>
        <w:t>湖南省高速公路交通警</w:t>
      </w:r>
      <w:r>
        <w:rPr>
          <w:rFonts w:ascii="仿宋" w:eastAsia="仿宋" w:hAnsi="仿宋" w:hint="eastAsia"/>
          <w:sz w:val="32"/>
          <w:szCs w:val="32"/>
        </w:rPr>
        <w:t>察</w:t>
      </w:r>
      <w:r>
        <w:rPr>
          <w:rFonts w:ascii="仿宋" w:eastAsia="仿宋" w:hAnsi="仿宋"/>
          <w:sz w:val="32"/>
          <w:szCs w:val="32"/>
        </w:rPr>
        <w:t>局怀化支队内设</w:t>
      </w:r>
      <w:r>
        <w:rPr>
          <w:rFonts w:ascii="仿宋" w:eastAsia="仿宋" w:hAnsi="仿宋" w:hint="eastAsia"/>
          <w:sz w:val="32"/>
          <w:szCs w:val="32"/>
        </w:rPr>
        <w:t>办公室、交管科、政工室、法制科4个科室及总队</w:t>
      </w:r>
      <w:r>
        <w:rPr>
          <w:rFonts w:ascii="仿宋" w:eastAsia="仿宋" w:hAnsi="仿宋"/>
          <w:sz w:val="32"/>
          <w:szCs w:val="32"/>
        </w:rPr>
        <w:t>纪委派驻</w:t>
      </w:r>
      <w:r>
        <w:rPr>
          <w:rFonts w:ascii="仿宋" w:eastAsia="仿宋" w:hAnsi="仿宋" w:hint="eastAsia"/>
          <w:sz w:val="32"/>
          <w:szCs w:val="32"/>
        </w:rPr>
        <w:t>支队</w:t>
      </w:r>
      <w:r>
        <w:rPr>
          <w:rFonts w:ascii="仿宋" w:eastAsia="仿宋" w:hAnsi="仿宋"/>
          <w:sz w:val="32"/>
          <w:szCs w:val="32"/>
        </w:rPr>
        <w:t>纪检监察组。下设安江、鹤城、芷江、沅陵、麻阳、洪江、靖州、通道、怀化北、溆浦10个大队，新晃、官庄、桥头</w:t>
      </w:r>
      <w:r>
        <w:rPr>
          <w:rFonts w:ascii="仿宋" w:eastAsia="仿宋" w:hAnsi="仿宋" w:hint="eastAsia"/>
          <w:sz w:val="32"/>
          <w:szCs w:val="32"/>
        </w:rPr>
        <w:t>、雪峰山4</w:t>
      </w:r>
      <w:r>
        <w:rPr>
          <w:rFonts w:ascii="仿宋" w:eastAsia="仿宋" w:hAnsi="仿宋"/>
          <w:sz w:val="32"/>
          <w:szCs w:val="32"/>
        </w:rPr>
        <w:t>个独立中队。</w:t>
      </w:r>
    </w:p>
    <w:p w:rsidR="00DE48A2" w:rsidRDefault="0097375C" w:rsidP="003609F0">
      <w:pPr>
        <w:widowControl/>
        <w:spacing w:line="600" w:lineRule="exact"/>
        <w:ind w:firstLineChars="196" w:firstLine="630"/>
        <w:jc w:val="left"/>
        <w:rPr>
          <w:rFonts w:ascii="仿宋" w:eastAsia="仿宋" w:hAnsi="仿宋"/>
          <w:sz w:val="32"/>
          <w:szCs w:val="32"/>
        </w:rPr>
      </w:pPr>
      <w:r>
        <w:rPr>
          <w:rFonts w:ascii="楷体" w:eastAsia="楷体" w:hAnsi="楷体" w:hint="eastAsia"/>
          <w:b/>
          <w:bCs/>
          <w:kern w:val="0"/>
          <w:sz w:val="32"/>
          <w:szCs w:val="32"/>
        </w:rPr>
        <w:t>（二）决算单位构成。</w:t>
      </w:r>
      <w:r>
        <w:rPr>
          <w:rFonts w:ascii="Times New Roman" w:eastAsia="仿宋_GB2312" w:hAnsi="Times New Roman" w:hint="eastAsia"/>
          <w:sz w:val="32"/>
          <w:szCs w:val="32"/>
        </w:rPr>
        <w:t>湖南省高速交通警察局怀化支队单位本级决算</w:t>
      </w:r>
      <w:r>
        <w:rPr>
          <w:rFonts w:ascii="仿宋" w:eastAsia="仿宋" w:hAnsi="仿宋" w:hint="eastAsia"/>
          <w:sz w:val="32"/>
          <w:szCs w:val="32"/>
        </w:rPr>
        <w:t>。</w:t>
      </w:r>
    </w:p>
    <w:p w:rsidR="00DE48A2" w:rsidRDefault="00DE48A2">
      <w:pPr>
        <w:jc w:val="left"/>
        <w:rPr>
          <w:rFonts w:ascii="仿宋_GB2312" w:eastAsia="仿宋_GB2312" w:hAnsiTheme="minorEastAsia"/>
          <w:sz w:val="28"/>
          <w:szCs w:val="32"/>
        </w:rPr>
      </w:pPr>
    </w:p>
    <w:p w:rsidR="00DE48A2" w:rsidRDefault="00DE48A2">
      <w:pPr>
        <w:jc w:val="center"/>
        <w:rPr>
          <w:rFonts w:ascii="黑体" w:eastAsia="黑体" w:hAnsi="黑体"/>
          <w:sz w:val="28"/>
          <w:szCs w:val="28"/>
        </w:rPr>
      </w:pPr>
    </w:p>
    <w:p w:rsidR="00DE48A2" w:rsidRDefault="00DE48A2">
      <w:pPr>
        <w:jc w:val="center"/>
        <w:rPr>
          <w:rFonts w:ascii="黑体" w:eastAsia="黑体" w:hAnsi="黑体"/>
          <w:sz w:val="28"/>
          <w:szCs w:val="28"/>
        </w:rPr>
      </w:pPr>
    </w:p>
    <w:p w:rsidR="00DE48A2" w:rsidRDefault="00DE48A2">
      <w:pPr>
        <w:jc w:val="center"/>
        <w:rPr>
          <w:rFonts w:ascii="黑体" w:eastAsia="黑体" w:hAnsi="黑体"/>
          <w:sz w:val="28"/>
          <w:szCs w:val="28"/>
        </w:rPr>
      </w:pPr>
    </w:p>
    <w:p w:rsidR="00DE48A2" w:rsidRDefault="00DE48A2">
      <w:pPr>
        <w:jc w:val="center"/>
        <w:rPr>
          <w:rFonts w:ascii="黑体" w:eastAsia="黑体" w:hAnsi="黑体"/>
          <w:sz w:val="28"/>
          <w:szCs w:val="28"/>
        </w:rPr>
      </w:pPr>
    </w:p>
    <w:p w:rsidR="00DE48A2" w:rsidRDefault="00DE48A2">
      <w:pPr>
        <w:jc w:val="center"/>
        <w:rPr>
          <w:rFonts w:ascii="黑体" w:eastAsia="黑体" w:hAnsi="黑体"/>
          <w:sz w:val="28"/>
          <w:szCs w:val="28"/>
        </w:rPr>
      </w:pPr>
    </w:p>
    <w:p w:rsidR="00DE48A2" w:rsidRDefault="00DE48A2">
      <w:pPr>
        <w:jc w:val="center"/>
        <w:rPr>
          <w:rFonts w:ascii="黑体" w:eastAsia="黑体" w:hAnsi="黑体"/>
          <w:sz w:val="28"/>
          <w:szCs w:val="28"/>
        </w:rPr>
      </w:pPr>
    </w:p>
    <w:p w:rsidR="00DE48A2" w:rsidRDefault="00DE48A2">
      <w:pPr>
        <w:jc w:val="center"/>
        <w:rPr>
          <w:rFonts w:ascii="黑体" w:eastAsia="黑体" w:hAnsi="黑体"/>
          <w:sz w:val="28"/>
          <w:szCs w:val="28"/>
        </w:rPr>
      </w:pPr>
    </w:p>
    <w:p w:rsidR="00DE48A2" w:rsidRDefault="00DE48A2">
      <w:pPr>
        <w:jc w:val="center"/>
        <w:rPr>
          <w:rFonts w:ascii="黑体" w:eastAsia="黑体" w:hAnsi="黑体"/>
          <w:sz w:val="28"/>
          <w:szCs w:val="28"/>
        </w:rPr>
      </w:pPr>
    </w:p>
    <w:p w:rsidR="00DE48A2" w:rsidRDefault="00DE48A2">
      <w:pPr>
        <w:jc w:val="center"/>
        <w:rPr>
          <w:rFonts w:ascii="黑体" w:eastAsia="黑体" w:hAnsi="黑体"/>
          <w:sz w:val="28"/>
          <w:szCs w:val="28"/>
        </w:rPr>
      </w:pPr>
    </w:p>
    <w:p w:rsidR="00DE48A2" w:rsidRDefault="00DE48A2">
      <w:pPr>
        <w:jc w:val="center"/>
        <w:rPr>
          <w:rFonts w:ascii="黑体" w:eastAsia="黑体" w:hAnsi="黑体"/>
          <w:sz w:val="28"/>
          <w:szCs w:val="28"/>
        </w:rPr>
      </w:pPr>
    </w:p>
    <w:p w:rsidR="00DE48A2" w:rsidRDefault="00DE48A2">
      <w:pPr>
        <w:jc w:val="center"/>
        <w:rPr>
          <w:rFonts w:ascii="黑体" w:eastAsia="黑体" w:hAnsi="黑体"/>
          <w:sz w:val="28"/>
          <w:szCs w:val="28"/>
        </w:rPr>
      </w:pPr>
    </w:p>
    <w:p w:rsidR="00DE48A2" w:rsidRDefault="00DE48A2">
      <w:pPr>
        <w:jc w:val="center"/>
        <w:rPr>
          <w:rFonts w:ascii="黑体" w:eastAsia="黑体" w:hAnsi="黑体"/>
          <w:sz w:val="28"/>
          <w:szCs w:val="28"/>
        </w:rPr>
      </w:pPr>
    </w:p>
    <w:p w:rsidR="00DE48A2" w:rsidRDefault="00DE48A2">
      <w:pPr>
        <w:rPr>
          <w:sz w:val="72"/>
          <w:szCs w:val="72"/>
        </w:rPr>
      </w:pPr>
    </w:p>
    <w:p w:rsidR="00DE48A2" w:rsidRDefault="0097375C">
      <w:pPr>
        <w:jc w:val="center"/>
        <w:rPr>
          <w:sz w:val="72"/>
          <w:szCs w:val="72"/>
        </w:rPr>
      </w:pPr>
      <w:r>
        <w:rPr>
          <w:rFonts w:hint="eastAsia"/>
          <w:sz w:val="72"/>
          <w:szCs w:val="72"/>
        </w:rPr>
        <w:t>第二部分</w:t>
      </w:r>
    </w:p>
    <w:p w:rsidR="00DE48A2" w:rsidRDefault="00DE48A2">
      <w:pPr>
        <w:jc w:val="center"/>
        <w:rPr>
          <w:sz w:val="72"/>
          <w:szCs w:val="72"/>
        </w:rPr>
      </w:pPr>
    </w:p>
    <w:p w:rsidR="00DE48A2" w:rsidRDefault="0097375C">
      <w:pPr>
        <w:jc w:val="center"/>
        <w:rPr>
          <w:sz w:val="72"/>
          <w:szCs w:val="72"/>
        </w:rPr>
      </w:pPr>
      <w:r>
        <w:rPr>
          <w:rFonts w:hint="eastAsia"/>
          <w:sz w:val="72"/>
          <w:szCs w:val="72"/>
        </w:rPr>
        <w:t>部门决算表</w:t>
      </w:r>
    </w:p>
    <w:p w:rsidR="00DE48A2" w:rsidRDefault="00DE48A2">
      <w:pPr>
        <w:jc w:val="center"/>
        <w:rPr>
          <w:sz w:val="72"/>
          <w:szCs w:val="72"/>
        </w:rPr>
      </w:pPr>
    </w:p>
    <w:p w:rsidR="00DE48A2" w:rsidRDefault="00DE48A2">
      <w:pPr>
        <w:jc w:val="center"/>
        <w:rPr>
          <w:sz w:val="72"/>
          <w:szCs w:val="72"/>
        </w:rPr>
      </w:pPr>
    </w:p>
    <w:p w:rsidR="00DE48A2" w:rsidRDefault="00DE48A2">
      <w:pPr>
        <w:jc w:val="center"/>
        <w:rPr>
          <w:sz w:val="72"/>
          <w:szCs w:val="72"/>
        </w:rPr>
      </w:pPr>
    </w:p>
    <w:p w:rsidR="00DE48A2" w:rsidRDefault="00DE48A2">
      <w:pPr>
        <w:jc w:val="center"/>
        <w:rPr>
          <w:sz w:val="72"/>
          <w:szCs w:val="72"/>
        </w:rPr>
      </w:pPr>
    </w:p>
    <w:p w:rsidR="00DE48A2" w:rsidRDefault="00DE48A2">
      <w:pPr>
        <w:rPr>
          <w:sz w:val="72"/>
          <w:szCs w:val="72"/>
        </w:rPr>
      </w:pPr>
    </w:p>
    <w:p w:rsidR="00DE48A2" w:rsidRDefault="00DE48A2">
      <w:pPr>
        <w:jc w:val="center"/>
        <w:rPr>
          <w:rFonts w:ascii="黑体" w:eastAsia="黑体" w:hAnsi="黑体"/>
          <w:sz w:val="28"/>
          <w:szCs w:val="28"/>
        </w:rPr>
        <w:sectPr w:rsidR="00DE48A2">
          <w:pgSz w:w="11906" w:h="16838"/>
          <w:pgMar w:top="1440" w:right="1797" w:bottom="1440" w:left="1797" w:header="851" w:footer="992" w:gutter="0"/>
          <w:cols w:space="425"/>
          <w:docGrid w:type="linesAndChars" w:linePitch="312"/>
        </w:sectPr>
      </w:pPr>
    </w:p>
    <w:p w:rsidR="00DE48A2" w:rsidRDefault="00DE48A2">
      <w:pPr>
        <w:widowControl/>
        <w:jc w:val="center"/>
        <w:rPr>
          <w:rFonts w:ascii="Times New Roman" w:eastAsia="黑体" w:hAnsi="Times New Roman" w:cs="Times New Roman"/>
          <w:bCs/>
          <w:kern w:val="0"/>
          <w:sz w:val="32"/>
          <w:szCs w:val="32"/>
        </w:rPr>
      </w:pPr>
      <w:r w:rsidRPr="00DE48A2">
        <w:rPr>
          <w:rFonts w:ascii="Times New Roman" w:eastAsia="黑体" w:hAnsi="Times New Roman" w:cs="Times New Roman"/>
          <w:bCs/>
          <w:kern w:val="0"/>
          <w:sz w:val="32"/>
          <w:szCs w:val="32"/>
        </w:rPr>
        <w:object w:dxaOrig="14720" w:dyaOrig="12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0pt;height:541.5pt" o:ole="">
            <v:imagedata r:id="rId8" o:title=""/>
          </v:shape>
          <o:OLEObject Type="Embed" ProgID="Excel.Sheet.8" ShapeID="_x0000_i1025" DrawAspect="Content" ObjectID="_1758263714" r:id="rId9"/>
        </w:object>
      </w:r>
      <w:r w:rsidR="0097375C">
        <w:rPr>
          <w:rFonts w:ascii="Times New Roman" w:eastAsia="黑体" w:hAnsi="Times New Roman" w:cs="Times New Roman"/>
          <w:bCs/>
          <w:kern w:val="0"/>
          <w:sz w:val="32"/>
          <w:szCs w:val="32"/>
        </w:rPr>
        <w:br w:type="page"/>
      </w:r>
      <w:r w:rsidRPr="00DE48A2">
        <w:rPr>
          <w:rFonts w:ascii="Times New Roman" w:eastAsia="黑体" w:hAnsi="Times New Roman" w:cs="Times New Roman"/>
          <w:bCs/>
          <w:kern w:val="0"/>
          <w:sz w:val="32"/>
          <w:szCs w:val="32"/>
        </w:rPr>
        <w:object w:dxaOrig="18320" w:dyaOrig="5470">
          <v:shape id="_x0000_i1026" type="#_x0000_t75" style="width:753pt;height:227.25pt" o:ole="">
            <v:imagedata r:id="rId10" o:title=""/>
          </v:shape>
          <o:OLEObject Type="Embed" ProgID="Excel.Sheet.8" ShapeID="_x0000_i1026" DrawAspect="Content" ObjectID="_1758263715" r:id="rId11"/>
        </w:object>
      </w:r>
    </w:p>
    <w:p w:rsidR="00DE48A2" w:rsidRDefault="00DE48A2">
      <w:pPr>
        <w:widowControl/>
        <w:rPr>
          <w:rFonts w:ascii="Times New Roman" w:eastAsia="方正小标宋_GBK" w:hAnsi="Times New Roman" w:cs="Times New Roman"/>
          <w:color w:val="000000"/>
          <w:kern w:val="0"/>
          <w:sz w:val="36"/>
          <w:szCs w:val="36"/>
        </w:rPr>
      </w:pPr>
    </w:p>
    <w:p w:rsidR="00DE48A2" w:rsidRDefault="00DE48A2">
      <w:pPr>
        <w:widowControl/>
        <w:ind w:left="93"/>
        <w:jc w:val="center"/>
        <w:rPr>
          <w:rFonts w:ascii="Times New Roman" w:eastAsia="方正小标宋_GBK" w:hAnsi="Times New Roman" w:cs="Times New Roman"/>
          <w:color w:val="000000"/>
          <w:kern w:val="0"/>
          <w:sz w:val="36"/>
          <w:szCs w:val="21"/>
        </w:rPr>
      </w:pPr>
    </w:p>
    <w:p w:rsidR="00DE48A2" w:rsidRDefault="00DE48A2">
      <w:pPr>
        <w:widowControl/>
        <w:ind w:left="93"/>
        <w:jc w:val="center"/>
        <w:rPr>
          <w:rFonts w:ascii="Times New Roman" w:eastAsia="方正小标宋_GBK" w:hAnsi="Times New Roman" w:cs="Times New Roman"/>
          <w:color w:val="000000"/>
          <w:kern w:val="0"/>
          <w:sz w:val="36"/>
          <w:szCs w:val="21"/>
        </w:rPr>
      </w:pPr>
    </w:p>
    <w:p w:rsidR="00DE48A2" w:rsidRDefault="00DE48A2">
      <w:pPr>
        <w:widowControl/>
        <w:ind w:left="93"/>
        <w:jc w:val="center"/>
        <w:rPr>
          <w:rFonts w:ascii="Times New Roman" w:eastAsia="方正小标宋_GBK" w:hAnsi="Times New Roman" w:cs="Times New Roman"/>
          <w:color w:val="000000"/>
          <w:kern w:val="0"/>
          <w:sz w:val="36"/>
          <w:szCs w:val="21"/>
        </w:rPr>
      </w:pPr>
    </w:p>
    <w:p w:rsidR="00DE48A2" w:rsidRDefault="00DE48A2">
      <w:pPr>
        <w:widowControl/>
        <w:ind w:left="93"/>
        <w:jc w:val="center"/>
        <w:rPr>
          <w:rFonts w:ascii="Times New Roman" w:eastAsia="方正小标宋_GBK" w:hAnsi="Times New Roman" w:cs="Times New Roman"/>
          <w:color w:val="000000"/>
          <w:kern w:val="0"/>
          <w:sz w:val="36"/>
          <w:szCs w:val="21"/>
        </w:rPr>
      </w:pPr>
    </w:p>
    <w:p w:rsidR="00DE48A2" w:rsidRDefault="00DE48A2">
      <w:pPr>
        <w:widowControl/>
        <w:jc w:val="center"/>
        <w:rPr>
          <w:rFonts w:ascii="Times New Roman" w:eastAsia="方正小标宋_GBK" w:hAnsi="Times New Roman" w:cs="Times New Roman"/>
          <w:kern w:val="0"/>
          <w:sz w:val="36"/>
          <w:szCs w:val="36"/>
        </w:rPr>
      </w:pPr>
      <w:bookmarkStart w:id="0" w:name="RANGE!A1:I22"/>
      <w:bookmarkStart w:id="1" w:name="RANGE!A1:F16"/>
      <w:bookmarkEnd w:id="0"/>
    </w:p>
    <w:p w:rsidR="00DE48A2" w:rsidRDefault="00DE48A2">
      <w:pPr>
        <w:widowControl/>
        <w:jc w:val="center"/>
        <w:rPr>
          <w:rFonts w:ascii="Times New Roman" w:eastAsia="方正小标宋_GBK" w:hAnsi="Times New Roman" w:cs="Times New Roman"/>
          <w:kern w:val="0"/>
          <w:sz w:val="36"/>
          <w:szCs w:val="36"/>
        </w:rPr>
      </w:pPr>
    </w:p>
    <w:bookmarkEnd w:id="1"/>
    <w:p w:rsidR="00DE48A2" w:rsidRDefault="00DE48A2">
      <w:pPr>
        <w:widowControl/>
        <w:jc w:val="left"/>
        <w:rPr>
          <w:rFonts w:ascii="Times New Roman" w:eastAsia="仿宋_GB2312" w:hAnsi="Times New Roman" w:cs="Times New Roman"/>
          <w:bCs/>
          <w:kern w:val="0"/>
          <w:szCs w:val="21"/>
        </w:rPr>
      </w:pPr>
    </w:p>
    <w:p w:rsidR="00DE48A2" w:rsidRDefault="0097375C">
      <w:pPr>
        <w:widowControl/>
        <w:jc w:val="left"/>
        <w:rPr>
          <w:rFonts w:ascii="Times New Roman" w:eastAsia="仿宋_GB2312" w:hAnsi="Times New Roman" w:cs="Times New Roman"/>
          <w:bCs/>
          <w:kern w:val="0"/>
          <w:szCs w:val="21"/>
        </w:rPr>
      </w:pPr>
      <w:r>
        <w:rPr>
          <w:rFonts w:ascii="Times New Roman" w:eastAsia="仿宋_GB2312" w:hAnsi="Times New Roman" w:cs="Times New Roman"/>
          <w:bCs/>
          <w:kern w:val="0"/>
          <w:szCs w:val="21"/>
        </w:rPr>
        <w:br w:type="page"/>
      </w: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r w:rsidRPr="00DE48A2">
        <w:rPr>
          <w:rFonts w:ascii="Times New Roman" w:eastAsia="仿宋_GB2312" w:hAnsi="Times New Roman" w:cs="Times New Roman" w:hint="eastAsia"/>
          <w:bCs/>
          <w:kern w:val="0"/>
          <w:szCs w:val="21"/>
        </w:rPr>
        <w:object w:dxaOrig="16440" w:dyaOrig="5470">
          <v:shape id="_x0000_i1027" type="#_x0000_t75" style="width:758.25pt;height:273.75pt" o:ole="">
            <v:imagedata r:id="rId12" o:title=""/>
          </v:shape>
          <o:OLEObject Type="Embed" ProgID="Excel.Sheet.8" ShapeID="_x0000_i1027" DrawAspect="Content" ObjectID="_1758263716" r:id="rId13"/>
        </w:object>
      </w: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sectPr w:rsidR="00DE48A2">
          <w:pgSz w:w="16838" w:h="11906" w:orient="landscape"/>
          <w:pgMar w:top="720" w:right="720" w:bottom="720" w:left="720" w:header="851" w:footer="992" w:gutter="0"/>
          <w:cols w:space="425"/>
          <w:docGrid w:type="lines" w:linePitch="312"/>
        </w:sectPr>
      </w:pPr>
    </w:p>
    <w:p w:rsidR="00DE48A2" w:rsidRDefault="00DE48A2">
      <w:pPr>
        <w:widowControl/>
        <w:jc w:val="center"/>
        <w:rPr>
          <w:rFonts w:ascii="Times New Roman" w:eastAsia="仿宋_GB2312" w:hAnsi="Times New Roman" w:cs="Times New Roman"/>
          <w:bCs/>
          <w:kern w:val="0"/>
          <w:szCs w:val="21"/>
        </w:rPr>
        <w:sectPr w:rsidR="00DE48A2">
          <w:pgSz w:w="16838" w:h="11906" w:orient="landscape"/>
          <w:pgMar w:top="720" w:right="720" w:bottom="720" w:left="720" w:header="851" w:footer="992" w:gutter="0"/>
          <w:cols w:space="425"/>
          <w:docGrid w:type="lines" w:linePitch="312"/>
        </w:sectPr>
      </w:pPr>
      <w:r w:rsidRPr="00DE48A2">
        <w:rPr>
          <w:rFonts w:ascii="Times New Roman" w:eastAsia="仿宋_GB2312" w:hAnsi="Times New Roman" w:cs="Times New Roman" w:hint="eastAsia"/>
          <w:bCs/>
          <w:kern w:val="0"/>
          <w:szCs w:val="21"/>
        </w:rPr>
        <w:object w:dxaOrig="17380" w:dyaOrig="12650">
          <v:shape id="_x0000_i1028" type="#_x0000_t75" style="width:711.75pt;height:517.5pt" o:ole="">
            <v:imagedata r:id="rId14" o:title=""/>
          </v:shape>
          <o:OLEObject Type="Embed" ProgID="Excel.Sheet.8" ShapeID="_x0000_i1028" DrawAspect="Content" ObjectID="_1758263717" r:id="rId15"/>
        </w:object>
      </w: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center"/>
        <w:rPr>
          <w:rFonts w:ascii="Times New Roman" w:eastAsia="仿宋_GB2312" w:hAnsi="Times New Roman" w:cs="Times New Roman"/>
          <w:bCs/>
          <w:kern w:val="0"/>
          <w:szCs w:val="21"/>
        </w:rPr>
      </w:pPr>
      <w:r w:rsidRPr="00DE48A2">
        <w:rPr>
          <w:rFonts w:ascii="Times New Roman" w:eastAsia="仿宋_GB2312" w:hAnsi="Times New Roman" w:cs="Times New Roman" w:hint="eastAsia"/>
          <w:bCs/>
          <w:kern w:val="0"/>
          <w:szCs w:val="21"/>
        </w:rPr>
        <w:object w:dxaOrig="14720" w:dyaOrig="5450">
          <v:shape id="_x0000_i1029" type="#_x0000_t75" style="width:735.75pt;height:272.25pt" o:ole="">
            <v:imagedata r:id="rId16" o:title=""/>
          </v:shape>
          <o:OLEObject Type="Embed" ProgID="Excel.Sheet.8" ShapeID="_x0000_i1029" DrawAspect="Content" ObjectID="_1758263718" r:id="rId17"/>
        </w:object>
      </w: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r w:rsidRPr="00DE48A2">
        <w:rPr>
          <w:rFonts w:ascii="Times New Roman" w:eastAsia="仿宋_GB2312" w:hAnsi="Times New Roman" w:cs="Times New Roman" w:hint="eastAsia"/>
          <w:bCs/>
          <w:kern w:val="0"/>
          <w:szCs w:val="21"/>
        </w:rPr>
        <w:object w:dxaOrig="19270" w:dyaOrig="12070">
          <v:shape id="_x0000_i1030" type="#_x0000_t75" style="width:768pt;height:480.75pt" o:ole="">
            <v:imagedata r:id="rId18" o:title=""/>
          </v:shape>
          <o:OLEObject Type="Embed" ProgID="Excel.Sheet.8" ShapeID="_x0000_i1030" DrawAspect="Content" ObjectID="_1758263719" r:id="rId19"/>
        </w:object>
      </w: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r w:rsidRPr="00DE48A2">
        <w:rPr>
          <w:rFonts w:ascii="Times New Roman" w:eastAsia="仿宋_GB2312" w:hAnsi="Times New Roman" w:cs="Times New Roman" w:hint="eastAsia"/>
          <w:bCs/>
          <w:kern w:val="0"/>
          <w:szCs w:val="21"/>
        </w:rPr>
        <w:object w:dxaOrig="17640" w:dyaOrig="3980">
          <v:shape id="_x0000_i1031" type="#_x0000_t75" style="width:752.25pt;height:198.75pt" o:ole="">
            <v:imagedata r:id="rId20" o:title=""/>
          </v:shape>
          <o:OLEObject Type="Embed" ProgID="Excel.Sheet.8" ShapeID="_x0000_i1031" DrawAspect="Content" ObjectID="_1758263720" r:id="rId21"/>
        </w:object>
      </w: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r w:rsidRPr="00DE48A2">
        <w:rPr>
          <w:rFonts w:ascii="Times New Roman" w:eastAsia="仿宋_GB2312" w:hAnsi="Times New Roman" w:cs="Times New Roman" w:hint="eastAsia"/>
          <w:bCs/>
          <w:kern w:val="0"/>
          <w:szCs w:val="21"/>
        </w:rPr>
        <w:object w:dxaOrig="15720" w:dyaOrig="3370">
          <v:shape id="_x0000_i1032" type="#_x0000_t75" style="width:742.5pt;height:159pt" o:ole="">
            <v:imagedata r:id="rId22" o:title=""/>
          </v:shape>
          <o:OLEObject Type="Embed" ProgID="Excel.Sheet.8" ShapeID="_x0000_i1032" DrawAspect="Content" ObjectID="_1758263721" r:id="rId23"/>
        </w:object>
      </w: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97375C">
      <w:pPr>
        <w:widowControl/>
        <w:jc w:val="center"/>
        <w:rPr>
          <w:rFonts w:ascii="仿宋" w:eastAsia="仿宋" w:hAnsi="仿宋" w:cs="仿宋"/>
          <w:kern w:val="0"/>
          <w:sz w:val="32"/>
          <w:szCs w:val="32"/>
        </w:rPr>
      </w:pPr>
      <w:r>
        <w:rPr>
          <w:rFonts w:ascii="仿宋" w:eastAsia="仿宋" w:hAnsi="仿宋" w:cs="仿宋" w:hint="eastAsia"/>
          <w:kern w:val="0"/>
          <w:sz w:val="32"/>
          <w:szCs w:val="32"/>
        </w:rPr>
        <w:t>(本单位没有政府性基金收入，也没有使用政府性基金安排的支出，故本表无数据)</w:t>
      </w: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r w:rsidRPr="00DE48A2">
        <w:rPr>
          <w:rFonts w:ascii="Times New Roman" w:eastAsia="仿宋_GB2312" w:hAnsi="Times New Roman" w:cs="Times New Roman" w:hint="eastAsia"/>
          <w:bCs/>
          <w:kern w:val="0"/>
          <w:szCs w:val="21"/>
        </w:rPr>
        <w:object w:dxaOrig="13920" w:dyaOrig="3980">
          <v:shape id="_x0000_i1033" type="#_x0000_t75" style="width:760.5pt;height:217.5pt" o:ole="">
            <v:imagedata r:id="rId24" o:title=""/>
          </v:shape>
          <o:OLEObject Type="Embed" ProgID="Excel.Sheet.8" ShapeID="_x0000_i1033" DrawAspect="Content" ObjectID="_1758263722" r:id="rId25"/>
        </w:object>
      </w: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97375C">
      <w:pPr>
        <w:widowControl/>
        <w:jc w:val="center"/>
        <w:rPr>
          <w:rFonts w:ascii="Times New Roman" w:eastAsia="仿宋_GB2312" w:hAnsi="Times New Roman" w:cs="Times New Roman"/>
          <w:bCs/>
          <w:kern w:val="0"/>
          <w:szCs w:val="21"/>
        </w:rPr>
      </w:pPr>
      <w:r>
        <w:rPr>
          <w:rFonts w:ascii="仿宋" w:eastAsia="仿宋" w:hAnsi="仿宋" w:cs="宋体" w:hint="eastAsia"/>
          <w:kern w:val="0"/>
          <w:sz w:val="32"/>
          <w:szCs w:val="32"/>
        </w:rPr>
        <w:t>（此表无数据）</w:t>
      </w: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widowControl/>
        <w:jc w:val="left"/>
        <w:rPr>
          <w:rFonts w:ascii="Times New Roman" w:eastAsia="仿宋_GB2312" w:hAnsi="Times New Roman" w:cs="Times New Roman"/>
          <w:bCs/>
          <w:kern w:val="0"/>
          <w:szCs w:val="21"/>
        </w:rPr>
      </w:pPr>
    </w:p>
    <w:p w:rsidR="00DE48A2" w:rsidRDefault="00DE48A2">
      <w:pPr>
        <w:pStyle w:val="Default"/>
        <w:rPr>
          <w:sz w:val="72"/>
          <w:szCs w:val="72"/>
        </w:rPr>
        <w:sectPr w:rsidR="00DE48A2">
          <w:pgSz w:w="16838" w:h="11906" w:orient="landscape"/>
          <w:pgMar w:top="720" w:right="720" w:bottom="720" w:left="720" w:header="851" w:footer="992" w:gutter="0"/>
          <w:cols w:space="425"/>
          <w:docGrid w:type="lines" w:linePitch="312"/>
        </w:sectPr>
      </w:pPr>
    </w:p>
    <w:p w:rsidR="00DE48A2" w:rsidRDefault="00DE48A2">
      <w:pPr>
        <w:pStyle w:val="Default"/>
        <w:rPr>
          <w:sz w:val="72"/>
          <w:szCs w:val="72"/>
        </w:rPr>
      </w:pPr>
    </w:p>
    <w:p w:rsidR="00DE48A2" w:rsidRDefault="00DE48A2">
      <w:pPr>
        <w:pStyle w:val="Default"/>
        <w:rPr>
          <w:sz w:val="72"/>
          <w:szCs w:val="72"/>
        </w:rPr>
      </w:pPr>
    </w:p>
    <w:p w:rsidR="00DE48A2" w:rsidRDefault="00DE48A2">
      <w:pPr>
        <w:pStyle w:val="Default"/>
        <w:rPr>
          <w:sz w:val="72"/>
          <w:szCs w:val="72"/>
        </w:rPr>
      </w:pPr>
    </w:p>
    <w:p w:rsidR="00DE48A2" w:rsidRDefault="00DE48A2">
      <w:pPr>
        <w:pStyle w:val="Default"/>
        <w:rPr>
          <w:sz w:val="72"/>
          <w:szCs w:val="72"/>
        </w:rPr>
      </w:pPr>
    </w:p>
    <w:p w:rsidR="00DE48A2" w:rsidRDefault="00DE48A2">
      <w:pPr>
        <w:pStyle w:val="Default"/>
        <w:jc w:val="center"/>
        <w:rPr>
          <w:sz w:val="72"/>
          <w:szCs w:val="72"/>
        </w:rPr>
      </w:pPr>
    </w:p>
    <w:p w:rsidR="00DE48A2" w:rsidRDefault="00DE48A2">
      <w:pPr>
        <w:pStyle w:val="Default"/>
        <w:jc w:val="center"/>
        <w:rPr>
          <w:sz w:val="72"/>
          <w:szCs w:val="72"/>
        </w:rPr>
      </w:pPr>
    </w:p>
    <w:p w:rsidR="00DE48A2" w:rsidRDefault="0097375C">
      <w:pPr>
        <w:pStyle w:val="Default"/>
        <w:jc w:val="center"/>
        <w:rPr>
          <w:sz w:val="72"/>
          <w:szCs w:val="72"/>
        </w:rPr>
      </w:pPr>
      <w:r>
        <w:rPr>
          <w:rFonts w:hint="eastAsia"/>
          <w:sz w:val="72"/>
          <w:szCs w:val="72"/>
        </w:rPr>
        <w:t>第三部分</w:t>
      </w:r>
    </w:p>
    <w:p w:rsidR="00DE48A2" w:rsidRDefault="00DE48A2">
      <w:pPr>
        <w:pStyle w:val="Default"/>
        <w:jc w:val="center"/>
        <w:rPr>
          <w:sz w:val="70"/>
          <w:szCs w:val="70"/>
        </w:rPr>
      </w:pPr>
    </w:p>
    <w:p w:rsidR="00DE48A2" w:rsidRDefault="0097375C">
      <w:pPr>
        <w:pStyle w:val="Default"/>
        <w:jc w:val="center"/>
        <w:rPr>
          <w:sz w:val="70"/>
          <w:szCs w:val="70"/>
        </w:rPr>
      </w:pPr>
      <w:r>
        <w:rPr>
          <w:sz w:val="70"/>
          <w:szCs w:val="70"/>
        </w:rPr>
        <w:t>20</w:t>
      </w:r>
      <w:r>
        <w:rPr>
          <w:rFonts w:hint="eastAsia"/>
          <w:sz w:val="70"/>
          <w:szCs w:val="70"/>
        </w:rPr>
        <w:t>21年度部门决算情况说明</w:t>
      </w:r>
    </w:p>
    <w:p w:rsidR="00DE48A2" w:rsidRDefault="0097375C">
      <w:pPr>
        <w:widowControl/>
        <w:jc w:val="left"/>
        <w:rPr>
          <w:rFonts w:ascii="黑体" w:eastAsia="黑体" w:cs="黑体"/>
          <w:color w:val="000000"/>
          <w:kern w:val="0"/>
          <w:sz w:val="70"/>
          <w:szCs w:val="70"/>
        </w:rPr>
      </w:pPr>
      <w:r>
        <w:rPr>
          <w:sz w:val="70"/>
          <w:szCs w:val="70"/>
        </w:rPr>
        <w:br w:type="page"/>
      </w:r>
    </w:p>
    <w:p w:rsidR="00DE48A2" w:rsidRDefault="0097375C">
      <w:pPr>
        <w:pStyle w:val="Default"/>
        <w:rPr>
          <w:rFonts w:hAnsi="黑体"/>
          <w:b/>
          <w:sz w:val="32"/>
          <w:szCs w:val="32"/>
        </w:rPr>
      </w:pPr>
      <w:r>
        <w:rPr>
          <w:rFonts w:hAnsi="黑体" w:hint="eastAsia"/>
          <w:b/>
          <w:sz w:val="32"/>
          <w:szCs w:val="32"/>
        </w:rPr>
        <w:lastRenderedPageBreak/>
        <w:t>一、收入支出决算总体情况说明</w:t>
      </w:r>
    </w:p>
    <w:p w:rsidR="00DE48A2" w:rsidRDefault="0097375C">
      <w:pPr>
        <w:pStyle w:val="Default"/>
        <w:ind w:firstLineChars="200" w:firstLine="640"/>
        <w:rPr>
          <w:rFonts w:ascii="仿宋" w:eastAsia="仿宋" w:hAnsi="仿宋" w:cs="Times New Roman"/>
          <w:color w:val="auto"/>
          <w:kern w:val="2"/>
          <w:sz w:val="32"/>
          <w:szCs w:val="32"/>
        </w:rPr>
      </w:pPr>
      <w:r>
        <w:rPr>
          <w:rFonts w:ascii="仿宋" w:eastAsia="仿宋" w:hAnsi="仿宋" w:cs="Times New Roman" w:hint="eastAsia"/>
          <w:color w:val="auto"/>
          <w:kern w:val="2"/>
          <w:sz w:val="32"/>
          <w:szCs w:val="32"/>
        </w:rPr>
        <w:t>2021年度收、支总计3003万元。与上年相比，增加318.49万元，增加11.86 %，主要是因为：麻阳大队和洪江大队两个基地进行了搬迁改造。</w:t>
      </w:r>
    </w:p>
    <w:p w:rsidR="00DE48A2" w:rsidRDefault="0097375C">
      <w:pPr>
        <w:pStyle w:val="Default"/>
        <w:rPr>
          <w:rFonts w:hAnsi="黑体"/>
          <w:b/>
          <w:sz w:val="32"/>
          <w:szCs w:val="32"/>
        </w:rPr>
      </w:pPr>
      <w:r>
        <w:rPr>
          <w:rFonts w:hAnsi="黑体" w:hint="eastAsia"/>
          <w:b/>
          <w:sz w:val="32"/>
          <w:szCs w:val="32"/>
        </w:rPr>
        <w:t>二、收入决算情况说明</w:t>
      </w:r>
    </w:p>
    <w:p w:rsidR="00DE48A2" w:rsidRDefault="0097375C">
      <w:pPr>
        <w:pStyle w:val="Default"/>
        <w:ind w:firstLineChars="200" w:firstLine="640"/>
        <w:rPr>
          <w:rFonts w:ascii="仿宋" w:eastAsia="仿宋" w:hAnsi="仿宋" w:cs="Times New Roman"/>
          <w:color w:val="auto"/>
          <w:kern w:val="2"/>
          <w:sz w:val="32"/>
          <w:szCs w:val="32"/>
        </w:rPr>
      </w:pPr>
      <w:r>
        <w:rPr>
          <w:rFonts w:ascii="仿宋" w:eastAsia="仿宋" w:hAnsi="仿宋" w:cs="Times New Roman" w:hint="eastAsia"/>
          <w:color w:val="auto"/>
          <w:kern w:val="2"/>
          <w:sz w:val="32"/>
          <w:szCs w:val="32"/>
        </w:rPr>
        <w:t>本年收入合计3003万元，全部为财政拨款收入。</w:t>
      </w:r>
    </w:p>
    <w:p w:rsidR="00DE48A2" w:rsidRDefault="0097375C">
      <w:pPr>
        <w:pStyle w:val="Default"/>
        <w:rPr>
          <w:rFonts w:hAnsi="黑体"/>
          <w:b/>
          <w:sz w:val="32"/>
          <w:szCs w:val="32"/>
        </w:rPr>
      </w:pPr>
      <w:r>
        <w:rPr>
          <w:rFonts w:hAnsi="黑体" w:hint="eastAsia"/>
          <w:b/>
          <w:sz w:val="32"/>
          <w:szCs w:val="32"/>
        </w:rPr>
        <w:t>三、支出决算情况说明</w:t>
      </w:r>
    </w:p>
    <w:p w:rsidR="00DE48A2" w:rsidRDefault="0097375C">
      <w:pPr>
        <w:pStyle w:val="Default"/>
        <w:ind w:firstLineChars="200" w:firstLine="640"/>
        <w:rPr>
          <w:rFonts w:ascii="仿宋" w:eastAsia="仿宋" w:hAnsi="仿宋" w:cs="Times New Roman"/>
          <w:color w:val="auto"/>
          <w:kern w:val="2"/>
          <w:sz w:val="32"/>
          <w:szCs w:val="32"/>
        </w:rPr>
      </w:pPr>
      <w:r>
        <w:rPr>
          <w:rFonts w:ascii="仿宋" w:eastAsia="仿宋" w:hAnsi="仿宋" w:cs="Times New Roman" w:hint="eastAsia"/>
          <w:color w:val="auto"/>
          <w:kern w:val="2"/>
          <w:sz w:val="32"/>
          <w:szCs w:val="32"/>
        </w:rPr>
        <w:t>本年支出合计2958.46万元，其中：基本支出1380.45万元，占46.66%；项目支出1578.01万元，占53.34%。</w:t>
      </w:r>
    </w:p>
    <w:p w:rsidR="00DE48A2" w:rsidRDefault="0097375C">
      <w:pPr>
        <w:pStyle w:val="Default"/>
        <w:rPr>
          <w:rFonts w:hAnsi="黑体"/>
          <w:b/>
          <w:sz w:val="32"/>
          <w:szCs w:val="32"/>
        </w:rPr>
      </w:pPr>
      <w:r>
        <w:rPr>
          <w:rFonts w:hAnsi="黑体" w:hint="eastAsia"/>
          <w:b/>
          <w:sz w:val="32"/>
          <w:szCs w:val="32"/>
        </w:rPr>
        <w:t>四、财政拨款收入支出决算总体情况说明</w:t>
      </w:r>
    </w:p>
    <w:p w:rsidR="00DE48A2" w:rsidRDefault="0097375C">
      <w:pPr>
        <w:pStyle w:val="Default"/>
        <w:rPr>
          <w:rFonts w:hAnsi="黑体"/>
          <w:b/>
          <w:sz w:val="32"/>
          <w:szCs w:val="32"/>
        </w:rPr>
      </w:pPr>
      <w:r>
        <w:rPr>
          <w:rFonts w:hAnsi="黑体" w:hint="eastAsia"/>
          <w:b/>
          <w:sz w:val="32"/>
          <w:szCs w:val="32"/>
        </w:rPr>
        <w:t xml:space="preserve">    </w:t>
      </w:r>
      <w:r>
        <w:rPr>
          <w:rFonts w:ascii="仿宋" w:eastAsia="仿宋" w:hAnsi="仿宋" w:cs="Times New Roman" w:hint="eastAsia"/>
          <w:color w:val="auto"/>
          <w:kern w:val="2"/>
          <w:sz w:val="32"/>
          <w:szCs w:val="32"/>
        </w:rPr>
        <w:t>2021年度财政拨款收、支总计3003万元，与上年相比，增加338.92万元,减少12.72%，主要是因为：麻阳大队和洪江大队两个基地进行了搬迁改造。</w:t>
      </w:r>
    </w:p>
    <w:p w:rsidR="00DE48A2" w:rsidRDefault="0097375C">
      <w:pPr>
        <w:pStyle w:val="Default"/>
        <w:rPr>
          <w:rFonts w:hAnsi="黑体"/>
          <w:b/>
          <w:sz w:val="32"/>
          <w:szCs w:val="32"/>
        </w:rPr>
      </w:pPr>
      <w:r>
        <w:rPr>
          <w:rFonts w:hAnsi="黑体" w:hint="eastAsia"/>
          <w:b/>
          <w:sz w:val="32"/>
          <w:szCs w:val="32"/>
        </w:rPr>
        <w:t>五、一般公共预算财政拨款支出决算情况说明</w:t>
      </w:r>
    </w:p>
    <w:p w:rsidR="00DE48A2" w:rsidRDefault="0097375C" w:rsidP="003609F0">
      <w:pPr>
        <w:pStyle w:val="Default"/>
        <w:ind w:firstLineChars="200" w:firstLine="643"/>
        <w:rPr>
          <w:rFonts w:ascii="楷体" w:eastAsia="楷体" w:hAnsi="楷体"/>
          <w:b/>
          <w:sz w:val="32"/>
          <w:szCs w:val="32"/>
        </w:rPr>
      </w:pPr>
      <w:r>
        <w:rPr>
          <w:rFonts w:ascii="楷体" w:eastAsia="楷体" w:hAnsi="楷体" w:hint="eastAsia"/>
          <w:b/>
          <w:sz w:val="32"/>
          <w:szCs w:val="32"/>
        </w:rPr>
        <w:t>（一）财政拨款支出决算总体情况</w:t>
      </w:r>
    </w:p>
    <w:p w:rsidR="00DE48A2" w:rsidRDefault="0097375C">
      <w:pPr>
        <w:pStyle w:val="Default"/>
        <w:rPr>
          <w:rFonts w:ascii="仿宋" w:eastAsia="仿宋" w:hAnsi="仿宋" w:cs="Times New Roman"/>
          <w:color w:val="auto"/>
          <w:kern w:val="2"/>
          <w:sz w:val="32"/>
          <w:szCs w:val="32"/>
        </w:rPr>
      </w:pPr>
      <w:r>
        <w:rPr>
          <w:rFonts w:ascii="仿宋" w:eastAsia="仿宋" w:hAnsi="仿宋" w:cs="Times New Roman" w:hint="eastAsia"/>
          <w:color w:val="auto"/>
          <w:kern w:val="2"/>
          <w:sz w:val="32"/>
          <w:szCs w:val="32"/>
        </w:rPr>
        <w:t xml:space="preserve">    2021年度财政拨款支出2958.46万元，占本年支出合计的100%，与上年相比，财政拨款支出增加294.38万元，增加11.05%，主要是因为：麻阳大队和洪江大队两个基地进行了搬迁改造。</w:t>
      </w:r>
    </w:p>
    <w:p w:rsidR="00DE48A2" w:rsidRDefault="0097375C" w:rsidP="003609F0">
      <w:pPr>
        <w:pStyle w:val="Default"/>
        <w:ind w:firstLineChars="200" w:firstLine="643"/>
        <w:rPr>
          <w:rFonts w:ascii="楷体" w:eastAsia="楷体" w:hAnsi="楷体"/>
          <w:b/>
          <w:sz w:val="32"/>
          <w:szCs w:val="32"/>
        </w:rPr>
      </w:pPr>
      <w:r>
        <w:rPr>
          <w:rFonts w:ascii="楷体" w:eastAsia="楷体" w:hAnsi="楷体" w:hint="eastAsia"/>
          <w:b/>
          <w:sz w:val="32"/>
          <w:szCs w:val="32"/>
        </w:rPr>
        <w:t>（二）财政拨款支出决算结构情况</w:t>
      </w:r>
    </w:p>
    <w:p w:rsidR="00DE48A2" w:rsidRDefault="0097375C">
      <w:pPr>
        <w:pStyle w:val="Default"/>
        <w:ind w:firstLineChars="200" w:firstLine="640"/>
        <w:rPr>
          <w:rFonts w:ascii="仿宋" w:eastAsia="仿宋" w:hAnsi="仿宋" w:cs="Times New Roman"/>
          <w:color w:val="auto"/>
          <w:kern w:val="2"/>
          <w:sz w:val="32"/>
          <w:szCs w:val="32"/>
        </w:rPr>
      </w:pPr>
      <w:r>
        <w:rPr>
          <w:rFonts w:ascii="仿宋" w:eastAsia="仿宋" w:hAnsi="仿宋" w:cs="Times New Roman" w:hint="eastAsia"/>
          <w:color w:val="auto"/>
          <w:kern w:val="2"/>
          <w:sz w:val="32"/>
          <w:szCs w:val="32"/>
        </w:rPr>
        <w:t>2021年度财政拨款支出2958.46万元，主要用于以下方面：公共安全支出2947.46万元，占99.63%;教育支出11万元，占0.37%。</w:t>
      </w:r>
    </w:p>
    <w:p w:rsidR="00DE48A2" w:rsidRDefault="0097375C" w:rsidP="003609F0">
      <w:pPr>
        <w:pStyle w:val="Default"/>
        <w:ind w:firstLineChars="200" w:firstLine="643"/>
        <w:rPr>
          <w:rFonts w:ascii="楷体" w:eastAsia="楷体" w:hAnsi="楷体"/>
          <w:b/>
          <w:sz w:val="32"/>
          <w:szCs w:val="32"/>
        </w:rPr>
      </w:pPr>
      <w:r>
        <w:rPr>
          <w:rFonts w:ascii="楷体" w:eastAsia="楷体" w:hAnsi="楷体" w:hint="eastAsia"/>
          <w:b/>
          <w:sz w:val="32"/>
          <w:szCs w:val="32"/>
        </w:rPr>
        <w:t>（三）财政拨款支出决算具体情况</w:t>
      </w:r>
    </w:p>
    <w:p w:rsidR="00DE48A2" w:rsidRDefault="0097375C">
      <w:pPr>
        <w:pStyle w:val="Default"/>
        <w:ind w:firstLineChars="200" w:firstLine="640"/>
        <w:rPr>
          <w:rFonts w:ascii="仿宋" w:eastAsia="仿宋" w:hAnsi="仿宋" w:cs="Times New Roman"/>
          <w:color w:val="FF0000"/>
          <w:kern w:val="2"/>
          <w:sz w:val="32"/>
          <w:szCs w:val="32"/>
        </w:rPr>
      </w:pPr>
      <w:r>
        <w:rPr>
          <w:rFonts w:ascii="仿宋" w:eastAsia="仿宋" w:hAnsi="仿宋" w:cs="Times New Roman" w:hint="eastAsia"/>
          <w:color w:val="auto"/>
          <w:kern w:val="2"/>
          <w:sz w:val="32"/>
          <w:szCs w:val="32"/>
        </w:rPr>
        <w:t>2021年度财政拨款支出年初预算数为3003万元，支出决算数为2958.46万元，完成年初预算的98.52%，其中：</w:t>
      </w:r>
    </w:p>
    <w:p w:rsidR="00DE48A2" w:rsidRDefault="0097375C" w:rsidP="003609F0">
      <w:pPr>
        <w:pStyle w:val="Default"/>
        <w:ind w:firstLineChars="200" w:firstLine="643"/>
        <w:rPr>
          <w:rFonts w:ascii="仿宋" w:eastAsia="仿宋" w:hAnsi="仿宋" w:cs="Times New Roman"/>
          <w:b/>
          <w:color w:val="auto"/>
          <w:kern w:val="2"/>
          <w:sz w:val="32"/>
          <w:szCs w:val="32"/>
        </w:rPr>
      </w:pPr>
      <w:r>
        <w:rPr>
          <w:rFonts w:ascii="仿宋" w:eastAsia="仿宋" w:hAnsi="仿宋" w:cs="Times New Roman" w:hint="eastAsia"/>
          <w:b/>
          <w:color w:val="auto"/>
          <w:kern w:val="2"/>
          <w:sz w:val="32"/>
          <w:szCs w:val="32"/>
        </w:rPr>
        <w:t>1、公共安全支出</w:t>
      </w:r>
    </w:p>
    <w:p w:rsidR="00DE48A2" w:rsidRDefault="0097375C">
      <w:pPr>
        <w:pStyle w:val="Default"/>
        <w:ind w:firstLineChars="200" w:firstLine="640"/>
        <w:rPr>
          <w:rFonts w:ascii="仿宋" w:eastAsia="仿宋" w:hAnsi="仿宋" w:cs="Times New Roman"/>
          <w:color w:val="auto"/>
          <w:kern w:val="2"/>
          <w:sz w:val="32"/>
          <w:szCs w:val="32"/>
        </w:rPr>
      </w:pPr>
      <w:r>
        <w:rPr>
          <w:rFonts w:ascii="仿宋" w:eastAsia="仿宋" w:hAnsi="仿宋" w:cs="Times New Roman" w:hint="eastAsia"/>
          <w:color w:val="auto"/>
          <w:kern w:val="2"/>
          <w:sz w:val="32"/>
          <w:szCs w:val="32"/>
        </w:rPr>
        <w:t>（1）公安行政运行</w:t>
      </w:r>
    </w:p>
    <w:p w:rsidR="00DE48A2" w:rsidRDefault="0097375C">
      <w:pPr>
        <w:pStyle w:val="Default"/>
        <w:ind w:firstLineChars="200" w:firstLine="640"/>
        <w:rPr>
          <w:rFonts w:ascii="仿宋" w:eastAsia="仿宋" w:hAnsi="仿宋" w:cs="Times New Roman"/>
          <w:color w:val="auto"/>
          <w:kern w:val="2"/>
          <w:sz w:val="32"/>
          <w:szCs w:val="32"/>
        </w:rPr>
      </w:pPr>
      <w:r>
        <w:rPr>
          <w:rFonts w:ascii="仿宋" w:eastAsia="仿宋" w:hAnsi="仿宋" w:cs="Times New Roman" w:hint="eastAsia"/>
          <w:color w:val="auto"/>
          <w:kern w:val="2"/>
          <w:sz w:val="32"/>
          <w:szCs w:val="32"/>
        </w:rPr>
        <w:lastRenderedPageBreak/>
        <w:t>年初预算为1428万元，支出决算为1428万元，完成年初预算的100%，决算数与年初预算数持平。</w:t>
      </w:r>
    </w:p>
    <w:p w:rsidR="00DE48A2" w:rsidRDefault="0097375C">
      <w:pPr>
        <w:pStyle w:val="Default"/>
        <w:ind w:firstLineChars="200" w:firstLine="640"/>
        <w:rPr>
          <w:rFonts w:ascii="仿宋" w:eastAsia="仿宋" w:hAnsi="仿宋" w:cs="Times New Roman"/>
          <w:color w:val="auto"/>
          <w:kern w:val="2"/>
          <w:sz w:val="32"/>
          <w:szCs w:val="32"/>
        </w:rPr>
      </w:pPr>
      <w:r>
        <w:rPr>
          <w:rFonts w:ascii="仿宋" w:eastAsia="仿宋" w:hAnsi="仿宋" w:cs="Times New Roman" w:hint="eastAsia"/>
          <w:color w:val="auto"/>
          <w:kern w:val="2"/>
          <w:sz w:val="32"/>
          <w:szCs w:val="32"/>
        </w:rPr>
        <w:t>（2）公安信息化建设</w:t>
      </w:r>
    </w:p>
    <w:p w:rsidR="00DE48A2" w:rsidRDefault="0097375C">
      <w:pPr>
        <w:pStyle w:val="Default"/>
        <w:ind w:firstLineChars="200" w:firstLine="640"/>
        <w:rPr>
          <w:rFonts w:ascii="仿宋" w:eastAsia="仿宋" w:hAnsi="仿宋" w:cs="Times New Roman"/>
          <w:color w:val="auto"/>
          <w:kern w:val="2"/>
          <w:sz w:val="32"/>
          <w:szCs w:val="32"/>
        </w:rPr>
      </w:pPr>
      <w:r>
        <w:rPr>
          <w:rFonts w:ascii="仿宋" w:eastAsia="仿宋" w:hAnsi="仿宋" w:cs="Times New Roman" w:hint="eastAsia"/>
          <w:color w:val="auto"/>
          <w:kern w:val="2"/>
          <w:sz w:val="32"/>
          <w:szCs w:val="32"/>
        </w:rPr>
        <w:t>年初预算为131万元，支出决算为131万元，完成年初预算的100%，决算数与年初预算数持平。</w:t>
      </w:r>
    </w:p>
    <w:p w:rsidR="00DE48A2" w:rsidRDefault="0097375C">
      <w:pPr>
        <w:pStyle w:val="Default"/>
        <w:ind w:firstLineChars="200" w:firstLine="640"/>
        <w:rPr>
          <w:rFonts w:ascii="仿宋" w:eastAsia="仿宋" w:hAnsi="仿宋" w:cs="Times New Roman"/>
          <w:color w:val="auto"/>
          <w:kern w:val="2"/>
          <w:sz w:val="32"/>
          <w:szCs w:val="32"/>
        </w:rPr>
      </w:pPr>
      <w:r>
        <w:rPr>
          <w:rFonts w:ascii="仿宋" w:eastAsia="仿宋" w:hAnsi="仿宋" w:cs="Times New Roman" w:hint="eastAsia"/>
          <w:color w:val="auto"/>
          <w:kern w:val="2"/>
          <w:sz w:val="32"/>
          <w:szCs w:val="32"/>
        </w:rPr>
        <w:t>（3）公安执法办案</w:t>
      </w:r>
    </w:p>
    <w:p w:rsidR="00DE48A2" w:rsidRDefault="0097375C">
      <w:pPr>
        <w:pStyle w:val="Default"/>
        <w:ind w:firstLineChars="200" w:firstLine="640"/>
        <w:rPr>
          <w:rFonts w:ascii="仿宋" w:eastAsia="仿宋" w:hAnsi="仿宋" w:cs="Times New Roman"/>
          <w:color w:val="auto"/>
          <w:kern w:val="2"/>
          <w:sz w:val="32"/>
          <w:szCs w:val="32"/>
        </w:rPr>
      </w:pPr>
      <w:r>
        <w:rPr>
          <w:rFonts w:ascii="仿宋" w:eastAsia="仿宋" w:hAnsi="仿宋" w:cs="Times New Roman" w:hint="eastAsia"/>
          <w:color w:val="auto"/>
          <w:kern w:val="2"/>
          <w:sz w:val="32"/>
          <w:szCs w:val="32"/>
        </w:rPr>
        <w:t>年初预算为1433万元，支出决算为1388.46万元，完成年初预算的96.89%，决算数小于年初预算数的主要原因是：安江大队基地提质改造项目部分费用需结转至下一年度支付。</w:t>
      </w:r>
    </w:p>
    <w:p w:rsidR="00DE48A2" w:rsidRDefault="0097375C" w:rsidP="003609F0">
      <w:pPr>
        <w:pStyle w:val="Default"/>
        <w:ind w:firstLineChars="200" w:firstLine="643"/>
        <w:rPr>
          <w:rFonts w:ascii="仿宋" w:eastAsia="仿宋" w:hAnsi="仿宋" w:cs="Times New Roman"/>
          <w:b/>
          <w:color w:val="auto"/>
          <w:kern w:val="2"/>
          <w:sz w:val="32"/>
          <w:szCs w:val="32"/>
        </w:rPr>
      </w:pPr>
      <w:r>
        <w:rPr>
          <w:rFonts w:ascii="仿宋" w:eastAsia="仿宋" w:hAnsi="仿宋" w:cs="Times New Roman" w:hint="eastAsia"/>
          <w:b/>
          <w:color w:val="auto"/>
          <w:kern w:val="2"/>
          <w:sz w:val="32"/>
          <w:szCs w:val="32"/>
        </w:rPr>
        <w:t>2、教育进修及培训培训支出</w:t>
      </w:r>
    </w:p>
    <w:p w:rsidR="00DE48A2" w:rsidRDefault="0097375C">
      <w:pPr>
        <w:pStyle w:val="Default"/>
        <w:ind w:firstLineChars="200" w:firstLine="640"/>
        <w:rPr>
          <w:rFonts w:ascii="仿宋" w:eastAsia="仿宋" w:hAnsi="仿宋" w:cs="Times New Roman"/>
          <w:color w:val="auto"/>
          <w:kern w:val="2"/>
          <w:sz w:val="32"/>
          <w:szCs w:val="32"/>
        </w:rPr>
      </w:pPr>
      <w:r>
        <w:rPr>
          <w:rFonts w:ascii="仿宋" w:eastAsia="仿宋" w:hAnsi="仿宋" w:cs="Times New Roman" w:hint="eastAsia"/>
          <w:color w:val="auto"/>
          <w:kern w:val="2"/>
          <w:sz w:val="32"/>
          <w:szCs w:val="32"/>
        </w:rPr>
        <w:t>年初预算11万元，支出决算11万元，完成年初预算数的100%，决算数与年初预算数持平。</w:t>
      </w:r>
    </w:p>
    <w:p w:rsidR="00DE48A2" w:rsidRDefault="0097375C">
      <w:pPr>
        <w:pStyle w:val="Default"/>
        <w:rPr>
          <w:rFonts w:hAnsi="黑体"/>
          <w:b/>
          <w:sz w:val="32"/>
          <w:szCs w:val="32"/>
        </w:rPr>
      </w:pPr>
      <w:r>
        <w:rPr>
          <w:rFonts w:hAnsi="黑体" w:hint="eastAsia"/>
          <w:b/>
          <w:sz w:val="32"/>
          <w:szCs w:val="32"/>
        </w:rPr>
        <w:t>六、一般公共预算财政拨款基本支出决算情况说明</w:t>
      </w:r>
    </w:p>
    <w:p w:rsidR="00DE48A2" w:rsidRDefault="0097375C">
      <w:pPr>
        <w:pStyle w:val="Default"/>
        <w:ind w:firstLineChars="200" w:firstLine="640"/>
        <w:rPr>
          <w:rFonts w:ascii="宋体" w:eastAsia="宋体" w:hAnsi="宋体"/>
          <w:sz w:val="32"/>
          <w:szCs w:val="32"/>
        </w:rPr>
      </w:pPr>
      <w:r>
        <w:rPr>
          <w:rFonts w:ascii="仿宋" w:eastAsia="仿宋" w:hAnsi="仿宋" w:cs="Times New Roman" w:hint="eastAsia"/>
          <w:color w:val="auto"/>
          <w:kern w:val="2"/>
          <w:sz w:val="32"/>
          <w:szCs w:val="32"/>
        </w:rPr>
        <w:t>2021年度财政拨款基本支出1380.45万元，其中：人员经费766.72万元，占基本支出的55.54%,主要是其他工资福利支出；公用经费613.74万元，占基本支出的44.46%，主要包括办公费、印刷费、咨询费、水费、电费、邮电费、物业管理费、差旅费、维修（护）费、租赁费、会议费、公务接待费、专用材料费、被装购置费、劳务费、工会经费、福利费、其他商品和服务支出等。</w:t>
      </w:r>
      <w:r>
        <w:rPr>
          <w:rFonts w:ascii="宋体" w:eastAsia="宋体" w:hAnsi="宋体" w:hint="eastAsia"/>
          <w:sz w:val="32"/>
          <w:szCs w:val="32"/>
        </w:rPr>
        <w:t xml:space="preserve">       </w:t>
      </w:r>
    </w:p>
    <w:p w:rsidR="00DE48A2" w:rsidRDefault="0097375C">
      <w:pPr>
        <w:pStyle w:val="Default"/>
        <w:rPr>
          <w:rFonts w:ascii="宋体" w:eastAsia="宋体" w:hAnsi="宋体"/>
          <w:sz w:val="32"/>
          <w:szCs w:val="32"/>
        </w:rPr>
      </w:pPr>
      <w:r>
        <w:rPr>
          <w:rFonts w:hAnsi="黑体" w:hint="eastAsia"/>
          <w:b/>
          <w:sz w:val="32"/>
          <w:szCs w:val="32"/>
        </w:rPr>
        <w:t>七、一般公共预算财政拨款三公经费支出决算情况说明</w:t>
      </w:r>
    </w:p>
    <w:p w:rsidR="00DE48A2" w:rsidRDefault="0097375C">
      <w:pPr>
        <w:pStyle w:val="Default"/>
        <w:rPr>
          <w:rFonts w:ascii="楷体" w:eastAsia="楷体" w:hAnsi="楷体"/>
          <w:b/>
          <w:sz w:val="32"/>
          <w:szCs w:val="32"/>
        </w:rPr>
      </w:pPr>
      <w:r>
        <w:rPr>
          <w:rFonts w:ascii="宋体" w:eastAsia="宋体" w:hAnsi="宋体" w:hint="eastAsia"/>
          <w:b/>
          <w:sz w:val="32"/>
          <w:szCs w:val="32"/>
        </w:rPr>
        <w:t xml:space="preserve">    </w:t>
      </w:r>
      <w:r>
        <w:rPr>
          <w:rFonts w:ascii="楷体" w:eastAsia="楷体" w:hAnsi="楷体" w:hint="eastAsia"/>
          <w:b/>
          <w:sz w:val="32"/>
          <w:szCs w:val="32"/>
        </w:rPr>
        <w:t>（一）“三公”经费财政拨款支出决算总体情况说明</w:t>
      </w:r>
    </w:p>
    <w:p w:rsidR="00DE48A2" w:rsidRDefault="0097375C">
      <w:pPr>
        <w:pStyle w:val="Default"/>
        <w:rPr>
          <w:rFonts w:ascii="宋体" w:eastAsia="宋体" w:hAnsi="宋体"/>
          <w:b/>
          <w:sz w:val="32"/>
          <w:szCs w:val="32"/>
        </w:rPr>
      </w:pPr>
      <w:r>
        <w:rPr>
          <w:rFonts w:ascii="宋体" w:eastAsia="宋体" w:hAnsi="宋体" w:hint="eastAsia"/>
          <w:b/>
          <w:sz w:val="32"/>
          <w:szCs w:val="32"/>
        </w:rPr>
        <w:t xml:space="preserve">    </w:t>
      </w:r>
      <w:r>
        <w:rPr>
          <w:rFonts w:ascii="仿宋" w:eastAsia="仿宋" w:hAnsi="仿宋" w:cs="Times New Roman" w:hint="eastAsia"/>
          <w:color w:val="auto"/>
          <w:kern w:val="2"/>
          <w:sz w:val="32"/>
          <w:szCs w:val="32"/>
        </w:rPr>
        <w:t>“三公”经费财政拨款支出预算为435万元，支出决算为434.42万元，完成预算的99.87%，其中：</w:t>
      </w:r>
    </w:p>
    <w:p w:rsidR="00DE48A2" w:rsidRDefault="0097375C">
      <w:pPr>
        <w:pStyle w:val="Default"/>
        <w:ind w:firstLineChars="200" w:firstLine="640"/>
        <w:rPr>
          <w:rFonts w:ascii="仿宋" w:eastAsia="仿宋" w:hAnsi="仿宋" w:cs="Times New Roman"/>
          <w:color w:val="auto"/>
          <w:kern w:val="2"/>
          <w:sz w:val="32"/>
          <w:szCs w:val="32"/>
        </w:rPr>
      </w:pPr>
      <w:r>
        <w:rPr>
          <w:rFonts w:ascii="仿宋" w:eastAsia="仿宋" w:hAnsi="仿宋" w:cs="Times New Roman" w:hint="eastAsia"/>
          <w:color w:val="auto"/>
          <w:kern w:val="2"/>
          <w:sz w:val="32"/>
          <w:szCs w:val="32"/>
        </w:rPr>
        <w:t>公务接待费支出预算为5万元，支出决算为4.43万元，完成预算的88.60%，</w:t>
      </w:r>
      <w:r>
        <w:rPr>
          <w:rFonts w:ascii="仿宋" w:eastAsia="仿宋" w:hAnsi="仿宋" w:cs="Times New Roman" w:hint="eastAsia"/>
          <w:color w:val="auto"/>
          <w:kern w:val="2"/>
          <w:sz w:val="32"/>
          <w:szCs w:val="32"/>
        </w:rPr>
        <w:lastRenderedPageBreak/>
        <w:t>决算数小于预算数的主要原因是减少的主要原因是：一、根据财政压减“一般性支出”的政策，严格管控公务接待费；二、受新冠肺炎疫情影响，公务接待减少。与上年支出9.56万元相比，减少5.13万元，减少53.66%，主要原因是受新冠肺炎疫情影响，公务接待减少。</w:t>
      </w:r>
    </w:p>
    <w:p w:rsidR="00DE48A2" w:rsidRDefault="0097375C">
      <w:pPr>
        <w:pStyle w:val="Default"/>
        <w:ind w:firstLineChars="200" w:firstLine="640"/>
        <w:rPr>
          <w:rFonts w:ascii="仿宋" w:eastAsia="仿宋" w:hAnsi="仿宋" w:cs="Times New Roman"/>
          <w:color w:val="auto"/>
          <w:kern w:val="2"/>
          <w:sz w:val="32"/>
          <w:szCs w:val="32"/>
        </w:rPr>
      </w:pPr>
      <w:r>
        <w:rPr>
          <w:rFonts w:ascii="仿宋" w:eastAsia="仿宋" w:hAnsi="仿宋" w:cs="Times New Roman" w:hint="eastAsia"/>
          <w:color w:val="auto"/>
          <w:kern w:val="2"/>
          <w:sz w:val="32"/>
          <w:szCs w:val="32"/>
        </w:rPr>
        <w:t>因公出国（境）支出预算为0万元，支出决算为0万元，主要原因是本单位无因公出国（境）计划。与上年情况相同。</w:t>
      </w:r>
    </w:p>
    <w:p w:rsidR="00DE48A2" w:rsidRDefault="0097375C">
      <w:pPr>
        <w:pStyle w:val="Default"/>
        <w:ind w:firstLineChars="200" w:firstLine="640"/>
        <w:rPr>
          <w:rFonts w:ascii="仿宋" w:eastAsia="仿宋" w:hAnsi="仿宋" w:cs="Times New Roman"/>
          <w:color w:val="auto"/>
          <w:kern w:val="2"/>
          <w:sz w:val="32"/>
          <w:szCs w:val="32"/>
        </w:rPr>
      </w:pPr>
      <w:r>
        <w:rPr>
          <w:rFonts w:ascii="仿宋" w:eastAsia="仿宋" w:hAnsi="仿宋" w:cs="Times New Roman" w:hint="eastAsia"/>
          <w:color w:val="auto"/>
          <w:kern w:val="2"/>
          <w:sz w:val="32"/>
          <w:szCs w:val="32"/>
        </w:rPr>
        <w:t>公务用车购置费及运行维护费支出预算为430万元，支出决算为430万元，完成预算的100%，决算数与年初预算数持平。与上年412万元相比，增加18万元，增加4.37%，主要原因是：一、2021年较上年新增1辆执勤执法车辆；二、2021年因上级勤务要求，公车使用率增加。</w:t>
      </w:r>
    </w:p>
    <w:p w:rsidR="00DE48A2" w:rsidRDefault="0097375C" w:rsidP="003609F0">
      <w:pPr>
        <w:pStyle w:val="Default"/>
        <w:ind w:firstLineChars="200" w:firstLine="643"/>
        <w:rPr>
          <w:rFonts w:ascii="仿宋" w:eastAsia="仿宋" w:hAnsi="仿宋" w:cs="Times New Roman"/>
          <w:color w:val="auto"/>
          <w:kern w:val="2"/>
          <w:sz w:val="32"/>
          <w:szCs w:val="32"/>
        </w:rPr>
      </w:pPr>
      <w:r>
        <w:rPr>
          <w:rFonts w:ascii="楷体" w:eastAsia="楷体" w:hAnsi="楷体" w:hint="eastAsia"/>
          <w:b/>
          <w:sz w:val="32"/>
          <w:szCs w:val="32"/>
        </w:rPr>
        <w:t>（二）“三公”经费财政拨款支出决算具体情况说明</w:t>
      </w:r>
    </w:p>
    <w:p w:rsidR="00DE48A2" w:rsidRDefault="0097375C">
      <w:pPr>
        <w:pStyle w:val="Default"/>
        <w:ind w:firstLineChars="200" w:firstLine="640"/>
        <w:rPr>
          <w:rFonts w:ascii="仿宋" w:eastAsia="仿宋" w:hAnsi="仿宋" w:cs="Times New Roman"/>
          <w:color w:val="auto"/>
          <w:kern w:val="2"/>
          <w:sz w:val="32"/>
          <w:szCs w:val="32"/>
        </w:rPr>
      </w:pPr>
      <w:r>
        <w:rPr>
          <w:rFonts w:ascii="仿宋" w:eastAsia="仿宋" w:hAnsi="仿宋" w:cs="Times New Roman" w:hint="eastAsia"/>
          <w:color w:val="auto"/>
          <w:kern w:val="2"/>
          <w:sz w:val="32"/>
          <w:szCs w:val="32"/>
        </w:rPr>
        <w:t>2021年度“三公”经费财政拨款支出决算中，公务接待费支出决算4.43万元，占1.02%，因公出国（境）费支出决算0万元，占0%，公务用车购置费及运行维护费支出决算430万元，占98.98%。其中：</w:t>
      </w:r>
    </w:p>
    <w:p w:rsidR="00DE48A2" w:rsidRDefault="0097375C">
      <w:pPr>
        <w:pStyle w:val="Default"/>
        <w:ind w:firstLineChars="250" w:firstLine="800"/>
        <w:rPr>
          <w:rFonts w:ascii="仿宋" w:eastAsia="仿宋" w:hAnsi="仿宋" w:cs="Times New Roman"/>
          <w:color w:val="auto"/>
          <w:kern w:val="2"/>
          <w:sz w:val="32"/>
          <w:szCs w:val="32"/>
        </w:rPr>
      </w:pPr>
      <w:r>
        <w:rPr>
          <w:rFonts w:ascii="仿宋" w:eastAsia="仿宋" w:hAnsi="仿宋" w:cs="Times New Roman" w:hint="eastAsia"/>
          <w:color w:val="auto"/>
          <w:kern w:val="2"/>
          <w:sz w:val="32"/>
          <w:szCs w:val="32"/>
        </w:rPr>
        <w:t>1、公务接待费支出决算为4.43万元，全年共接待来访团组19个、来宾232人次，主要是国内公务接待活动发生的接待支出。</w:t>
      </w:r>
    </w:p>
    <w:p w:rsidR="00DE48A2" w:rsidRDefault="0097375C">
      <w:pPr>
        <w:ind w:firstLineChars="250" w:firstLine="800"/>
        <w:rPr>
          <w:rFonts w:ascii="仿宋" w:eastAsia="仿宋" w:hAnsi="仿宋"/>
          <w:sz w:val="32"/>
          <w:szCs w:val="32"/>
        </w:rPr>
      </w:pPr>
      <w:r>
        <w:rPr>
          <w:rFonts w:ascii="仿宋" w:eastAsia="仿宋" w:hAnsi="仿宋" w:hint="eastAsia"/>
          <w:sz w:val="32"/>
          <w:szCs w:val="32"/>
        </w:rPr>
        <w:t>2、因公出国（境）费支出决算0万元，全年因公出国（境）团</w:t>
      </w:r>
      <w:r w:rsidR="00880B32">
        <w:rPr>
          <w:rFonts w:ascii="仿宋" w:eastAsia="仿宋" w:hAnsi="仿宋" w:hint="eastAsia"/>
          <w:sz w:val="32"/>
          <w:szCs w:val="32"/>
        </w:rPr>
        <w:t>组0个，因公出国（境）人数0人</w:t>
      </w:r>
      <w:r>
        <w:rPr>
          <w:rFonts w:ascii="仿宋" w:eastAsia="仿宋" w:hAnsi="仿宋" w:hint="eastAsia"/>
          <w:sz w:val="32"/>
          <w:szCs w:val="32"/>
        </w:rPr>
        <w:t>。</w:t>
      </w:r>
    </w:p>
    <w:p w:rsidR="00DE48A2" w:rsidRDefault="0097375C">
      <w:pPr>
        <w:ind w:firstLineChars="250" w:firstLine="800"/>
        <w:rPr>
          <w:rFonts w:ascii="仿宋" w:eastAsia="仿宋" w:hAnsi="仿宋"/>
          <w:sz w:val="32"/>
          <w:szCs w:val="32"/>
        </w:rPr>
      </w:pPr>
      <w:r>
        <w:rPr>
          <w:rFonts w:ascii="仿宋" w:eastAsia="仿宋" w:hAnsi="仿宋" w:hint="eastAsia"/>
          <w:sz w:val="32"/>
          <w:szCs w:val="32"/>
        </w:rPr>
        <w:t>3、公务用车购置费及运行维护费支出决算为430万元，</w:t>
      </w:r>
      <w:r w:rsidR="0060578C">
        <w:rPr>
          <w:rFonts w:ascii="仿宋" w:eastAsia="仿宋" w:hAnsi="仿宋" w:hint="eastAsia"/>
          <w:sz w:val="32"/>
          <w:szCs w:val="32"/>
        </w:rPr>
        <w:t>其中：公务用车购置费0万元，全年购置车辆0辆，</w:t>
      </w:r>
      <w:r>
        <w:rPr>
          <w:rFonts w:ascii="仿宋" w:eastAsia="仿宋" w:hAnsi="仿宋" w:hint="eastAsia"/>
          <w:sz w:val="32"/>
          <w:szCs w:val="32"/>
        </w:rPr>
        <w:t>公务用车运行维护费</w:t>
      </w:r>
      <w:r w:rsidR="0060578C">
        <w:rPr>
          <w:rFonts w:ascii="仿宋" w:eastAsia="仿宋" w:hAnsi="仿宋" w:hint="eastAsia"/>
          <w:sz w:val="32"/>
          <w:szCs w:val="32"/>
        </w:rPr>
        <w:t>430万元</w:t>
      </w:r>
      <w:r>
        <w:rPr>
          <w:rFonts w:ascii="仿宋" w:eastAsia="仿宋" w:hAnsi="仿宋" w:hint="eastAsia"/>
          <w:sz w:val="32"/>
          <w:szCs w:val="32"/>
        </w:rPr>
        <w:t>，主要是车辆维修、车辆保险及燃油支出，截止2021年12月31日，我单位开支财政拨款的公务用车保有量为83辆。</w:t>
      </w:r>
    </w:p>
    <w:p w:rsidR="00DE48A2" w:rsidRDefault="0097375C">
      <w:pPr>
        <w:rPr>
          <w:rFonts w:hAnsi="黑体"/>
          <w:b/>
          <w:sz w:val="32"/>
          <w:szCs w:val="32"/>
        </w:rPr>
      </w:pPr>
      <w:r>
        <w:rPr>
          <w:rFonts w:hAnsi="黑体" w:hint="eastAsia"/>
          <w:b/>
          <w:sz w:val="32"/>
          <w:szCs w:val="32"/>
        </w:rPr>
        <w:t>八、政府性基金预算收入支出决算情况</w:t>
      </w:r>
    </w:p>
    <w:p w:rsidR="00DE48A2" w:rsidRDefault="0097375C">
      <w:pPr>
        <w:pStyle w:val="Default"/>
        <w:rPr>
          <w:rFonts w:ascii="宋体" w:eastAsia="宋体" w:hAnsi="宋体"/>
          <w:i/>
          <w:color w:val="FF0000"/>
          <w:sz w:val="32"/>
          <w:szCs w:val="32"/>
        </w:rPr>
      </w:pPr>
      <w:r>
        <w:rPr>
          <w:rFonts w:ascii="宋体" w:eastAsia="宋体" w:hAnsi="宋体" w:hint="eastAsia"/>
          <w:sz w:val="32"/>
          <w:szCs w:val="32"/>
        </w:rPr>
        <w:t xml:space="preserve">    </w:t>
      </w:r>
      <w:r>
        <w:rPr>
          <w:rFonts w:ascii="仿宋" w:eastAsia="仿宋" w:hAnsi="仿宋" w:cs="Times New Roman" w:hint="eastAsia"/>
          <w:color w:val="auto"/>
          <w:kern w:val="2"/>
          <w:sz w:val="32"/>
          <w:szCs w:val="32"/>
        </w:rPr>
        <w:t>无政府性基金预算收入支出。因此，公开08表无数据。</w:t>
      </w:r>
    </w:p>
    <w:p w:rsidR="00DE48A2" w:rsidRDefault="0097375C">
      <w:pPr>
        <w:pStyle w:val="Default"/>
        <w:rPr>
          <w:rFonts w:hAnsi="黑体"/>
          <w:b/>
          <w:sz w:val="32"/>
          <w:szCs w:val="32"/>
        </w:rPr>
      </w:pPr>
      <w:r>
        <w:rPr>
          <w:rFonts w:hAnsi="黑体" w:hint="eastAsia"/>
          <w:b/>
          <w:sz w:val="32"/>
          <w:szCs w:val="32"/>
        </w:rPr>
        <w:lastRenderedPageBreak/>
        <w:t>九、关于机关运行经费支出说明</w:t>
      </w:r>
    </w:p>
    <w:p w:rsidR="00DE48A2" w:rsidRDefault="0097375C">
      <w:pPr>
        <w:pStyle w:val="Default"/>
        <w:ind w:firstLineChars="200" w:firstLine="640"/>
        <w:rPr>
          <w:rFonts w:ascii="仿宋" w:eastAsia="仿宋" w:hAnsi="仿宋" w:cs="Times New Roman"/>
          <w:color w:val="auto"/>
          <w:kern w:val="2"/>
          <w:sz w:val="32"/>
          <w:szCs w:val="32"/>
        </w:rPr>
      </w:pPr>
      <w:r>
        <w:rPr>
          <w:rFonts w:ascii="仿宋" w:eastAsia="仿宋" w:hAnsi="仿宋" w:cs="Times New Roman" w:hint="eastAsia"/>
          <w:color w:val="auto"/>
          <w:kern w:val="2"/>
          <w:sz w:val="32"/>
          <w:szCs w:val="32"/>
        </w:rPr>
        <w:t>本部门2021年度机关运行经费支出613.73万元，比上年决算数增加 1.72万元，增加0.28%。主要原因是：2021年新冠疫情相比2020年有所缓解，相关经费支出稍有增加。</w:t>
      </w:r>
    </w:p>
    <w:p w:rsidR="00DE48A2" w:rsidRDefault="0097375C">
      <w:pPr>
        <w:pStyle w:val="Default"/>
        <w:rPr>
          <w:rFonts w:hAnsi="黑体"/>
          <w:b/>
          <w:sz w:val="32"/>
          <w:szCs w:val="32"/>
        </w:rPr>
      </w:pPr>
      <w:r>
        <w:rPr>
          <w:rFonts w:hAnsi="黑体" w:hint="eastAsia"/>
          <w:b/>
          <w:sz w:val="32"/>
          <w:szCs w:val="32"/>
        </w:rPr>
        <w:t>十、一般性支出情况</w:t>
      </w:r>
    </w:p>
    <w:p w:rsidR="00DE48A2" w:rsidRDefault="0097375C">
      <w:pPr>
        <w:pStyle w:val="Default"/>
        <w:rPr>
          <w:rFonts w:ascii="仿宋" w:eastAsia="仿宋" w:hAnsi="仿宋" w:cs="Times New Roman"/>
          <w:color w:val="auto"/>
          <w:kern w:val="2"/>
          <w:sz w:val="32"/>
          <w:szCs w:val="32"/>
        </w:rPr>
      </w:pPr>
      <w:r>
        <w:rPr>
          <w:rFonts w:hAnsi="黑体" w:hint="eastAsia"/>
          <w:b/>
          <w:sz w:val="32"/>
          <w:szCs w:val="32"/>
        </w:rPr>
        <w:t xml:space="preserve">    </w:t>
      </w:r>
      <w:r>
        <w:rPr>
          <w:rFonts w:ascii="仿宋" w:eastAsia="仿宋" w:hAnsi="仿宋" w:cs="Times New Roman" w:hint="eastAsia"/>
          <w:color w:val="auto"/>
          <w:kern w:val="2"/>
          <w:sz w:val="32"/>
          <w:szCs w:val="32"/>
        </w:rPr>
        <w:t>2021年本部门开支会议费2.43万元，用于2021年公安交管春运总结会议，人数60人，内容为总结2021年春运工作总结；建党百年交安决战推进会，人数60人，内容为道路交通安全工作推进、部署；禁毒教育大会，人数80人，内容为禁毒教育工作推进、调度；节前安保工作会议，人数210人，法定节假日前夕道路交通安保工作部署、安排。支队党组书记述职大会，人数150人，内容为支队党组书记述职；队伍廉政防控会，人数100人，内容为党风廉政教育、通报。</w:t>
      </w:r>
    </w:p>
    <w:p w:rsidR="00DE48A2" w:rsidRDefault="0097375C">
      <w:pPr>
        <w:pStyle w:val="Default"/>
        <w:ind w:firstLineChars="200" w:firstLine="640"/>
        <w:rPr>
          <w:rFonts w:ascii="仿宋" w:eastAsia="仿宋" w:hAnsi="仿宋" w:cs="Times New Roman"/>
          <w:color w:val="auto"/>
          <w:kern w:val="2"/>
          <w:sz w:val="32"/>
          <w:szCs w:val="32"/>
        </w:rPr>
      </w:pPr>
      <w:r>
        <w:rPr>
          <w:rFonts w:ascii="仿宋" w:eastAsia="仿宋" w:hAnsi="仿宋" w:cs="Times New Roman" w:hint="eastAsia"/>
          <w:color w:val="auto"/>
          <w:kern w:val="2"/>
          <w:sz w:val="32"/>
          <w:szCs w:val="32"/>
        </w:rPr>
        <w:t xml:space="preserve"> 开支培训费9.58万元，用于开展警务实战技能培训，人数152人，内容为警务技能培训、警务技能实战考核等；新行政处罚法工作培训，人数200人，内容为学习、研讨新行政处罚法；重点警情应急处置培训，人数30人，内容为学习重点警情应急处置；事故处理培训，人数50人，内容为事故深度调查培训；发展党员培训，人数20人，内容为党员发展对象进行培训。 </w:t>
      </w:r>
    </w:p>
    <w:p w:rsidR="00DE48A2" w:rsidRDefault="0097375C">
      <w:pPr>
        <w:pStyle w:val="Default"/>
        <w:rPr>
          <w:rFonts w:hAnsi="黑体"/>
          <w:b/>
          <w:sz w:val="32"/>
          <w:szCs w:val="32"/>
        </w:rPr>
      </w:pPr>
      <w:r>
        <w:rPr>
          <w:rFonts w:hAnsi="黑体" w:hint="eastAsia"/>
          <w:b/>
          <w:sz w:val="32"/>
          <w:szCs w:val="32"/>
        </w:rPr>
        <w:t>十一、关于政府采购支出说明</w:t>
      </w:r>
    </w:p>
    <w:p w:rsidR="00DE48A2" w:rsidRDefault="0097375C">
      <w:pPr>
        <w:pStyle w:val="Default"/>
        <w:ind w:firstLineChars="200" w:firstLine="640"/>
        <w:rPr>
          <w:rFonts w:ascii="仿宋" w:eastAsia="仿宋" w:hAnsi="仿宋" w:cs="Times New Roman"/>
          <w:color w:val="auto"/>
          <w:kern w:val="2"/>
          <w:sz w:val="32"/>
          <w:szCs w:val="32"/>
        </w:rPr>
      </w:pPr>
      <w:r>
        <w:rPr>
          <w:rFonts w:ascii="仿宋" w:eastAsia="仿宋" w:hAnsi="仿宋" w:cs="Times New Roman" w:hint="eastAsia"/>
          <w:color w:val="auto"/>
          <w:kern w:val="2"/>
          <w:sz w:val="32"/>
          <w:szCs w:val="32"/>
        </w:rPr>
        <w:t>本部门2021年度政府采购支出总额474.39万元，其中：政府采购货物支出70.47万元，政府采购工程支出403.91万元</w:t>
      </w:r>
      <w:r w:rsidR="003609F0">
        <w:rPr>
          <w:rFonts w:ascii="仿宋" w:eastAsia="仿宋" w:hAnsi="仿宋" w:cs="Times New Roman" w:hint="eastAsia"/>
          <w:color w:val="auto"/>
          <w:kern w:val="2"/>
          <w:sz w:val="32"/>
          <w:szCs w:val="32"/>
        </w:rPr>
        <w:t>，政府采购服务支出0万元</w:t>
      </w:r>
      <w:r>
        <w:rPr>
          <w:rFonts w:ascii="仿宋" w:eastAsia="仿宋" w:hAnsi="仿宋" w:cs="Times New Roman" w:hint="eastAsia"/>
          <w:color w:val="auto"/>
          <w:kern w:val="2"/>
          <w:sz w:val="32"/>
          <w:szCs w:val="32"/>
        </w:rPr>
        <w:t>。授予中小企业合同金额474.39万元，占政府采购支出总额的100%，无授予小微企业合同金额。</w:t>
      </w:r>
    </w:p>
    <w:p w:rsidR="00DE48A2" w:rsidRDefault="0097375C">
      <w:pPr>
        <w:pStyle w:val="Default"/>
        <w:rPr>
          <w:rFonts w:hAnsi="黑体"/>
          <w:b/>
          <w:sz w:val="32"/>
          <w:szCs w:val="32"/>
        </w:rPr>
      </w:pPr>
      <w:r>
        <w:rPr>
          <w:rFonts w:hAnsi="黑体" w:hint="eastAsia"/>
          <w:b/>
          <w:sz w:val="32"/>
          <w:szCs w:val="32"/>
        </w:rPr>
        <w:t>十二、关于国有资产占用情况说明</w:t>
      </w:r>
    </w:p>
    <w:p w:rsidR="00DE48A2" w:rsidRDefault="0097375C">
      <w:pPr>
        <w:pStyle w:val="Default"/>
        <w:ind w:firstLineChars="200" w:firstLine="640"/>
        <w:rPr>
          <w:rFonts w:ascii="仿宋" w:eastAsia="仿宋" w:hAnsi="仿宋" w:cs="Times New Roman"/>
          <w:color w:val="auto"/>
          <w:kern w:val="2"/>
          <w:sz w:val="32"/>
          <w:szCs w:val="32"/>
        </w:rPr>
      </w:pPr>
      <w:r>
        <w:rPr>
          <w:rFonts w:ascii="仿宋" w:eastAsia="仿宋" w:hAnsi="仿宋" w:cs="Times New Roman" w:hint="eastAsia"/>
          <w:color w:val="auto"/>
          <w:kern w:val="2"/>
          <w:sz w:val="32"/>
          <w:szCs w:val="32"/>
        </w:rPr>
        <w:t>截至2021年12月31日，本单位共有车辆83辆，</w:t>
      </w:r>
      <w:r w:rsidR="003609F0">
        <w:rPr>
          <w:rFonts w:ascii="仿宋" w:eastAsia="仿宋" w:hAnsi="仿宋" w:cs="Times New Roman" w:hint="eastAsia"/>
          <w:color w:val="auto"/>
          <w:kern w:val="2"/>
          <w:sz w:val="32"/>
          <w:szCs w:val="32"/>
        </w:rPr>
        <w:t>全年购置车辆0辆，</w:t>
      </w:r>
      <w:r>
        <w:rPr>
          <w:rFonts w:ascii="仿宋" w:eastAsia="仿宋" w:hAnsi="仿宋" w:cs="Times New Roman" w:hint="eastAsia"/>
          <w:color w:val="auto"/>
          <w:kern w:val="2"/>
          <w:sz w:val="32"/>
          <w:szCs w:val="32"/>
        </w:rPr>
        <w:t>其中</w:t>
      </w:r>
      <w:r>
        <w:rPr>
          <w:rFonts w:ascii="仿宋" w:eastAsia="仿宋" w:hAnsi="仿宋" w:cs="Times New Roman" w:hint="eastAsia"/>
          <w:color w:val="auto"/>
          <w:kern w:val="2"/>
          <w:sz w:val="32"/>
          <w:szCs w:val="32"/>
        </w:rPr>
        <w:lastRenderedPageBreak/>
        <w:t>执法执勤用车83辆；单位无价值50万元以上通用设备以及单位价值100万元以上专业设备</w:t>
      </w:r>
      <w:bookmarkStart w:id="2" w:name="_GoBack"/>
      <w:bookmarkEnd w:id="2"/>
      <w:r>
        <w:rPr>
          <w:rFonts w:ascii="仿宋" w:eastAsia="仿宋" w:hAnsi="仿宋" w:cs="Times New Roman" w:hint="eastAsia"/>
          <w:color w:val="auto"/>
          <w:kern w:val="2"/>
          <w:sz w:val="32"/>
          <w:szCs w:val="32"/>
        </w:rPr>
        <w:t>。</w:t>
      </w:r>
    </w:p>
    <w:p w:rsidR="00DE48A2" w:rsidRDefault="0097375C">
      <w:pPr>
        <w:pStyle w:val="Default"/>
        <w:rPr>
          <w:rFonts w:hAnsi="黑体"/>
          <w:b/>
          <w:sz w:val="32"/>
          <w:szCs w:val="32"/>
        </w:rPr>
      </w:pPr>
      <w:r>
        <w:rPr>
          <w:rFonts w:hAnsi="黑体" w:hint="eastAsia"/>
          <w:b/>
          <w:sz w:val="32"/>
          <w:szCs w:val="32"/>
        </w:rPr>
        <w:t>十三、关于2021年度预算绩效情况的说明</w:t>
      </w:r>
    </w:p>
    <w:p w:rsidR="00DE48A2" w:rsidRDefault="0097375C">
      <w:pPr>
        <w:pStyle w:val="Default"/>
        <w:rPr>
          <w:rFonts w:ascii="仿宋" w:eastAsia="仿宋" w:hAnsi="仿宋" w:cs="Times New Roman"/>
          <w:color w:val="auto"/>
          <w:kern w:val="2"/>
          <w:sz w:val="32"/>
          <w:szCs w:val="32"/>
        </w:rPr>
      </w:pPr>
      <w:r>
        <w:rPr>
          <w:rFonts w:ascii="宋体" w:eastAsia="宋体" w:hAnsi="宋体" w:hint="eastAsia"/>
          <w:sz w:val="32"/>
          <w:szCs w:val="32"/>
        </w:rPr>
        <w:t xml:space="preserve">    </w:t>
      </w:r>
      <w:r>
        <w:rPr>
          <w:rFonts w:ascii="仿宋" w:eastAsia="仿宋" w:hAnsi="仿宋" w:cs="Times New Roman" w:hint="eastAsia"/>
          <w:color w:val="auto"/>
          <w:kern w:val="2"/>
          <w:sz w:val="32"/>
          <w:szCs w:val="32"/>
        </w:rPr>
        <w:t>本部门在收到《湖南省财政厅关于开展2021年度部门整体支出绩效自评工作的通知》后，迅速进行自评工作。本部门预算绩效管理开展情况、绩效目标和绩效评价报告等按照财政绩效部门要求已公开。</w:t>
      </w:r>
    </w:p>
    <w:p w:rsidR="00DE48A2" w:rsidRDefault="00DE48A2">
      <w:pPr>
        <w:pStyle w:val="Default"/>
        <w:rPr>
          <w:rFonts w:asciiTheme="minorEastAsia" w:eastAsiaTheme="minorEastAsia" w:hAnsiTheme="minorEastAsia"/>
          <w:sz w:val="32"/>
          <w:szCs w:val="32"/>
        </w:rPr>
      </w:pPr>
    </w:p>
    <w:p w:rsidR="00DE48A2" w:rsidRDefault="00DE48A2">
      <w:pPr>
        <w:pStyle w:val="Default"/>
        <w:rPr>
          <w:rFonts w:asciiTheme="minorEastAsia" w:eastAsiaTheme="minorEastAsia" w:hAnsiTheme="minorEastAsia"/>
          <w:sz w:val="32"/>
          <w:szCs w:val="32"/>
        </w:rPr>
      </w:pPr>
    </w:p>
    <w:p w:rsidR="00DE48A2" w:rsidRDefault="00DE48A2">
      <w:pPr>
        <w:pStyle w:val="Default"/>
        <w:rPr>
          <w:rFonts w:asciiTheme="minorEastAsia" w:eastAsiaTheme="minorEastAsia" w:hAnsiTheme="minorEastAsia"/>
          <w:sz w:val="32"/>
          <w:szCs w:val="32"/>
        </w:rPr>
      </w:pPr>
    </w:p>
    <w:p w:rsidR="00DE48A2" w:rsidRDefault="00DE48A2">
      <w:pPr>
        <w:pStyle w:val="Default"/>
        <w:rPr>
          <w:rFonts w:asciiTheme="minorEastAsia" w:eastAsiaTheme="minorEastAsia" w:hAnsiTheme="minorEastAsia"/>
          <w:sz w:val="32"/>
          <w:szCs w:val="32"/>
        </w:rPr>
      </w:pPr>
    </w:p>
    <w:p w:rsidR="00DE48A2" w:rsidRDefault="00DE48A2">
      <w:pPr>
        <w:pStyle w:val="Default"/>
        <w:rPr>
          <w:rFonts w:asciiTheme="minorEastAsia" w:eastAsiaTheme="minorEastAsia" w:hAnsiTheme="minorEastAsia"/>
          <w:sz w:val="32"/>
          <w:szCs w:val="32"/>
        </w:rPr>
      </w:pPr>
    </w:p>
    <w:p w:rsidR="00DE48A2" w:rsidRDefault="00DE48A2">
      <w:pPr>
        <w:pStyle w:val="Default"/>
        <w:jc w:val="center"/>
        <w:rPr>
          <w:sz w:val="72"/>
          <w:szCs w:val="72"/>
        </w:rPr>
      </w:pPr>
    </w:p>
    <w:p w:rsidR="00DE48A2" w:rsidRDefault="00DE48A2">
      <w:pPr>
        <w:pStyle w:val="Default"/>
        <w:jc w:val="center"/>
        <w:rPr>
          <w:sz w:val="72"/>
          <w:szCs w:val="72"/>
        </w:rPr>
      </w:pPr>
    </w:p>
    <w:p w:rsidR="00DE48A2" w:rsidRDefault="00DE48A2">
      <w:pPr>
        <w:pStyle w:val="Default"/>
        <w:jc w:val="center"/>
        <w:rPr>
          <w:sz w:val="72"/>
          <w:szCs w:val="72"/>
        </w:rPr>
      </w:pPr>
    </w:p>
    <w:p w:rsidR="00DE48A2" w:rsidRDefault="00DE48A2">
      <w:pPr>
        <w:pStyle w:val="Default"/>
        <w:jc w:val="center"/>
        <w:rPr>
          <w:sz w:val="72"/>
          <w:szCs w:val="72"/>
        </w:rPr>
      </w:pPr>
    </w:p>
    <w:p w:rsidR="00DE48A2" w:rsidRDefault="00DE48A2">
      <w:pPr>
        <w:pStyle w:val="Default"/>
        <w:rPr>
          <w:sz w:val="72"/>
          <w:szCs w:val="72"/>
        </w:rPr>
      </w:pPr>
    </w:p>
    <w:p w:rsidR="00DE48A2" w:rsidRDefault="00DE48A2">
      <w:pPr>
        <w:pStyle w:val="Default"/>
        <w:rPr>
          <w:sz w:val="72"/>
          <w:szCs w:val="72"/>
        </w:rPr>
      </w:pPr>
    </w:p>
    <w:p w:rsidR="00DE48A2" w:rsidRDefault="00DE48A2">
      <w:pPr>
        <w:pStyle w:val="Default"/>
        <w:jc w:val="center"/>
        <w:rPr>
          <w:sz w:val="72"/>
          <w:szCs w:val="72"/>
        </w:rPr>
      </w:pPr>
    </w:p>
    <w:p w:rsidR="00DE48A2" w:rsidRDefault="00DE48A2">
      <w:pPr>
        <w:pStyle w:val="Default"/>
        <w:jc w:val="center"/>
        <w:rPr>
          <w:sz w:val="72"/>
          <w:szCs w:val="72"/>
        </w:rPr>
      </w:pPr>
    </w:p>
    <w:p w:rsidR="00DE48A2" w:rsidRDefault="00DE48A2">
      <w:pPr>
        <w:pStyle w:val="Default"/>
        <w:jc w:val="center"/>
        <w:rPr>
          <w:sz w:val="72"/>
          <w:szCs w:val="72"/>
        </w:rPr>
      </w:pPr>
    </w:p>
    <w:p w:rsidR="00DE48A2" w:rsidRDefault="00DE48A2">
      <w:pPr>
        <w:pStyle w:val="Default"/>
        <w:jc w:val="center"/>
        <w:rPr>
          <w:sz w:val="72"/>
          <w:szCs w:val="72"/>
        </w:rPr>
      </w:pPr>
    </w:p>
    <w:p w:rsidR="00DE48A2" w:rsidRDefault="00DE48A2">
      <w:pPr>
        <w:pStyle w:val="Default"/>
        <w:jc w:val="center"/>
        <w:rPr>
          <w:sz w:val="72"/>
          <w:szCs w:val="72"/>
        </w:rPr>
      </w:pPr>
    </w:p>
    <w:p w:rsidR="00DE48A2" w:rsidRDefault="00DE48A2">
      <w:pPr>
        <w:pStyle w:val="Default"/>
        <w:jc w:val="center"/>
        <w:rPr>
          <w:sz w:val="72"/>
          <w:szCs w:val="72"/>
        </w:rPr>
      </w:pPr>
    </w:p>
    <w:p w:rsidR="00DE48A2" w:rsidRDefault="00DE48A2">
      <w:pPr>
        <w:pStyle w:val="Default"/>
        <w:jc w:val="center"/>
        <w:rPr>
          <w:sz w:val="72"/>
          <w:szCs w:val="72"/>
        </w:rPr>
      </w:pPr>
    </w:p>
    <w:p w:rsidR="00DE48A2" w:rsidRDefault="00DE48A2">
      <w:pPr>
        <w:pStyle w:val="Default"/>
        <w:jc w:val="center"/>
        <w:rPr>
          <w:sz w:val="72"/>
          <w:szCs w:val="72"/>
        </w:rPr>
      </w:pPr>
    </w:p>
    <w:p w:rsidR="00DE48A2" w:rsidRDefault="00DE48A2">
      <w:pPr>
        <w:pStyle w:val="Default"/>
        <w:jc w:val="center"/>
        <w:rPr>
          <w:sz w:val="72"/>
          <w:szCs w:val="72"/>
        </w:rPr>
      </w:pPr>
    </w:p>
    <w:p w:rsidR="00DE48A2" w:rsidRDefault="0097375C">
      <w:pPr>
        <w:pStyle w:val="Default"/>
        <w:jc w:val="center"/>
        <w:rPr>
          <w:sz w:val="72"/>
          <w:szCs w:val="72"/>
        </w:rPr>
      </w:pPr>
      <w:r>
        <w:rPr>
          <w:rFonts w:hint="eastAsia"/>
          <w:sz w:val="72"/>
          <w:szCs w:val="72"/>
        </w:rPr>
        <w:t>第四部分</w:t>
      </w:r>
    </w:p>
    <w:p w:rsidR="00DE48A2" w:rsidRDefault="00DE48A2">
      <w:pPr>
        <w:jc w:val="center"/>
        <w:rPr>
          <w:rFonts w:ascii="黑体" w:eastAsia="黑体" w:cs="黑体"/>
          <w:color w:val="000000"/>
          <w:kern w:val="0"/>
          <w:sz w:val="70"/>
          <w:szCs w:val="70"/>
        </w:rPr>
      </w:pPr>
    </w:p>
    <w:p w:rsidR="00DE48A2" w:rsidRDefault="0097375C">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DE48A2" w:rsidRDefault="0097375C">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DE48A2" w:rsidRDefault="0097375C">
      <w:pPr>
        <w:pStyle w:val="Default"/>
        <w:rPr>
          <w:rFonts w:ascii="仿宋" w:eastAsia="仿宋" w:hAnsi="仿宋"/>
          <w:sz w:val="32"/>
          <w:szCs w:val="32"/>
        </w:rPr>
      </w:pPr>
      <w:r>
        <w:rPr>
          <w:rFonts w:ascii="仿宋" w:eastAsia="仿宋" w:hAnsi="仿宋" w:hint="eastAsia"/>
          <w:sz w:val="32"/>
          <w:szCs w:val="32"/>
        </w:rPr>
        <w:lastRenderedPageBreak/>
        <w:t>一、财政拨款收入：指同级财政当年拨付的资金。</w:t>
      </w:r>
    </w:p>
    <w:p w:rsidR="00DE48A2" w:rsidRDefault="0097375C">
      <w:pPr>
        <w:pStyle w:val="Default"/>
        <w:rPr>
          <w:rFonts w:ascii="仿宋" w:eastAsia="仿宋" w:hAnsi="仿宋"/>
          <w:sz w:val="32"/>
          <w:szCs w:val="32"/>
        </w:rPr>
      </w:pPr>
      <w:r>
        <w:rPr>
          <w:rFonts w:ascii="仿宋" w:eastAsia="仿宋" w:hAnsi="仿宋" w:hint="eastAsia"/>
          <w:sz w:val="32"/>
          <w:szCs w:val="32"/>
        </w:rPr>
        <w:t xml:space="preserve">    二、事业收入：指事业单位开展专业业务活动及辅助活动所取得的收入。</w:t>
      </w:r>
    </w:p>
    <w:p w:rsidR="00DE48A2" w:rsidRDefault="0097375C">
      <w:pPr>
        <w:pStyle w:val="Default"/>
        <w:rPr>
          <w:rFonts w:ascii="仿宋" w:eastAsia="仿宋" w:hAnsi="仿宋"/>
          <w:sz w:val="32"/>
          <w:szCs w:val="32"/>
        </w:rPr>
      </w:pPr>
      <w:r>
        <w:rPr>
          <w:rFonts w:ascii="仿宋" w:eastAsia="仿宋" w:hAnsi="仿宋" w:hint="eastAsia"/>
          <w:sz w:val="32"/>
          <w:szCs w:val="32"/>
        </w:rPr>
        <w:t xml:space="preserve">    三、其他收入：指除上述 “财政拨款收入”、“事业收入”、“经营收入”等以外的收入。主要是按规定动用的售房收入、存款利息收入等。</w:t>
      </w:r>
    </w:p>
    <w:p w:rsidR="00DE48A2" w:rsidRDefault="0097375C">
      <w:pPr>
        <w:pStyle w:val="Default"/>
        <w:rPr>
          <w:rFonts w:ascii="仿宋" w:eastAsia="仿宋" w:hAnsi="仿宋"/>
          <w:sz w:val="32"/>
          <w:szCs w:val="32"/>
        </w:rPr>
      </w:pPr>
      <w:r>
        <w:rPr>
          <w:rFonts w:ascii="仿宋" w:eastAsia="仿宋" w:hAnsi="仿宋" w:hint="eastAsia"/>
          <w:sz w:val="32"/>
          <w:szCs w:val="32"/>
        </w:rPr>
        <w:t xml:space="preserve">    四、年初结转和结余：指以前年度尚未完成、结转到本年按有关规定继续使用的资金。</w:t>
      </w:r>
    </w:p>
    <w:p w:rsidR="00DE48A2" w:rsidRDefault="0097375C">
      <w:pPr>
        <w:pStyle w:val="Default"/>
        <w:rPr>
          <w:rFonts w:ascii="仿宋" w:eastAsia="仿宋" w:hAnsi="仿宋"/>
          <w:sz w:val="32"/>
          <w:szCs w:val="32"/>
        </w:rPr>
      </w:pPr>
      <w:r>
        <w:rPr>
          <w:rFonts w:ascii="仿宋" w:eastAsia="仿宋" w:hAnsi="仿宋" w:hint="eastAsia"/>
          <w:sz w:val="32"/>
          <w:szCs w:val="32"/>
        </w:rPr>
        <w:t xml:space="preserve">    五、年末结转和结余：指本年度或以前年度预算安排、因客观条件发生变化无法按原计划实施， 需延迟到以后年度按有关规定继续使用的资金。</w:t>
      </w:r>
    </w:p>
    <w:p w:rsidR="00DE48A2" w:rsidRDefault="0097375C">
      <w:pPr>
        <w:pStyle w:val="Default"/>
        <w:rPr>
          <w:rFonts w:ascii="仿宋" w:eastAsia="仿宋" w:hAnsi="仿宋"/>
          <w:sz w:val="32"/>
          <w:szCs w:val="32"/>
        </w:rPr>
      </w:pPr>
      <w:r>
        <w:rPr>
          <w:rFonts w:ascii="仿宋" w:eastAsia="仿宋" w:hAnsi="仿宋" w:hint="eastAsia"/>
          <w:sz w:val="32"/>
          <w:szCs w:val="32"/>
        </w:rPr>
        <w:t xml:space="preserve">    六、基本支出：指为保障机构正常运转、完成日常工作任务而发生的人员支出和公用支出。</w:t>
      </w:r>
    </w:p>
    <w:p w:rsidR="00DE48A2" w:rsidRDefault="0097375C">
      <w:pPr>
        <w:pStyle w:val="Default"/>
        <w:rPr>
          <w:rFonts w:ascii="仿宋" w:eastAsia="仿宋" w:hAnsi="仿宋"/>
          <w:sz w:val="32"/>
          <w:szCs w:val="32"/>
        </w:rPr>
      </w:pPr>
      <w:r>
        <w:rPr>
          <w:rFonts w:ascii="仿宋" w:eastAsia="仿宋" w:hAnsi="仿宋" w:hint="eastAsia"/>
          <w:sz w:val="32"/>
          <w:szCs w:val="32"/>
        </w:rPr>
        <w:t xml:space="preserve">    七、项目支出：指在基本支出之外为完成特定行政任务和事业发展目标所发生的支出。</w:t>
      </w:r>
    </w:p>
    <w:p w:rsidR="00DE48A2" w:rsidRDefault="0097375C">
      <w:pPr>
        <w:pStyle w:val="Default"/>
        <w:rPr>
          <w:rFonts w:ascii="仿宋" w:eastAsia="仿宋" w:hAnsi="仿宋"/>
          <w:sz w:val="32"/>
          <w:szCs w:val="32"/>
        </w:rPr>
      </w:pPr>
      <w:r>
        <w:rPr>
          <w:rFonts w:ascii="仿宋" w:eastAsia="仿宋" w:hAnsi="仿宋" w:hint="eastAsia"/>
          <w:sz w:val="32"/>
          <w:szCs w:val="32"/>
        </w:rPr>
        <w:t xml:space="preserve">    八、经营支出：指事业单位在专业业务活动及其辅助活动之外开展非独立核算经营活动发生的支出。</w:t>
      </w:r>
    </w:p>
    <w:p w:rsidR="00DE48A2" w:rsidRDefault="0097375C">
      <w:pPr>
        <w:pStyle w:val="Default"/>
        <w:rPr>
          <w:rFonts w:ascii="仿宋" w:eastAsia="仿宋" w:hAnsi="仿宋"/>
          <w:sz w:val="32"/>
          <w:szCs w:val="32"/>
        </w:rPr>
      </w:pPr>
      <w:r>
        <w:rPr>
          <w:rFonts w:ascii="仿宋" w:eastAsia="仿宋" w:hAnsi="仿宋" w:hint="eastAsia"/>
          <w:sz w:val="32"/>
          <w:szCs w:val="32"/>
        </w:rPr>
        <w:t xml:space="preserve">    九、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rsidR="00DE48A2" w:rsidRDefault="0097375C">
      <w:pPr>
        <w:pStyle w:val="Default"/>
        <w:rPr>
          <w:rFonts w:ascii="仿宋" w:eastAsia="仿宋" w:hAnsi="仿宋"/>
          <w:sz w:val="32"/>
          <w:szCs w:val="32"/>
        </w:rPr>
      </w:pPr>
      <w:r>
        <w:rPr>
          <w:rFonts w:ascii="仿宋" w:eastAsia="仿宋" w:hAnsi="仿宋" w:hint="eastAsia"/>
          <w:sz w:val="32"/>
          <w:szCs w:val="32"/>
        </w:rPr>
        <w:t xml:space="preserve">    十、“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DE48A2" w:rsidRDefault="00DE48A2">
      <w:pPr>
        <w:pStyle w:val="Default"/>
        <w:jc w:val="center"/>
        <w:rPr>
          <w:sz w:val="72"/>
          <w:szCs w:val="72"/>
        </w:rPr>
      </w:pPr>
    </w:p>
    <w:p w:rsidR="00DE48A2" w:rsidRDefault="00DE48A2">
      <w:pPr>
        <w:pStyle w:val="Default"/>
        <w:jc w:val="center"/>
        <w:rPr>
          <w:sz w:val="72"/>
          <w:szCs w:val="72"/>
        </w:rPr>
      </w:pPr>
    </w:p>
    <w:p w:rsidR="00DE48A2" w:rsidRDefault="00DE48A2">
      <w:pPr>
        <w:pStyle w:val="Default"/>
        <w:jc w:val="center"/>
        <w:rPr>
          <w:sz w:val="72"/>
          <w:szCs w:val="72"/>
        </w:rPr>
      </w:pPr>
    </w:p>
    <w:p w:rsidR="00DE48A2" w:rsidRDefault="00DE48A2">
      <w:pPr>
        <w:pStyle w:val="Default"/>
        <w:jc w:val="center"/>
        <w:rPr>
          <w:sz w:val="72"/>
          <w:szCs w:val="72"/>
        </w:rPr>
      </w:pPr>
    </w:p>
    <w:p w:rsidR="00DE48A2" w:rsidRDefault="00DE48A2">
      <w:pPr>
        <w:pStyle w:val="Default"/>
        <w:jc w:val="center"/>
        <w:rPr>
          <w:sz w:val="72"/>
          <w:szCs w:val="72"/>
        </w:rPr>
      </w:pPr>
    </w:p>
    <w:p w:rsidR="00DE48A2" w:rsidRDefault="00DE48A2">
      <w:pPr>
        <w:pStyle w:val="Default"/>
        <w:jc w:val="center"/>
        <w:rPr>
          <w:sz w:val="72"/>
          <w:szCs w:val="72"/>
        </w:rPr>
      </w:pPr>
    </w:p>
    <w:p w:rsidR="00DE48A2" w:rsidRDefault="00DE48A2">
      <w:pPr>
        <w:pStyle w:val="Default"/>
        <w:jc w:val="center"/>
        <w:rPr>
          <w:sz w:val="72"/>
          <w:szCs w:val="72"/>
        </w:rPr>
      </w:pPr>
    </w:p>
    <w:p w:rsidR="00DE48A2" w:rsidRDefault="00DE48A2">
      <w:pPr>
        <w:pStyle w:val="Default"/>
        <w:jc w:val="center"/>
        <w:rPr>
          <w:sz w:val="72"/>
          <w:szCs w:val="72"/>
        </w:rPr>
      </w:pPr>
    </w:p>
    <w:p w:rsidR="00DE48A2" w:rsidRDefault="0097375C">
      <w:pPr>
        <w:pStyle w:val="Default"/>
        <w:jc w:val="center"/>
        <w:rPr>
          <w:sz w:val="72"/>
          <w:szCs w:val="72"/>
        </w:rPr>
      </w:pPr>
      <w:r>
        <w:rPr>
          <w:rFonts w:hint="eastAsia"/>
          <w:sz w:val="72"/>
          <w:szCs w:val="72"/>
        </w:rPr>
        <w:t>第五部分</w:t>
      </w:r>
    </w:p>
    <w:p w:rsidR="00DE48A2" w:rsidRDefault="00DE48A2">
      <w:pPr>
        <w:jc w:val="center"/>
        <w:rPr>
          <w:rFonts w:ascii="黑体" w:eastAsia="黑体" w:cs="黑体"/>
          <w:color w:val="000000"/>
          <w:kern w:val="0"/>
          <w:sz w:val="70"/>
          <w:szCs w:val="70"/>
        </w:rPr>
      </w:pPr>
    </w:p>
    <w:p w:rsidR="00DE48A2" w:rsidRDefault="0097375C">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DE48A2" w:rsidRDefault="0097375C">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DE48A2" w:rsidRDefault="00DE48A2">
      <w:pPr>
        <w:jc w:val="center"/>
        <w:rPr>
          <w:rFonts w:ascii="黑体" w:eastAsia="黑体" w:cs="黑体"/>
          <w:color w:val="000000"/>
          <w:kern w:val="0"/>
          <w:sz w:val="70"/>
          <w:szCs w:val="70"/>
        </w:rPr>
      </w:pPr>
    </w:p>
    <w:p w:rsidR="00DE48A2" w:rsidRDefault="0097375C" w:rsidP="003609F0">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2021年度部门整体支出绩效评价报告</w:t>
      </w:r>
    </w:p>
    <w:p w:rsidR="00DE48A2" w:rsidRDefault="00DE48A2">
      <w:pPr>
        <w:ind w:firstLineChars="200" w:firstLine="640"/>
        <w:jc w:val="left"/>
        <w:rPr>
          <w:rFonts w:asciiTheme="minorEastAsia" w:hAnsiTheme="minorEastAsia" w:cs="黑体"/>
          <w:color w:val="000000"/>
          <w:kern w:val="0"/>
          <w:sz w:val="32"/>
          <w:szCs w:val="32"/>
        </w:rPr>
      </w:pPr>
    </w:p>
    <w:sectPr w:rsidR="00DE48A2" w:rsidSect="00DE48A2">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7E8" w:rsidRDefault="001A27E8" w:rsidP="003609F0">
      <w:r>
        <w:separator/>
      </w:r>
    </w:p>
  </w:endnote>
  <w:endnote w:type="continuationSeparator" w:id="0">
    <w:p w:rsidR="001A27E8" w:rsidRDefault="001A27E8" w:rsidP="003609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7E8" w:rsidRDefault="001A27E8" w:rsidP="003609F0">
      <w:r>
        <w:separator/>
      </w:r>
    </w:p>
  </w:footnote>
  <w:footnote w:type="continuationSeparator" w:id="0">
    <w:p w:rsidR="001A27E8" w:rsidRDefault="001A27E8" w:rsidP="003609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WVjODQyZmE2NzU0YTFmZmUyMzg2MjQ2MzUyZTkwY2MifQ=="/>
  </w:docVars>
  <w:rsids>
    <w:rsidRoot w:val="004506F9"/>
    <w:rsid w:val="0002229B"/>
    <w:rsid w:val="000273BD"/>
    <w:rsid w:val="000415B7"/>
    <w:rsid w:val="00041E3F"/>
    <w:rsid w:val="00055DAA"/>
    <w:rsid w:val="00061F7B"/>
    <w:rsid w:val="000658A3"/>
    <w:rsid w:val="00074155"/>
    <w:rsid w:val="000873EF"/>
    <w:rsid w:val="000A3F69"/>
    <w:rsid w:val="000E3404"/>
    <w:rsid w:val="00103957"/>
    <w:rsid w:val="00124A1F"/>
    <w:rsid w:val="00152C6D"/>
    <w:rsid w:val="00162D39"/>
    <w:rsid w:val="001678BD"/>
    <w:rsid w:val="00182373"/>
    <w:rsid w:val="001A27E8"/>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A7265"/>
    <w:rsid w:val="002E0A30"/>
    <w:rsid w:val="003130C4"/>
    <w:rsid w:val="00316C4B"/>
    <w:rsid w:val="0032192B"/>
    <w:rsid w:val="003479BD"/>
    <w:rsid w:val="003609F0"/>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0578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80B32"/>
    <w:rsid w:val="008A3E8D"/>
    <w:rsid w:val="009237C4"/>
    <w:rsid w:val="00944C48"/>
    <w:rsid w:val="00950252"/>
    <w:rsid w:val="00967F5D"/>
    <w:rsid w:val="0097375C"/>
    <w:rsid w:val="00976DEB"/>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D3A4B"/>
    <w:rsid w:val="00CE04C3"/>
    <w:rsid w:val="00CE76A0"/>
    <w:rsid w:val="00D148C6"/>
    <w:rsid w:val="00D17A8A"/>
    <w:rsid w:val="00D415BA"/>
    <w:rsid w:val="00D51550"/>
    <w:rsid w:val="00D63780"/>
    <w:rsid w:val="00D644EE"/>
    <w:rsid w:val="00D75489"/>
    <w:rsid w:val="00DD06FF"/>
    <w:rsid w:val="00DD5FE9"/>
    <w:rsid w:val="00DE48A2"/>
    <w:rsid w:val="00E00C7A"/>
    <w:rsid w:val="00E209CF"/>
    <w:rsid w:val="00E37D6C"/>
    <w:rsid w:val="00E55B68"/>
    <w:rsid w:val="00E67BE6"/>
    <w:rsid w:val="00E8683C"/>
    <w:rsid w:val="00EA2B72"/>
    <w:rsid w:val="00F74360"/>
    <w:rsid w:val="00FB462F"/>
    <w:rsid w:val="00FE16FA"/>
    <w:rsid w:val="00FE328A"/>
    <w:rsid w:val="00FE6269"/>
    <w:rsid w:val="00FF5CD6"/>
    <w:rsid w:val="08A84AEA"/>
    <w:rsid w:val="0C513DFF"/>
    <w:rsid w:val="0C93796F"/>
    <w:rsid w:val="0CB0477D"/>
    <w:rsid w:val="0D06094F"/>
    <w:rsid w:val="0D3F24F1"/>
    <w:rsid w:val="146213E2"/>
    <w:rsid w:val="15A8632C"/>
    <w:rsid w:val="201E0479"/>
    <w:rsid w:val="20705DAF"/>
    <w:rsid w:val="29B4513D"/>
    <w:rsid w:val="2D7137FE"/>
    <w:rsid w:val="32FD68A9"/>
    <w:rsid w:val="37435936"/>
    <w:rsid w:val="39AC4B09"/>
    <w:rsid w:val="3A2C5273"/>
    <w:rsid w:val="43301578"/>
    <w:rsid w:val="4F8F4D3D"/>
    <w:rsid w:val="4FBF4770"/>
    <w:rsid w:val="56220B5D"/>
    <w:rsid w:val="5B350B2F"/>
    <w:rsid w:val="64401A61"/>
    <w:rsid w:val="64627AA7"/>
    <w:rsid w:val="656A397F"/>
    <w:rsid w:val="684E5763"/>
    <w:rsid w:val="6A5B2408"/>
    <w:rsid w:val="72217233"/>
    <w:rsid w:val="734D69F1"/>
    <w:rsid w:val="7AC97FF4"/>
    <w:rsid w:val="7FB649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oa heading" w:semiHidden="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8A2"/>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oa heading"/>
    <w:basedOn w:val="a"/>
    <w:next w:val="a"/>
    <w:uiPriority w:val="99"/>
    <w:qFormat/>
    <w:rsid w:val="00DE48A2"/>
    <w:pPr>
      <w:spacing w:before="120" w:after="200" w:line="276" w:lineRule="auto"/>
    </w:pPr>
    <w:rPr>
      <w:rFonts w:ascii="Arial" w:hAnsi="Arial"/>
      <w:sz w:val="24"/>
      <w:szCs w:val="24"/>
    </w:rPr>
  </w:style>
  <w:style w:type="paragraph" w:styleId="a4">
    <w:name w:val="Balloon Text"/>
    <w:basedOn w:val="a"/>
    <w:link w:val="Char"/>
    <w:uiPriority w:val="99"/>
    <w:semiHidden/>
    <w:unhideWhenUsed/>
    <w:qFormat/>
    <w:rsid w:val="00DE48A2"/>
    <w:rPr>
      <w:sz w:val="18"/>
      <w:szCs w:val="18"/>
    </w:rPr>
  </w:style>
  <w:style w:type="paragraph" w:styleId="a5">
    <w:name w:val="footer"/>
    <w:basedOn w:val="a"/>
    <w:link w:val="Char0"/>
    <w:uiPriority w:val="99"/>
    <w:unhideWhenUsed/>
    <w:qFormat/>
    <w:rsid w:val="00DE48A2"/>
    <w:pPr>
      <w:tabs>
        <w:tab w:val="center" w:pos="4153"/>
        <w:tab w:val="right" w:pos="8306"/>
      </w:tabs>
      <w:snapToGrid w:val="0"/>
      <w:jc w:val="left"/>
    </w:pPr>
    <w:rPr>
      <w:sz w:val="18"/>
      <w:szCs w:val="18"/>
    </w:rPr>
  </w:style>
  <w:style w:type="paragraph" w:styleId="a6">
    <w:name w:val="header"/>
    <w:basedOn w:val="a"/>
    <w:link w:val="Char1"/>
    <w:uiPriority w:val="99"/>
    <w:unhideWhenUsed/>
    <w:qFormat/>
    <w:rsid w:val="00DE48A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qFormat/>
    <w:rsid w:val="00DE48A2"/>
    <w:rPr>
      <w:sz w:val="18"/>
      <w:szCs w:val="18"/>
    </w:rPr>
  </w:style>
  <w:style w:type="character" w:customStyle="1" w:styleId="Char0">
    <w:name w:val="页脚 Char"/>
    <w:basedOn w:val="a0"/>
    <w:link w:val="a5"/>
    <w:uiPriority w:val="99"/>
    <w:qFormat/>
    <w:rsid w:val="00DE48A2"/>
    <w:rPr>
      <w:sz w:val="18"/>
      <w:szCs w:val="18"/>
    </w:rPr>
  </w:style>
  <w:style w:type="paragraph" w:customStyle="1" w:styleId="Default">
    <w:name w:val="Default"/>
    <w:qFormat/>
    <w:rsid w:val="00DE48A2"/>
    <w:pPr>
      <w:widowControl w:val="0"/>
      <w:autoSpaceDE w:val="0"/>
      <w:autoSpaceDN w:val="0"/>
      <w:adjustRightInd w:val="0"/>
    </w:pPr>
    <w:rPr>
      <w:rFonts w:ascii="黑体" w:eastAsia="黑体" w:hAnsiTheme="minorHAnsi" w:cs="黑体"/>
      <w:color w:val="000000"/>
      <w:sz w:val="24"/>
      <w:szCs w:val="24"/>
    </w:rPr>
  </w:style>
  <w:style w:type="paragraph" w:styleId="a7">
    <w:name w:val="List Paragraph"/>
    <w:basedOn w:val="a"/>
    <w:uiPriority w:val="34"/>
    <w:qFormat/>
    <w:rsid w:val="00DE48A2"/>
    <w:pPr>
      <w:ind w:firstLineChars="200" w:firstLine="420"/>
    </w:pPr>
  </w:style>
  <w:style w:type="character" w:customStyle="1" w:styleId="Char">
    <w:name w:val="批注框文本 Char"/>
    <w:basedOn w:val="a0"/>
    <w:link w:val="a4"/>
    <w:uiPriority w:val="99"/>
    <w:semiHidden/>
    <w:qFormat/>
    <w:rsid w:val="00DE48A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9E53E-B63B-458F-9C5D-61C5D55F2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25</Pages>
  <Words>734</Words>
  <Characters>4187</Characters>
  <Application>Microsoft Office Word</Application>
  <DocSecurity>0</DocSecurity>
  <Lines>34</Lines>
  <Paragraphs>9</Paragraphs>
  <ScaleCrop>false</ScaleCrop>
  <Company>Microsoft</Company>
  <LinksUpToDate>false</LinksUpToDate>
  <CharactersWithSpaces>4912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李宗懋</cp:lastModifiedBy>
  <cp:revision>5</cp:revision>
  <cp:lastPrinted>2022-07-27T12:55:00Z</cp:lastPrinted>
  <dcterms:created xsi:type="dcterms:W3CDTF">2022-09-08T08:45:00Z</dcterms:created>
  <dcterms:modified xsi:type="dcterms:W3CDTF">2023-10-08T01:49:00Z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ED79B4FB56FE426B9D89BEFAF3EECC93</vt:lpwstr>
  </property>
</Properties>
</file>