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附件1</w:t>
      </w:r>
    </w:p>
    <w:p>
      <w:pPr>
        <w:spacing w:before="156" w:beforeLines="50" w:after="156" w:afterLines="50" w:line="560" w:lineRule="exact"/>
        <w:jc w:val="center"/>
        <w:rPr>
          <w:rFonts w:ascii="Times New Roman" w:hAnsi="Times New Roman" w:eastAsia="仿宋_GB2312"/>
          <w:kern w:val="0"/>
          <w:sz w:val="24"/>
        </w:rPr>
      </w:pPr>
      <w:r>
        <w:rPr>
          <w:rFonts w:ascii="Times New Roman" w:hAnsi="Times New Roman" w:eastAsia="方正小标宋_GBK"/>
          <w:kern w:val="0"/>
          <w:sz w:val="36"/>
          <w:szCs w:val="36"/>
        </w:rPr>
        <w:t>202</w:t>
      </w:r>
      <w:r>
        <w:rPr>
          <w:rFonts w:hint="eastAsia" w:ascii="Times New Roman" w:hAnsi="Times New Roman" w:eastAsia="方正小标宋_GBK"/>
          <w:kern w:val="0"/>
          <w:sz w:val="36"/>
          <w:szCs w:val="36"/>
          <w:lang w:val="en-US" w:eastAsia="zh-CN"/>
        </w:rPr>
        <w:t>1</w:t>
      </w:r>
      <w:r>
        <w:rPr>
          <w:rFonts w:ascii="Times New Roman" w:hAnsi="Times New Roman" w:eastAsia="方正小标宋_GBK"/>
          <w:kern w:val="0"/>
          <w:sz w:val="36"/>
          <w:szCs w:val="36"/>
        </w:rPr>
        <w:t>年度部门整体支出绩效评价基础数据表</w:t>
      </w:r>
    </w:p>
    <w:p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rPr>
          <w:rFonts w:ascii="Times New Roman" w:hAnsi="Times New Roman" w:eastAsia="仿宋_GB2312"/>
          <w:kern w:val="0"/>
          <w:sz w:val="24"/>
        </w:rPr>
      </w:pPr>
      <w:r>
        <w:rPr>
          <w:rFonts w:ascii="Times New Roman" w:hAnsi="Times New Roman" w:eastAsia="仿宋_GB2312"/>
          <w:kern w:val="0"/>
          <w:sz w:val="24"/>
        </w:rPr>
        <w:t xml:space="preserve">         </w:t>
      </w:r>
      <w:r>
        <w:rPr>
          <w:rFonts w:ascii="Times New Roman" w:hAnsi="Times New Roman" w:eastAsia="仿宋_GB2312"/>
          <w:kern w:val="0"/>
          <w:sz w:val="24"/>
        </w:rPr>
        <w:tab/>
      </w:r>
      <w:r>
        <w:rPr>
          <w:rFonts w:ascii="Times New Roman" w:hAnsi="Times New Roman" w:eastAsia="仿宋_GB2312"/>
          <w:kern w:val="0"/>
          <w:sz w:val="24"/>
        </w:rPr>
        <w:tab/>
      </w:r>
      <w:r>
        <w:rPr>
          <w:rFonts w:ascii="Times New Roman" w:hAnsi="Times New Roman" w:eastAsia="仿宋_GB2312"/>
          <w:kern w:val="0"/>
          <w:sz w:val="24"/>
        </w:rPr>
        <w:tab/>
      </w:r>
      <w:r>
        <w:rPr>
          <w:rFonts w:ascii="Times New Roman" w:hAnsi="Times New Roman" w:eastAsia="仿宋_GB2312"/>
          <w:kern w:val="0"/>
          <w:sz w:val="24"/>
        </w:rPr>
        <w:tab/>
      </w:r>
      <w:r>
        <w:rPr>
          <w:rFonts w:ascii="Times New Roman" w:hAnsi="Times New Roman" w:eastAsia="仿宋_GB2312"/>
          <w:kern w:val="0"/>
          <w:sz w:val="24"/>
        </w:rPr>
        <w:tab/>
      </w:r>
      <w:r>
        <w:rPr>
          <w:rFonts w:ascii="Times New Roman" w:hAnsi="Times New Roman" w:eastAsia="仿宋_GB2312"/>
          <w:kern w:val="0"/>
          <w:sz w:val="24"/>
        </w:rPr>
        <w:tab/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96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kern w:val="0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年实际在职人数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68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68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kern w:val="0"/>
                <w:szCs w:val="21"/>
                <w:lang w:val="en-US" w:eastAsia="zh-CN"/>
              </w:rPr>
              <w:t>2021</w:t>
            </w: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kern w:val="0"/>
                <w:szCs w:val="21"/>
                <w:lang w:val="en-US" w:eastAsia="zh-CN"/>
              </w:rPr>
              <w:t>2021</w:t>
            </w: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年预算数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kern w:val="0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right="200" w:rightChars="0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161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154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154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right="200" w:rightChars="0"/>
              <w:jc w:val="center"/>
              <w:rPr>
                <w:rFonts w:hint="default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153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150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150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right="200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right="200"/>
              <w:jc w:val="center"/>
              <w:rPr>
                <w:rFonts w:hint="default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153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150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150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724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728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640.16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1、业务工作专项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305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311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304.36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2、运行维护专项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419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417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335.8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201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221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221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114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119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119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lang w:val="en-US" w:eastAsia="zh-CN"/>
              </w:rPr>
              <w:t>44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lang w:val="en-US" w:eastAsia="zh-CN"/>
              </w:rPr>
              <w:t>48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lang w:val="en-US" w:eastAsia="zh-CN"/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楼堂馆所控制情况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（202</w:t>
            </w: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批复规模</w:t>
            </w: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（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㎡</w:t>
            </w: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实际规模（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㎡</w:t>
            </w: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预算投资（万元）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实际投资（万元）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0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厉行节约保障措施</w:t>
            </w:r>
          </w:p>
        </w:tc>
        <w:tc>
          <w:tcPr>
            <w:tcW w:w="61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硬化预算约束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；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净化支出项目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；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强化支出审核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；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深化厉行节约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；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固化信息公开机制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。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kern w:val="0"/>
          <w:sz w:val="22"/>
        </w:rPr>
      </w:pPr>
      <w:r>
        <w:rPr>
          <w:rFonts w:ascii="Times New Roman" w:hAnsi="Times New Roman" w:eastAsia="仿宋_GB2312"/>
          <w:kern w:val="0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kern w:val="0"/>
          <w:sz w:val="22"/>
        </w:rPr>
      </w:pPr>
    </w:p>
    <w:p>
      <w:pPr>
        <w:widowControl/>
        <w:spacing w:after="156" w:afterLines="5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仿宋_GB2312"/>
          <w:kern w:val="0"/>
          <w:sz w:val="22"/>
        </w:rPr>
        <w:br w:type="page"/>
      </w:r>
      <w:r>
        <w:rPr>
          <w:rFonts w:ascii="Times New Roman" w:hAnsi="Times New Roman" w:eastAsia="黑体"/>
          <w:sz w:val="32"/>
          <w:szCs w:val="32"/>
        </w:rPr>
        <w:t>附件2</w:t>
      </w:r>
    </w:p>
    <w:p>
      <w:pPr>
        <w:widowControl/>
        <w:spacing w:after="156" w:afterLines="50"/>
        <w:jc w:val="center"/>
        <w:rPr>
          <w:rFonts w:ascii="Times New Roman" w:hAnsi="Times New Roman" w:eastAsia="方正小标宋_GBK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_GBK"/>
          <w:color w:val="000000"/>
          <w:kern w:val="0"/>
          <w:sz w:val="36"/>
          <w:szCs w:val="36"/>
        </w:rPr>
        <w:t>202</w:t>
      </w:r>
      <w:r>
        <w:rPr>
          <w:rFonts w:hint="eastAsia" w:ascii="Times New Roman" w:hAnsi="Times New Roman" w:eastAsia="方正小标宋_GBK"/>
          <w:color w:val="000000"/>
          <w:kern w:val="0"/>
          <w:sz w:val="36"/>
          <w:szCs w:val="36"/>
          <w:lang w:val="en-US" w:eastAsia="zh-CN"/>
        </w:rPr>
        <w:t>1</w:t>
      </w:r>
      <w:r>
        <w:rPr>
          <w:rFonts w:ascii="Times New Roman" w:hAnsi="Times New Roman" w:eastAsia="方正小标宋_GBK"/>
          <w:color w:val="000000"/>
          <w:kern w:val="0"/>
          <w:sz w:val="36"/>
          <w:szCs w:val="36"/>
        </w:rPr>
        <w:t>年度部门整体支出绩效自评表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709"/>
        <w:gridCol w:w="850"/>
        <w:gridCol w:w="1560"/>
        <w:gridCol w:w="992"/>
        <w:gridCol w:w="992"/>
        <w:gridCol w:w="1276"/>
        <w:gridCol w:w="567"/>
        <w:gridCol w:w="850"/>
        <w:gridCol w:w="12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省级预算部门名称</w:t>
            </w:r>
          </w:p>
        </w:tc>
        <w:tc>
          <w:tcPr>
            <w:tcW w:w="900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湖南省公安厅交通管理局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算申请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年初</w:t>
            </w:r>
          </w:p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预算数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全年预算数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全年执行数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分值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执行率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1329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1329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1241.16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93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%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按收入性质分：</w:t>
            </w:r>
          </w:p>
        </w:tc>
        <w:tc>
          <w:tcPr>
            <w:tcW w:w="39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按支出性质分：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/>
                <w:kern w:val="0"/>
                <w:szCs w:val="21"/>
                <w:lang w:val="en-US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其中：  一般公共预算：</w:t>
            </w: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1329</w:t>
            </w:r>
          </w:p>
        </w:tc>
        <w:tc>
          <w:tcPr>
            <w:tcW w:w="39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其中：基本支出：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601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840" w:firstLineChars="400"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政府性基金拨款：</w:t>
            </w:r>
          </w:p>
        </w:tc>
        <w:tc>
          <w:tcPr>
            <w:tcW w:w="39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630" w:firstLineChars="300"/>
              <w:jc w:val="left"/>
              <w:rPr>
                <w:rFonts w:hint="default" w:ascii="Times New Roman" w:hAnsi="Times New Roman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项目支出：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640.16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纳入专户管理的非税收入拨款：</w:t>
            </w:r>
          </w:p>
        </w:tc>
        <w:tc>
          <w:tcPr>
            <w:tcW w:w="39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其他资金：</w:t>
            </w:r>
          </w:p>
        </w:tc>
        <w:tc>
          <w:tcPr>
            <w:tcW w:w="39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39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　坚决杜绝重特大道路交通事故，坚决遏制较大道路交通事故</w:t>
            </w:r>
          </w:p>
        </w:tc>
        <w:tc>
          <w:tcPr>
            <w:tcW w:w="39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完成，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全省道路交通安全形势持续稳中向好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5人以上事故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科信建设完成率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（30分）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交通事故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起数同比下降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12.22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交通事故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亡人数同比下降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33.33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交通事故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伤人数同比下降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≥10%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75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“两客一危”车辆检验率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99%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交通问题顽瘴痼疾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隐患整改率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 xml:space="preserve"> ≥98%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98.95%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9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社会群众满意度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≥90%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3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widowControl/>
        <w:spacing w:line="600" w:lineRule="exact"/>
        <w:jc w:val="left"/>
        <w:rPr>
          <w:rFonts w:hint="eastAsia" w:ascii="Times New Roman" w:hAnsi="Times New Roman"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附件3</w:t>
      </w:r>
      <w:r>
        <w:rPr>
          <w:rFonts w:hint="eastAsia" w:ascii="Times New Roman" w:hAnsi="Times New Roman" w:eastAsia="黑体"/>
          <w:sz w:val="32"/>
          <w:szCs w:val="32"/>
        </w:rPr>
        <w:t>-1</w:t>
      </w:r>
    </w:p>
    <w:p>
      <w:pPr>
        <w:widowControl/>
        <w:spacing w:line="600" w:lineRule="exact"/>
        <w:jc w:val="center"/>
        <w:rPr>
          <w:rFonts w:ascii="Times New Roman" w:hAnsi="Times New Roman" w:eastAsia="方正小标宋_GBK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_GBK"/>
          <w:color w:val="000000"/>
          <w:kern w:val="0"/>
          <w:sz w:val="36"/>
          <w:szCs w:val="36"/>
        </w:rPr>
        <w:t>202</w:t>
      </w:r>
      <w:r>
        <w:rPr>
          <w:rFonts w:hint="eastAsia" w:ascii="Times New Roman" w:hAnsi="Times New Roman" w:eastAsia="方正小标宋_GBK"/>
          <w:color w:val="000000"/>
          <w:kern w:val="0"/>
          <w:sz w:val="36"/>
          <w:szCs w:val="36"/>
          <w:lang w:val="en-US" w:eastAsia="zh-CN"/>
        </w:rPr>
        <w:t>1</w:t>
      </w:r>
      <w:r>
        <w:rPr>
          <w:rFonts w:ascii="Times New Roman" w:hAnsi="Times New Roman" w:eastAsia="方正小标宋_GBK"/>
          <w:color w:val="000000"/>
          <w:kern w:val="0"/>
          <w:sz w:val="36"/>
          <w:szCs w:val="36"/>
        </w:rPr>
        <w:t>年度项目支出绩效自评表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686"/>
        <w:gridCol w:w="850"/>
        <w:gridCol w:w="1701"/>
        <w:gridCol w:w="1418"/>
        <w:gridCol w:w="1559"/>
        <w:gridCol w:w="567"/>
        <w:gridCol w:w="709"/>
        <w:gridCol w:w="12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业务工作经费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6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湖南省公安厅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25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湖南省公安厅交通管理局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年初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全年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预算数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全年</w:t>
            </w:r>
          </w:p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执行率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311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304.36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  <w:t>98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%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kern w:val="0"/>
                <w:szCs w:val="21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46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1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6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保障交通安全管理工作的开展</w:t>
            </w:r>
          </w:p>
        </w:tc>
        <w:tc>
          <w:tcPr>
            <w:tcW w:w="41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exac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产出指标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  <w:t>春暑运督导慰问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  <w:t>优秀大队表彰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完成各项专项行动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  <w:t>各项鉴定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20" w:firstLineChars="200"/>
              <w:jc w:val="both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效益指标</w:t>
            </w:r>
          </w:p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（30分）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优化执法环境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75%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27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6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社会公众投诉率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≤1%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≤1%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  <w:jc w:val="center"/>
        </w:trPr>
        <w:tc>
          <w:tcPr>
            <w:tcW w:w="72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97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widowControl/>
        <w:spacing w:line="600" w:lineRule="exact"/>
        <w:jc w:val="left"/>
        <w:rPr>
          <w:rFonts w:ascii="Times New Roman" w:hAnsi="Times New Roman"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附件3</w:t>
      </w:r>
      <w:r>
        <w:rPr>
          <w:rFonts w:hint="eastAsia" w:ascii="Times New Roman" w:hAnsi="Times New Roman" w:eastAsia="黑体"/>
          <w:sz w:val="32"/>
          <w:szCs w:val="32"/>
        </w:rPr>
        <w:t>-2</w:t>
      </w:r>
    </w:p>
    <w:p>
      <w:pPr>
        <w:widowControl/>
        <w:spacing w:line="600" w:lineRule="exact"/>
        <w:jc w:val="center"/>
        <w:rPr>
          <w:rFonts w:ascii="Times New Roman" w:hAnsi="Times New Roman" w:eastAsia="方正小标宋_GBK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_GBK"/>
          <w:color w:val="000000"/>
          <w:kern w:val="0"/>
          <w:sz w:val="36"/>
          <w:szCs w:val="36"/>
        </w:rPr>
        <w:t>202</w:t>
      </w:r>
      <w:r>
        <w:rPr>
          <w:rFonts w:hint="eastAsia" w:ascii="Times New Roman" w:hAnsi="Times New Roman" w:eastAsia="方正小标宋_GBK"/>
          <w:color w:val="000000"/>
          <w:kern w:val="0"/>
          <w:sz w:val="36"/>
          <w:szCs w:val="36"/>
          <w:lang w:val="en-US" w:eastAsia="zh-CN"/>
        </w:rPr>
        <w:t>1</w:t>
      </w:r>
      <w:r>
        <w:rPr>
          <w:rFonts w:ascii="Times New Roman" w:hAnsi="Times New Roman" w:eastAsia="方正小标宋_GBK"/>
          <w:color w:val="000000"/>
          <w:kern w:val="0"/>
          <w:sz w:val="36"/>
          <w:szCs w:val="36"/>
        </w:rPr>
        <w:t>年度项目支出绩效自评表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103"/>
        <w:gridCol w:w="842"/>
        <w:gridCol w:w="1361"/>
        <w:gridCol w:w="1559"/>
        <w:gridCol w:w="1701"/>
        <w:gridCol w:w="765"/>
        <w:gridCol w:w="709"/>
        <w:gridCol w:w="14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945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运行维护经费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8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湖南省公安厅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28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湖南省公安厅交通管理局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105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9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年初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预算数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全年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全年</w:t>
            </w:r>
          </w:p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执行数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执行率</w:t>
            </w: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417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417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335.8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80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%</w:t>
            </w: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  <w:jc w:val="center"/>
        </w:trPr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417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  <w:jc w:val="center"/>
        </w:trPr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105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48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58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8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 xml:space="preserve">    完成交管业务科技信息化建设及升级改造; 保障高速交警营房及基地维修维护</w:t>
            </w:r>
          </w:p>
        </w:tc>
        <w:tc>
          <w:tcPr>
            <w:tcW w:w="458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部分完成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  <w:jc w:val="center"/>
        </w:trPr>
        <w:tc>
          <w:tcPr>
            <w:tcW w:w="10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产出指标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84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科信系统模块建设数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科信系统升级数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系统使用培训次数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维护达标率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已完成质量达标率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装备配发及时率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效益指标</w:t>
            </w:r>
          </w:p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（30分）</w:t>
            </w:r>
          </w:p>
        </w:tc>
        <w:tc>
          <w:tcPr>
            <w:tcW w:w="84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  <w:t>二次事故消除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未来可持续发挥作用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3年以上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3年以上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84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培训学员满意度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社会群众满意度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76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val="en-US" w:eastAsia="zh-CN"/>
              </w:rPr>
              <w:t>98</w:t>
            </w: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pStyle w:val="2"/>
        <w:rPr>
          <w:rFonts w:hint="eastAsia"/>
          <w:lang w:val="en-US" w:eastAsia="zh-CN"/>
        </w:rPr>
      </w:pPr>
    </w:p>
    <w:p>
      <w:pPr>
        <w:jc w:val="center"/>
        <w:rPr>
          <w:rFonts w:ascii="Times New Roman" w:hAnsi="Times New Roman" w:eastAsia="方正小标宋_GBK"/>
          <w:b/>
          <w:bCs/>
          <w:sz w:val="48"/>
          <w:szCs w:val="48"/>
        </w:rPr>
      </w:pPr>
      <w:r>
        <w:rPr>
          <w:rFonts w:hint="eastAsia" w:ascii="Times New Roman" w:hAnsi="Times New Roman" w:eastAsia="方正小标宋_GBK"/>
          <w:b/>
          <w:bCs/>
          <w:sz w:val="48"/>
          <w:szCs w:val="48"/>
        </w:rPr>
        <w:t>202</w:t>
      </w:r>
      <w:r>
        <w:rPr>
          <w:rFonts w:hint="eastAsia" w:ascii="Times New Roman" w:hAnsi="Times New Roman" w:eastAsia="方正小标宋_GBK"/>
          <w:b/>
          <w:bCs/>
          <w:sz w:val="48"/>
          <w:szCs w:val="48"/>
          <w:lang w:val="en-US" w:eastAsia="zh-CN"/>
        </w:rPr>
        <w:t>1</w:t>
      </w:r>
      <w:r>
        <w:rPr>
          <w:rFonts w:ascii="Times New Roman" w:hAnsi="Times New Roman" w:eastAsia="方正小标宋_GBK"/>
          <w:b/>
          <w:bCs/>
          <w:sz w:val="48"/>
          <w:szCs w:val="48"/>
        </w:rPr>
        <w:t>年度</w:t>
      </w:r>
      <w:r>
        <w:rPr>
          <w:rFonts w:hint="eastAsia" w:ascii="Times New Roman" w:hAnsi="Times New Roman" w:eastAsia="方正小标宋_GBK"/>
          <w:b/>
          <w:bCs/>
          <w:sz w:val="48"/>
          <w:szCs w:val="48"/>
        </w:rPr>
        <w:t>湖南省</w:t>
      </w:r>
      <w:r>
        <w:rPr>
          <w:rFonts w:hint="eastAsia" w:ascii="Times New Roman" w:hAnsi="Times New Roman" w:eastAsia="方正小标宋_GBK"/>
          <w:b/>
          <w:bCs/>
          <w:sz w:val="48"/>
          <w:szCs w:val="48"/>
          <w:lang w:eastAsia="zh-CN"/>
        </w:rPr>
        <w:t>高速公路交通警察局张家界支队</w:t>
      </w:r>
      <w:r>
        <w:rPr>
          <w:rFonts w:ascii="Times New Roman" w:hAnsi="Times New Roman" w:eastAsia="方正小标宋_GBK"/>
          <w:b/>
          <w:bCs/>
          <w:sz w:val="48"/>
          <w:szCs w:val="48"/>
        </w:rPr>
        <w:t>整体支出绩效自评报告</w:t>
      </w:r>
    </w:p>
    <w:p>
      <w:pPr>
        <w:jc w:val="center"/>
        <w:rPr>
          <w:rFonts w:ascii="Times New Roman" w:hAnsi="Times New Roman" w:eastAsia="楷体_GB2312"/>
          <w:b/>
          <w:sz w:val="32"/>
          <w:szCs w:val="32"/>
        </w:rPr>
      </w:pPr>
    </w:p>
    <w:p>
      <w:pPr>
        <w:jc w:val="center"/>
        <w:rPr>
          <w:rFonts w:ascii="Times New Roman" w:hAnsi="Times New Roman" w:eastAsia="楷体_GB2312"/>
          <w:b/>
          <w:sz w:val="32"/>
          <w:szCs w:val="32"/>
        </w:rPr>
      </w:pPr>
    </w:p>
    <w:p>
      <w:pPr>
        <w:jc w:val="center"/>
        <w:rPr>
          <w:rFonts w:ascii="Times New Roman" w:hAnsi="Times New Roman" w:eastAsia="楷体_GB2312"/>
          <w:b/>
          <w:sz w:val="32"/>
          <w:szCs w:val="32"/>
        </w:rPr>
      </w:pPr>
    </w:p>
    <w:p>
      <w:pPr>
        <w:jc w:val="center"/>
        <w:rPr>
          <w:rFonts w:ascii="Times New Roman" w:hAnsi="Times New Roman" w:eastAsia="楷体_GB2312"/>
          <w:b/>
          <w:sz w:val="32"/>
          <w:szCs w:val="32"/>
        </w:rPr>
      </w:pPr>
    </w:p>
    <w:p>
      <w:pPr>
        <w:jc w:val="center"/>
        <w:rPr>
          <w:rFonts w:ascii="Times New Roman" w:hAnsi="Times New Roman" w:eastAsia="楷体_GB2312"/>
          <w:b/>
          <w:sz w:val="32"/>
          <w:szCs w:val="32"/>
        </w:rPr>
      </w:pPr>
    </w:p>
    <w:p>
      <w:pPr>
        <w:jc w:val="center"/>
        <w:rPr>
          <w:rFonts w:ascii="Times New Roman" w:hAnsi="Times New Roman" w:eastAsia="楷体_GB2312"/>
          <w:b/>
          <w:sz w:val="32"/>
          <w:szCs w:val="32"/>
        </w:rPr>
      </w:pPr>
    </w:p>
    <w:p>
      <w:pPr>
        <w:jc w:val="center"/>
        <w:rPr>
          <w:rFonts w:ascii="Times New Roman" w:hAnsi="Times New Roman" w:eastAsia="黑体"/>
          <w:sz w:val="32"/>
          <w:szCs w:val="32"/>
        </w:rPr>
      </w:pPr>
    </w:p>
    <w:p>
      <w:pPr>
        <w:rPr>
          <w:rFonts w:ascii="Times New Roman" w:hAnsi="Times New Roman" w:eastAsia="黑体"/>
          <w:sz w:val="32"/>
          <w:szCs w:val="32"/>
        </w:rPr>
      </w:pPr>
    </w:p>
    <w:p>
      <w:pPr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湖南省高速公路交通警察局张家界支队</w:t>
      </w:r>
      <w:r>
        <w:rPr>
          <w:rFonts w:ascii="Times New Roman" w:hAnsi="Times New Roman" w:eastAsia="黑体"/>
          <w:sz w:val="32"/>
          <w:szCs w:val="32"/>
        </w:rPr>
        <w:t>（盖章）</w:t>
      </w:r>
    </w:p>
    <w:p>
      <w:pPr>
        <w:spacing w:line="600" w:lineRule="exact"/>
        <w:jc w:val="center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年  月  日</w:t>
      </w:r>
    </w:p>
    <w:p>
      <w:pPr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</w:p>
    <w:p>
      <w:pPr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</w:p>
    <w:p>
      <w:pPr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</w:p>
    <w:p>
      <w:pPr>
        <w:pStyle w:val="2"/>
        <w:rPr>
          <w:rFonts w:hint="eastAsia" w:ascii="Times New Roman" w:hAnsi="Times New Roman" w:eastAsia="仿宋_GB2312"/>
          <w:sz w:val="32"/>
          <w:szCs w:val="32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</w:p>
    <w:p>
      <w:pPr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</w:p>
    <w:p>
      <w:pPr>
        <w:ind w:firstLine="320" w:firstLineChars="100"/>
        <w:rPr>
          <w:rFonts w:hint="eastAsia"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一、部门（单位）基本情况</w:t>
      </w:r>
    </w:p>
    <w:p>
      <w:pPr>
        <w:snapToGrid w:val="0"/>
        <w:spacing w:line="54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湖南省高速公路交通警察局张家界支队是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副处级单位，是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省公安厅交通管理局下属主管高速公路交通秩序和安全的职能部门，现有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个内设机构，即“4科室”（办公室、政工室、交管科、法制科）、“3大队”（永定大队、慈利大队、桑植大队）、“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中队”（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阳和中队、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天门山中队）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另加交通管理局纪委派驻支队纪检监察组。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本支队主要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负责张家界高速公路公安道路交通管理工作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，维护高速公路</w:t>
      </w:r>
      <w:r>
        <w:rPr>
          <w:rFonts w:hint="eastAsia" w:ascii="仿宋_GB2312" w:hAnsi="仿宋_GB2312" w:eastAsia="仿宋_GB2312" w:cs="仿宋_GB2312"/>
          <w:sz w:val="32"/>
          <w:szCs w:val="32"/>
        </w:rPr>
        <w:t>交通秩序，依法查处交通违法行为，预防和处理交通事故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二、一般公共预算支出情况</w:t>
      </w:r>
    </w:p>
    <w:p>
      <w:pPr>
        <w:widowControl/>
        <w:spacing w:line="600" w:lineRule="exact"/>
        <w:ind w:firstLine="643" w:firstLineChars="200"/>
        <w:rPr>
          <w:rFonts w:hint="eastAsia"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（一）基本支出情况</w:t>
      </w:r>
    </w:p>
    <w:p>
      <w:pPr>
        <w:snapToGrid w:val="0"/>
        <w:spacing w:line="54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年度全总队</w:t>
      </w:r>
      <w:r>
        <w:rPr>
          <w:rFonts w:ascii="仿宋_GB2312" w:hAnsi="仿宋" w:eastAsia="仿宋_GB2312"/>
          <w:sz w:val="32"/>
          <w:szCs w:val="32"/>
        </w:rPr>
        <w:t>一般公共预算支出</w:t>
      </w:r>
      <w:r>
        <w:rPr>
          <w:rFonts w:hint="eastAsia" w:ascii="仿宋_GB2312" w:hAnsi="仿宋" w:eastAsia="仿宋_GB2312"/>
          <w:sz w:val="32"/>
          <w:szCs w:val="32"/>
        </w:rPr>
        <w:t>中基本支出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601</w:t>
      </w:r>
      <w:r>
        <w:rPr>
          <w:rFonts w:hint="eastAsia" w:ascii="仿宋_GB2312" w:hAnsi="仿宋" w:eastAsia="仿宋_GB2312"/>
          <w:sz w:val="32"/>
          <w:szCs w:val="32"/>
        </w:rPr>
        <w:t>万元，其中人员经费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380</w:t>
      </w:r>
      <w:r>
        <w:rPr>
          <w:rFonts w:hint="eastAsia" w:ascii="仿宋_GB2312" w:hAnsi="仿宋" w:eastAsia="仿宋_GB2312"/>
          <w:sz w:val="32"/>
          <w:szCs w:val="32"/>
        </w:rPr>
        <w:t>万元、日常公用经费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218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、培训类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（二）项目支出情况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年度全总队</w:t>
      </w:r>
      <w:r>
        <w:rPr>
          <w:rFonts w:ascii="仿宋_GB2312" w:hAnsi="仿宋" w:eastAsia="仿宋_GB2312"/>
          <w:sz w:val="32"/>
          <w:szCs w:val="32"/>
        </w:rPr>
        <w:t>一般公共预算支出</w:t>
      </w:r>
      <w:r>
        <w:rPr>
          <w:rFonts w:hint="eastAsia" w:ascii="仿宋_GB2312" w:hAnsi="仿宋" w:eastAsia="仿宋_GB2312"/>
          <w:sz w:val="32"/>
          <w:szCs w:val="32"/>
        </w:rPr>
        <w:t>中项目支出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640.16</w:t>
      </w:r>
      <w:r>
        <w:rPr>
          <w:rFonts w:hint="eastAsia" w:ascii="仿宋_GB2312" w:hAnsi="仿宋" w:eastAsia="仿宋_GB2312"/>
          <w:sz w:val="32"/>
          <w:szCs w:val="32"/>
        </w:rPr>
        <w:t>万元，其中执法办案类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576.8</w:t>
      </w:r>
      <w:r>
        <w:rPr>
          <w:rFonts w:hint="eastAsia" w:ascii="仿宋_GB2312" w:hAnsi="仿宋" w:eastAsia="仿宋_GB2312"/>
          <w:sz w:val="32"/>
          <w:szCs w:val="32"/>
        </w:rPr>
        <w:t>万元、信息化建设类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63.36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三、政府性基金预算支出情况</w:t>
      </w:r>
    </w:p>
    <w:p>
      <w:pPr>
        <w:pStyle w:val="5"/>
        <w:spacing w:line="540" w:lineRule="exact"/>
        <w:ind w:firstLine="640"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本支队无此项开支。</w:t>
      </w:r>
    </w:p>
    <w:p>
      <w:pPr>
        <w:widowControl/>
        <w:spacing w:line="600" w:lineRule="exact"/>
        <w:ind w:firstLine="640" w:firstLineChars="20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四、部门整体支出绩效情况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仿宋_GB2312"/>
          <w:sz w:val="32"/>
          <w:szCs w:val="32"/>
        </w:rPr>
        <w:t>年，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在总队、高警局党委的正确领导</w:t>
      </w:r>
      <w:r>
        <w:rPr>
          <w:rFonts w:ascii="Times New Roman" w:hAnsi="Times New Roman" w:eastAsia="仿宋_GB2312"/>
          <w:sz w:val="32"/>
          <w:szCs w:val="32"/>
        </w:rPr>
        <w:t>下，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我支队</w:t>
      </w:r>
      <w:r>
        <w:rPr>
          <w:rFonts w:ascii="Times New Roman" w:hAnsi="Times New Roman" w:eastAsia="仿宋_GB2312"/>
          <w:sz w:val="32"/>
          <w:szCs w:val="32"/>
        </w:rPr>
        <w:t>始终以“四个大抓”警务战略为牵引</w:t>
      </w:r>
      <w:r>
        <w:rPr>
          <w:rFonts w:hint="eastAsia" w:ascii="Times New Roman" w:hAnsi="Times New Roman" w:eastAsia="仿宋_GB2312"/>
          <w:sz w:val="32"/>
          <w:szCs w:val="32"/>
        </w:rPr>
        <w:t>，</w:t>
      </w:r>
      <w:r>
        <w:rPr>
          <w:rFonts w:ascii="Times New Roman" w:hAnsi="Times New Roman" w:eastAsia="仿宋_GB2312"/>
          <w:kern w:val="0"/>
          <w:sz w:val="32"/>
          <w:szCs w:val="32"/>
        </w:rPr>
        <w:t>紧紧围</w:t>
      </w:r>
      <w:r>
        <w:rPr>
          <w:rFonts w:ascii="Times New Roman" w:hAnsi="Times New Roman" w:eastAsia="仿宋_GB2312"/>
          <w:sz w:val="32"/>
          <w:szCs w:val="32"/>
        </w:rPr>
        <w:t>绕“坚决杜绝重特大道路交通事故，坚决遏制较大道路交通事故”的总目标，以“压事故、保畅通、强能力、严问责”为总要求，以深化顽瘴痼疾集中整治和县域道路交通安全风险防控为总抓手，以提升道路交通安全治理能力现代化为总支撑，有力确保了全省道路交通安全形势持续稳中向好。</w:t>
      </w:r>
      <w:r>
        <w:rPr>
          <w:rFonts w:ascii="Times New Roman" w:hAnsi="Times New Roman" w:eastAsia="仿宋_GB2312"/>
          <w:kern w:val="0"/>
          <w:sz w:val="32"/>
          <w:szCs w:val="32"/>
        </w:rPr>
        <w:t>全年共</w:t>
      </w:r>
      <w:r>
        <w:rPr>
          <w:rFonts w:ascii="Times New Roman" w:hAnsi="Times New Roman" w:eastAsia="仿宋_GB2312"/>
          <w:sz w:val="32"/>
          <w:szCs w:val="32"/>
        </w:rPr>
        <w:t>发生亡人交通事故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327</w:t>
      </w:r>
      <w:r>
        <w:rPr>
          <w:rFonts w:ascii="Times New Roman" w:hAnsi="Times New Roman" w:eastAsia="仿宋_GB2312"/>
          <w:sz w:val="32"/>
          <w:szCs w:val="32"/>
        </w:rPr>
        <w:t>起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、</w:t>
      </w:r>
      <w:r>
        <w:rPr>
          <w:rFonts w:ascii="Times New Roman" w:hAnsi="Times New Roman" w:eastAsia="仿宋_GB2312"/>
          <w:sz w:val="32"/>
          <w:szCs w:val="32"/>
        </w:rPr>
        <w:t>同比分别下降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17.21</w:t>
      </w:r>
      <w:r>
        <w:rPr>
          <w:rFonts w:ascii="Times New Roman" w:hAnsi="Times New Roman" w:eastAsia="仿宋_GB2312"/>
          <w:sz w:val="32"/>
          <w:szCs w:val="32"/>
        </w:rPr>
        <w:t>%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/>
          <w:sz w:val="32"/>
          <w:szCs w:val="32"/>
        </w:rPr>
        <w:t>死亡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仿宋_GB2312"/>
          <w:sz w:val="32"/>
          <w:szCs w:val="32"/>
        </w:rPr>
        <w:t>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、同比持平，</w:t>
      </w:r>
      <w:r>
        <w:rPr>
          <w:rFonts w:ascii="Times New Roman" w:hAnsi="Times New Roman" w:eastAsia="仿宋_GB2312"/>
          <w:sz w:val="32"/>
          <w:szCs w:val="32"/>
        </w:rPr>
        <w:t>受伤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sz w:val="32"/>
          <w:szCs w:val="32"/>
        </w:rPr>
        <w:t>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、同比下降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20%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，全年未发生一起较大以上交通事故</w:t>
      </w:r>
      <w:r>
        <w:rPr>
          <w:rFonts w:ascii="Times New Roman" w:hAnsi="Times New Roman" w:eastAsia="仿宋_GB2312"/>
          <w:sz w:val="32"/>
          <w:szCs w:val="32"/>
        </w:rPr>
        <w:t>。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我支队在全局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14个支队中虽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车流量最小、管辖里程最短，但在支队党委的正确决策和全体民警任劳任怨、奋勇争先的努力工作下，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2021年我支队年终业务考评数据名列全局第一。</w:t>
      </w:r>
    </w:p>
    <w:p>
      <w:pPr>
        <w:pStyle w:val="5"/>
        <w:spacing w:line="540" w:lineRule="exact"/>
        <w:ind w:firstLine="579" w:firstLineChars="181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五、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spacing w:line="540" w:lineRule="exact"/>
        <w:ind w:firstLine="640" w:firstLineChars="200"/>
        <w:jc w:val="left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在预算执行过程中存在执行偏离绩效目标的情况，主要体现在以下几个方面：</w:t>
      </w:r>
      <w:r>
        <w:rPr>
          <w:rFonts w:hint="eastAsia" w:ascii="Times New Roman" w:hAnsi="Times New Roman" w:eastAsia="仿宋_GB2312"/>
          <w:b/>
          <w:sz w:val="32"/>
          <w:szCs w:val="32"/>
        </w:rPr>
        <w:t>一是</w:t>
      </w:r>
      <w:r>
        <w:rPr>
          <w:rFonts w:hint="eastAsia" w:ascii="Times New Roman" w:hAnsi="Times New Roman" w:eastAsia="仿宋_GB2312"/>
          <w:sz w:val="32"/>
          <w:szCs w:val="32"/>
        </w:rPr>
        <w:t>对于预算绩效管理工作重视不够，对于预算绩效管理的计划性不足，配套的工作机制还不成熟，在预算执行过程中，绩效管理的参与性不足；</w:t>
      </w:r>
      <w:r>
        <w:rPr>
          <w:rFonts w:hint="eastAsia" w:ascii="Times New Roman" w:hAnsi="Times New Roman" w:eastAsia="仿宋_GB2312"/>
          <w:b/>
          <w:sz w:val="32"/>
          <w:szCs w:val="32"/>
        </w:rPr>
        <w:t>二是</w:t>
      </w:r>
      <w:r>
        <w:rPr>
          <w:rFonts w:hint="eastAsia" w:ascii="Times New Roman" w:hAnsi="Times New Roman" w:eastAsia="仿宋_GB2312"/>
          <w:sz w:val="32"/>
          <w:szCs w:val="32"/>
        </w:rPr>
        <w:t>预算管理人员的业务能力相对较弱，预算绩效管理工作是一个较新的业务领域，现有的业务人员尚不能很好的胜任预算的绩效管理工作。</w:t>
      </w:r>
    </w:p>
    <w:p>
      <w:pPr>
        <w:spacing w:line="540" w:lineRule="exact"/>
        <w:ind w:firstLine="640" w:firstLineChars="20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六</w:t>
      </w:r>
      <w:r>
        <w:rPr>
          <w:rFonts w:ascii="Times New Roman" w:hAnsi="Times New Roman" w:eastAsia="黑体"/>
          <w:sz w:val="32"/>
          <w:szCs w:val="32"/>
        </w:rPr>
        <w:t>、下一步改进措施</w:t>
      </w:r>
    </w:p>
    <w:p>
      <w:pPr>
        <w:spacing w:line="540" w:lineRule="exact"/>
        <w:ind w:right="160"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一是</w:t>
      </w:r>
      <w:r>
        <w:rPr>
          <w:rFonts w:hint="eastAsia" w:ascii="仿宋_GB2312" w:eastAsia="仿宋_GB2312"/>
          <w:sz w:val="32"/>
          <w:szCs w:val="32"/>
        </w:rPr>
        <w:t>把预算管理纳入项目管理体系，把</w:t>
      </w:r>
      <w:r>
        <w:rPr>
          <w:rFonts w:hint="eastAsia" w:ascii="仿宋_GB2312" w:eastAsia="仿宋_GB2312"/>
          <w:sz w:val="32"/>
          <w:szCs w:val="32"/>
          <w:lang w:eastAsia="zh-CN"/>
        </w:rPr>
        <w:t>年初</w:t>
      </w:r>
      <w:r>
        <w:rPr>
          <w:rFonts w:hint="eastAsia" w:ascii="仿宋_GB2312" w:eastAsia="仿宋_GB2312"/>
          <w:sz w:val="32"/>
          <w:szCs w:val="32"/>
        </w:rPr>
        <w:t>预算编制与预算的执行工作贯穿于项目执行的全过程；</w:t>
      </w:r>
      <w:r>
        <w:rPr>
          <w:rFonts w:hint="eastAsia" w:ascii="仿宋_GB2312" w:eastAsia="仿宋_GB2312"/>
          <w:b/>
          <w:sz w:val="32"/>
          <w:szCs w:val="32"/>
        </w:rPr>
        <w:t>二是</w:t>
      </w:r>
      <w:r>
        <w:rPr>
          <w:rFonts w:hint="eastAsia" w:ascii="仿宋_GB2312" w:eastAsia="仿宋_GB2312"/>
          <w:sz w:val="32"/>
          <w:szCs w:val="32"/>
        </w:rPr>
        <w:t>强化预算刚性力度，</w:t>
      </w:r>
      <w:r>
        <w:rPr>
          <w:rFonts w:ascii="仿宋_GB2312" w:eastAsia="仿宋_GB2312"/>
          <w:sz w:val="32"/>
          <w:szCs w:val="32"/>
        </w:rPr>
        <w:t>减少部门预算执行中的调整，加快资金执行进度；</w:t>
      </w:r>
      <w:r>
        <w:rPr>
          <w:rFonts w:hint="eastAsia" w:ascii="仿宋_GB2312" w:eastAsia="仿宋_GB2312"/>
          <w:b/>
          <w:sz w:val="32"/>
          <w:szCs w:val="32"/>
        </w:rPr>
        <w:t>三是</w:t>
      </w:r>
      <w:r>
        <w:rPr>
          <w:rFonts w:ascii="仿宋_GB2312" w:eastAsia="仿宋_GB2312"/>
          <w:sz w:val="32"/>
          <w:szCs w:val="32"/>
        </w:rPr>
        <w:t>加强与财政部门的沟通衔接，及时了解财政、财务规章制度，约束财经纪律</w:t>
      </w:r>
      <w:r>
        <w:rPr>
          <w:rFonts w:hint="eastAsia" w:ascii="仿宋_GB2312" w:eastAsia="仿宋_GB2312"/>
          <w:sz w:val="32"/>
          <w:szCs w:val="32"/>
        </w:rPr>
        <w:t>，特别是对与当前财政经济环境不适用的事项，要及时征求财政意见，提供充分理由说服党委暂缓或停止事项；</w:t>
      </w:r>
      <w:r>
        <w:rPr>
          <w:rFonts w:hint="eastAsia" w:ascii="仿宋_GB2312" w:eastAsia="仿宋_GB2312"/>
          <w:b/>
          <w:sz w:val="32"/>
          <w:szCs w:val="32"/>
        </w:rPr>
        <w:t>四是</w:t>
      </w:r>
      <w:r>
        <w:rPr>
          <w:rFonts w:hint="eastAsia" w:ascii="仿宋_GB2312" w:eastAsia="仿宋_GB2312"/>
          <w:sz w:val="32"/>
          <w:szCs w:val="32"/>
        </w:rPr>
        <w:t>对业务类项目要实行深度整合，除财政据实核定项外，根据大类业务设立项目，既确保资金使用，又能应对年中临时新增业务</w:t>
      </w:r>
      <w:r>
        <w:rPr>
          <w:rFonts w:ascii="仿宋_GB2312"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七</w:t>
      </w:r>
      <w:r>
        <w:rPr>
          <w:rFonts w:ascii="Times New Roman" w:hAnsi="Times New Roman" w:eastAsia="黑体"/>
          <w:sz w:val="32"/>
          <w:szCs w:val="32"/>
        </w:rPr>
        <w:t>、部门整体支出绩效自评结果拟应用和公开情况</w:t>
      </w:r>
    </w:p>
    <w:p>
      <w:pPr>
        <w:spacing w:line="540" w:lineRule="exact"/>
        <w:ind w:firstLine="645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绩效自评结果拟申报为“优秀”，</w:t>
      </w:r>
      <w:r>
        <w:rPr>
          <w:rFonts w:eastAsia="仿宋_GB2312"/>
          <w:sz w:val="32"/>
          <w:szCs w:val="32"/>
        </w:rPr>
        <w:t>上报汇总至省厅在湖南省公安厅门户网站上进行信息公开，接受社会监督</w:t>
      </w:r>
      <w:r>
        <w:rPr>
          <w:rFonts w:hint="eastAsia" w:eastAsia="仿宋_GB2312"/>
          <w:sz w:val="32"/>
          <w:szCs w:val="32"/>
        </w:rPr>
        <w:t>。</w:t>
      </w:r>
    </w:p>
    <w:p>
      <w:pPr>
        <w:widowControl/>
        <w:spacing w:line="600" w:lineRule="exact"/>
        <w:jc w:val="left"/>
        <w:rPr>
          <w:rFonts w:ascii="Times New Roman" w:hAnsi="Times New Roman" w:eastAsia="仿宋_GB2312"/>
          <w:sz w:val="32"/>
          <w:szCs w:val="32"/>
        </w:rPr>
      </w:pPr>
    </w:p>
    <w:p>
      <w:pPr>
        <w:widowControl/>
        <w:spacing w:line="600" w:lineRule="exact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附件：</w:t>
      </w:r>
    </w:p>
    <w:p>
      <w:pPr>
        <w:widowControl/>
        <w:spacing w:line="60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1、部门整体支出绩效评价基础数据表</w:t>
      </w:r>
    </w:p>
    <w:p>
      <w:pPr>
        <w:widowControl/>
        <w:spacing w:line="60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2、部门整体支出绩效自评表</w:t>
      </w:r>
    </w:p>
    <w:p>
      <w:pPr>
        <w:widowControl/>
        <w:spacing w:line="60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3、项目支出绩效自评表</w:t>
      </w:r>
    </w:p>
    <w:p>
      <w:pPr>
        <w:spacing w:line="640" w:lineRule="exact"/>
        <w:rPr>
          <w:rFonts w:hint="eastAsia" w:ascii="Times New Roman" w:hAnsi="Times New Roman" w:eastAsia="黑体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44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 w:after="200" w:line="276" w:lineRule="auto"/>
    </w:pPr>
    <w:rPr>
      <w:rFonts w:ascii="Arial" w:hAnsi="Arial"/>
      <w:sz w:val="24"/>
    </w:rPr>
  </w:style>
  <w:style w:type="paragraph" w:customStyle="1" w:styleId="5">
    <w:name w:val="List Paragraph"/>
    <w:basedOn w:val="1"/>
    <w:qFormat/>
    <w:uiPriority w:val="99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2013-01-10T16:11:58Z</dcterms:created>
  <dc:creator>Administrator</dc:creator>
  <cp:lastModifiedBy>邹挺</cp:lastModifiedBy>
  <dcterms:modified xsi:type="dcterms:W3CDTF">2013-01-10T16:17:17Z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