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sz w:val="56"/>
          <w:szCs w:val="56"/>
        </w:rPr>
      </w:pPr>
    </w:p>
    <w:p>
      <w:pPr>
        <w:pStyle w:val="11"/>
        <w:jc w:val="center"/>
        <w:rPr>
          <w:sz w:val="56"/>
          <w:szCs w:val="56"/>
        </w:rPr>
      </w:pPr>
    </w:p>
    <w:p>
      <w:pPr>
        <w:pStyle w:val="11"/>
        <w:jc w:val="center"/>
        <w:rPr>
          <w:sz w:val="84"/>
          <w:szCs w:val="84"/>
        </w:rPr>
      </w:pPr>
    </w:p>
    <w:p>
      <w:pPr>
        <w:pStyle w:val="11"/>
        <w:jc w:val="center"/>
        <w:rPr>
          <w:sz w:val="84"/>
          <w:szCs w:val="84"/>
        </w:rPr>
      </w:pPr>
    </w:p>
    <w:p>
      <w:pPr>
        <w:pStyle w:val="11"/>
        <w:jc w:val="center"/>
        <w:rPr>
          <w:sz w:val="84"/>
          <w:szCs w:val="84"/>
        </w:rPr>
      </w:pPr>
      <w:r>
        <w:rPr>
          <w:rFonts w:hint="eastAsia"/>
          <w:sz w:val="84"/>
          <w:szCs w:val="84"/>
        </w:rPr>
        <w:t>2021年度</w:t>
      </w:r>
    </w:p>
    <w:p>
      <w:pPr>
        <w:pStyle w:val="11"/>
        <w:jc w:val="center"/>
        <w:rPr>
          <w:sz w:val="84"/>
          <w:szCs w:val="84"/>
        </w:rPr>
      </w:pPr>
      <w:r>
        <w:rPr>
          <w:rFonts w:hint="eastAsia"/>
          <w:sz w:val="84"/>
          <w:szCs w:val="84"/>
        </w:rPr>
        <w:t>湖南省高速公路交通警察局单位决算</w:t>
      </w: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spacing w:line="540" w:lineRule="exact"/>
        <w:jc w:val="center"/>
        <w:rPr>
          <w:sz w:val="56"/>
          <w:szCs w:val="56"/>
        </w:rPr>
      </w:pPr>
    </w:p>
    <w:p>
      <w:pPr>
        <w:pStyle w:val="11"/>
        <w:spacing w:line="500" w:lineRule="exact"/>
        <w:jc w:val="center"/>
        <w:rPr>
          <w:b/>
          <w:sz w:val="36"/>
          <w:szCs w:val="28"/>
        </w:rPr>
      </w:pPr>
    </w:p>
    <w:p>
      <w:pPr>
        <w:pStyle w:val="11"/>
        <w:spacing w:line="500" w:lineRule="exact"/>
        <w:jc w:val="center"/>
        <w:rPr>
          <w:b/>
          <w:sz w:val="36"/>
          <w:szCs w:val="28"/>
        </w:rPr>
      </w:pPr>
      <w:r>
        <w:rPr>
          <w:rFonts w:hint="eastAsia"/>
          <w:b/>
          <w:sz w:val="36"/>
          <w:szCs w:val="28"/>
        </w:rPr>
        <w:t>目录</w:t>
      </w:r>
    </w:p>
    <w:p>
      <w:pPr>
        <w:pStyle w:val="11"/>
        <w:spacing w:line="500" w:lineRule="exact"/>
        <w:rPr>
          <w:rFonts w:ascii="仿宋_GB2312" w:hAnsi="仿宋_GB2312" w:cs="仿宋_GB2312"/>
          <w:b/>
          <w:sz w:val="28"/>
          <w:szCs w:val="28"/>
        </w:rPr>
      </w:pPr>
      <w:r>
        <w:rPr>
          <w:rFonts w:hint="eastAsia"/>
          <w:b/>
          <w:sz w:val="28"/>
          <w:szCs w:val="28"/>
        </w:rPr>
        <w:t>第一部分湖南省高速公路交通警察局概况</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w:t>
      </w:r>
      <w:r>
        <w:rPr>
          <w:rFonts w:hint="eastAsia" w:cs="仿宋_GB2312" w:asciiTheme="minorEastAsia" w:hAnsiTheme="minorEastAsia" w:eastAsiaTheme="minorEastAsia"/>
          <w:sz w:val="28"/>
          <w:szCs w:val="28"/>
        </w:rPr>
        <w:t>单位</w:t>
      </w:r>
      <w:r>
        <w:rPr>
          <w:rFonts w:cs="仿宋_GB2312" w:asciiTheme="minorEastAsia" w:hAnsiTheme="minorEastAsia" w:eastAsiaTheme="minorEastAsia"/>
          <w:sz w:val="28"/>
          <w:szCs w:val="28"/>
        </w:rPr>
        <w:t>职责</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1"/>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21年度单位决算表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1"/>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1"/>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21年度单位决算情况说明</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1"/>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1"/>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1"/>
        <w:jc w:val="center"/>
        <w:rPr>
          <w:sz w:val="84"/>
          <w:szCs w:val="84"/>
        </w:rPr>
      </w:pPr>
      <w:r>
        <w:rPr>
          <w:rFonts w:hint="eastAsia"/>
          <w:sz w:val="84"/>
          <w:szCs w:val="84"/>
        </w:rPr>
        <w:t>第一部分</w:t>
      </w:r>
    </w:p>
    <w:p>
      <w:pPr>
        <w:pStyle w:val="11"/>
        <w:jc w:val="center"/>
        <w:rPr>
          <w:sz w:val="84"/>
          <w:szCs w:val="84"/>
        </w:rPr>
      </w:pPr>
    </w:p>
    <w:p>
      <w:pPr>
        <w:pStyle w:val="11"/>
        <w:jc w:val="center"/>
        <w:rPr>
          <w:sz w:val="84"/>
          <w:szCs w:val="84"/>
        </w:rPr>
      </w:pPr>
      <w:r>
        <w:rPr>
          <w:rFonts w:hint="eastAsia"/>
          <w:sz w:val="84"/>
          <w:szCs w:val="84"/>
        </w:rPr>
        <w:t>湖南省高速公路交通警察局概况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rFonts w:ascii="黑体" w:hAnsi="黑体" w:eastAsia="黑体"/>
          <w:sz w:val="32"/>
          <w:szCs w:val="32"/>
        </w:rPr>
      </w:pPr>
    </w:p>
    <w:p>
      <w:pPr>
        <w:pStyle w:val="12"/>
        <w:numPr>
          <w:ilvl w:val="0"/>
          <w:numId w:val="1"/>
        </w:numPr>
        <w:ind w:firstLineChars="0"/>
        <w:jc w:val="left"/>
        <w:rPr>
          <w:rFonts w:ascii="黑体" w:hAnsi="黑体" w:eastAsia="黑体"/>
          <w:sz w:val="32"/>
          <w:szCs w:val="32"/>
        </w:rPr>
      </w:pPr>
      <w:r>
        <w:rPr>
          <w:rFonts w:hint="eastAsia" w:ascii="黑体" w:hAnsi="黑体" w:eastAsia="黑体"/>
          <w:sz w:val="32"/>
          <w:szCs w:val="32"/>
        </w:rPr>
        <w:t>单位</w:t>
      </w:r>
      <w:r>
        <w:rPr>
          <w:rFonts w:ascii="黑体" w:hAnsi="黑体" w:eastAsia="黑体"/>
          <w:sz w:val="32"/>
          <w:szCs w:val="32"/>
        </w:rPr>
        <w:t>职责</w:t>
      </w:r>
    </w:p>
    <w:p>
      <w:pPr>
        <w:ind w:firstLine="640" w:firstLineChars="200"/>
        <w:jc w:val="left"/>
        <w:rPr>
          <w:rFonts w:asciiTheme="minorEastAsia" w:hAnsiTheme="minorEastAsia"/>
          <w:sz w:val="32"/>
          <w:szCs w:val="32"/>
        </w:rPr>
      </w:pPr>
      <w:r>
        <w:rPr>
          <w:rFonts w:asciiTheme="minorEastAsia" w:hAnsiTheme="minorEastAsia"/>
          <w:sz w:val="32"/>
          <w:szCs w:val="32"/>
        </w:rPr>
        <w:t>湖南省高速公路交通警察局是省公安厅</w:t>
      </w:r>
      <w:r>
        <w:rPr>
          <w:rFonts w:hint="eastAsia" w:asciiTheme="minorEastAsia" w:hAnsiTheme="minorEastAsia"/>
          <w:sz w:val="32"/>
          <w:szCs w:val="32"/>
        </w:rPr>
        <w:t>交通管理局</w:t>
      </w:r>
      <w:r>
        <w:rPr>
          <w:rFonts w:asciiTheme="minorEastAsia" w:hAnsiTheme="minorEastAsia"/>
          <w:sz w:val="32"/>
          <w:szCs w:val="32"/>
        </w:rPr>
        <w:t>下属主管全省高速公路交通秩序和安全的职能</w:t>
      </w:r>
      <w:r>
        <w:rPr>
          <w:rFonts w:hint="eastAsia" w:asciiTheme="minorEastAsia" w:hAnsiTheme="minorEastAsia"/>
          <w:sz w:val="32"/>
          <w:szCs w:val="32"/>
        </w:rPr>
        <w:t>单位</w:t>
      </w:r>
      <w:r>
        <w:rPr>
          <w:rFonts w:asciiTheme="minorEastAsia" w:hAnsiTheme="minorEastAsia"/>
          <w:sz w:val="32"/>
          <w:szCs w:val="32"/>
        </w:rPr>
        <w:t>，依法履行下列职责：负责全省高速公路公安道路交通管理工作。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27" w:firstLineChars="196"/>
        <w:jc w:val="left"/>
        <w:rPr>
          <w:rFonts w:asciiTheme="minorEastAsia" w:hAnsiTheme="minorEastAsia"/>
          <w:color w:val="000000"/>
          <w:sz w:val="32"/>
          <w:szCs w:val="32"/>
        </w:rPr>
      </w:pPr>
      <w:r>
        <w:rPr>
          <w:rFonts w:hint="eastAsia" w:asciiTheme="minorEastAsia" w:hAnsiTheme="minorEastAsia"/>
          <w:bCs/>
          <w:kern w:val="0"/>
          <w:sz w:val="32"/>
          <w:szCs w:val="32"/>
        </w:rPr>
        <w:t>（一）内设机构设置。</w:t>
      </w:r>
      <w:r>
        <w:rPr>
          <w:rFonts w:asciiTheme="minorEastAsia" w:hAnsiTheme="minorEastAsia"/>
          <w:sz w:val="32"/>
          <w:szCs w:val="32"/>
        </w:rPr>
        <w:t>湖南省高速公路交通警察局现有25个内设机构，即“11科室”（办公室、政治处、交管科、法制科、装财科、科技科、特勤大队、基建办、重案大队、护路办、改革办）。另，省公安厅</w:t>
      </w:r>
      <w:r>
        <w:rPr>
          <w:rFonts w:hint="eastAsia" w:asciiTheme="minorEastAsia" w:hAnsiTheme="minorEastAsia"/>
          <w:sz w:val="32"/>
          <w:szCs w:val="32"/>
        </w:rPr>
        <w:t>交通管理局</w:t>
      </w:r>
      <w:r>
        <w:rPr>
          <w:rFonts w:asciiTheme="minorEastAsia" w:hAnsiTheme="minorEastAsia"/>
          <w:sz w:val="32"/>
          <w:szCs w:val="32"/>
        </w:rPr>
        <w:t>派驻纪检监察组。</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（二）决算单位构成。</w:t>
      </w:r>
      <w:r>
        <w:rPr>
          <w:rFonts w:asciiTheme="minorEastAsia" w:hAnsiTheme="minorEastAsia"/>
          <w:sz w:val="32"/>
          <w:szCs w:val="32"/>
        </w:rPr>
        <w:t>湖南省高速公路交通警察局</w:t>
      </w:r>
      <w:r>
        <w:rPr>
          <w:rFonts w:asciiTheme="minorEastAsia" w:hAnsiTheme="minorEastAsia"/>
          <w:bCs/>
          <w:kern w:val="0"/>
          <w:sz w:val="32"/>
          <w:szCs w:val="32"/>
        </w:rPr>
        <w:t>20</w:t>
      </w:r>
      <w:r>
        <w:rPr>
          <w:rFonts w:hint="eastAsia" w:asciiTheme="minorEastAsia" w:hAnsiTheme="minorEastAsia"/>
          <w:bCs/>
          <w:kern w:val="0"/>
          <w:sz w:val="32"/>
          <w:szCs w:val="32"/>
        </w:rPr>
        <w:t>21年决算公开单位构成为</w:t>
      </w:r>
      <w:r>
        <w:rPr>
          <w:rFonts w:asciiTheme="minorEastAsia" w:hAnsiTheme="minorEastAsia"/>
          <w:sz w:val="32"/>
          <w:szCs w:val="32"/>
        </w:rPr>
        <w:t>湖南省高速公路交通警察局</w:t>
      </w:r>
      <w:r>
        <w:rPr>
          <w:rFonts w:hint="eastAsia" w:asciiTheme="minorEastAsia" w:hAnsiTheme="minorEastAsia"/>
          <w:sz w:val="32"/>
          <w:szCs w:val="32"/>
        </w:rPr>
        <w:t>机关本级。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单位决算表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1"/>
        <w:jc w:val="both"/>
        <w:rPr>
          <w:sz w:val="72"/>
          <w:szCs w:val="72"/>
        </w:rPr>
        <w:sectPr>
          <w:pgSz w:w="11906" w:h="16838"/>
          <w:pgMar w:top="720" w:right="720" w:bottom="720" w:left="720" w:header="851" w:footer="992" w:gutter="0"/>
          <w:cols w:space="0" w:num="1"/>
          <w:rtlGutter w:val="0"/>
          <w:docGrid w:type="lines" w:linePitch="312" w:charSpace="0"/>
        </w:sectPr>
      </w:pPr>
      <w:r>
        <w:rPr>
          <w:rFonts w:hint="eastAsia" w:ascii="宋体" w:hAnsi="宋体" w:eastAsia="宋体" w:cs="宋体"/>
          <w:i w:val="0"/>
          <w:iCs w:val="0"/>
          <w:caps w:val="0"/>
          <w:color w:val="333333"/>
          <w:spacing w:val="0"/>
          <w:sz w:val="28"/>
          <w:szCs w:val="28"/>
          <w:shd w:val="clear" w:fill="FFFFFF"/>
        </w:rPr>
        <w:t>详见附件1。</w:t>
      </w:r>
    </w:p>
    <w:p>
      <w:pPr>
        <w:pStyle w:val="11"/>
        <w:rPr>
          <w:sz w:val="72"/>
          <w:szCs w:val="72"/>
        </w:rPr>
      </w:pPr>
    </w:p>
    <w:p>
      <w:pPr>
        <w:pStyle w:val="11"/>
        <w:rPr>
          <w:sz w:val="72"/>
          <w:szCs w:val="72"/>
        </w:rPr>
      </w:pPr>
    </w:p>
    <w:p>
      <w:pPr>
        <w:pStyle w:val="11"/>
        <w:rPr>
          <w:sz w:val="72"/>
          <w:szCs w:val="72"/>
        </w:rPr>
      </w:pPr>
    </w:p>
    <w:p>
      <w:pPr>
        <w:pStyle w:val="11"/>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第三部分</w:t>
      </w:r>
    </w:p>
    <w:p>
      <w:pPr>
        <w:pStyle w:val="11"/>
        <w:jc w:val="center"/>
        <w:rPr>
          <w:sz w:val="70"/>
          <w:szCs w:val="70"/>
        </w:rPr>
      </w:pPr>
    </w:p>
    <w:p>
      <w:pPr>
        <w:pStyle w:val="11"/>
        <w:jc w:val="center"/>
        <w:rPr>
          <w:sz w:val="70"/>
          <w:szCs w:val="70"/>
        </w:rPr>
      </w:pPr>
      <w:r>
        <w:rPr>
          <w:sz w:val="70"/>
          <w:szCs w:val="70"/>
        </w:rPr>
        <w:t>20</w:t>
      </w:r>
      <w:r>
        <w:rPr>
          <w:rFonts w:hint="eastAsia"/>
          <w:sz w:val="70"/>
          <w:szCs w:val="70"/>
        </w:rPr>
        <w:t>21年度单位决算情况说明</w:t>
      </w:r>
    </w:p>
    <w:p>
      <w:pPr>
        <w:widowControl/>
        <w:jc w:val="left"/>
        <w:rPr>
          <w:rFonts w:ascii="黑体" w:eastAsia="黑体" w:cs="黑体"/>
          <w:color w:val="000000"/>
          <w:kern w:val="0"/>
          <w:sz w:val="70"/>
          <w:szCs w:val="70"/>
        </w:rPr>
      </w:pPr>
      <w:r>
        <w:rPr>
          <w:sz w:val="70"/>
          <w:szCs w:val="70"/>
        </w:rPr>
        <w:br w:type="page"/>
      </w:r>
    </w:p>
    <w:p>
      <w:pPr>
        <w:pStyle w:val="11"/>
        <w:rPr>
          <w:rFonts w:asciiTheme="minorEastAsia" w:hAnsiTheme="minorEastAsia" w:eastAsiaTheme="minorEastAsia"/>
          <w:sz w:val="32"/>
          <w:szCs w:val="32"/>
        </w:rPr>
      </w:pPr>
    </w:p>
    <w:p>
      <w:pPr>
        <w:pStyle w:val="11"/>
        <w:rPr>
          <w:rFonts w:hAnsi="黑体"/>
          <w:b/>
          <w:sz w:val="32"/>
          <w:szCs w:val="32"/>
        </w:rPr>
      </w:pPr>
      <w:r>
        <w:rPr>
          <w:rFonts w:hint="eastAsia" w:hAnsi="黑体"/>
          <w:b/>
          <w:sz w:val="32"/>
          <w:szCs w:val="32"/>
        </w:rPr>
        <w:t>一、收入支出决算总体情况说明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支总计59752.62万元。与上年相比，增加5110.06万元，增长9.3%，主要是因为：一、新招录部分民警及民警工资调标、15个公安检查站全面启动建设等因素导致财政拨款增加；二、其他收入增加；三、年初结转结余增加。</w:t>
      </w:r>
    </w:p>
    <w:p>
      <w:pPr>
        <w:pStyle w:val="11"/>
        <w:rPr>
          <w:rFonts w:hAnsi="黑体"/>
          <w:b/>
          <w:sz w:val="32"/>
          <w:szCs w:val="32"/>
        </w:rPr>
      </w:pPr>
      <w:r>
        <w:rPr>
          <w:rFonts w:hint="eastAsia" w:hAnsi="黑体"/>
          <w:b/>
          <w:sz w:val="32"/>
          <w:szCs w:val="32"/>
        </w:rPr>
        <w:t>二、收入决算情况说明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2021年度收入合计58646.67万元，其中：财政拨款收入57655.79万元，占98.31%；其他收入990.88万元，占1.69%。</w:t>
      </w:r>
    </w:p>
    <w:p>
      <w:pPr>
        <w:pStyle w:val="11"/>
        <w:rPr>
          <w:rFonts w:hAnsi="黑体"/>
          <w:b/>
          <w:sz w:val="32"/>
          <w:szCs w:val="32"/>
        </w:rPr>
      </w:pPr>
      <w:r>
        <w:rPr>
          <w:rFonts w:hint="eastAsia" w:hAnsi="黑体"/>
          <w:b/>
          <w:sz w:val="32"/>
          <w:szCs w:val="32"/>
        </w:rPr>
        <w:t>三、支出决算情况说明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2021年度支出合计52493.73万元，其中：基本支出45147.01万元，占86%；项目支出7346.72万元，占14%。</w:t>
      </w:r>
    </w:p>
    <w:p>
      <w:pPr>
        <w:pStyle w:val="11"/>
        <w:rPr>
          <w:rFonts w:hAnsi="黑体"/>
          <w:b/>
          <w:sz w:val="32"/>
          <w:szCs w:val="32"/>
        </w:rPr>
      </w:pPr>
      <w:r>
        <w:rPr>
          <w:rFonts w:hint="eastAsia" w:hAnsi="黑体"/>
          <w:b/>
          <w:sz w:val="32"/>
          <w:szCs w:val="32"/>
        </w:rPr>
        <w:t>四、财政拨款收入支出决算总体情况说明</w:t>
      </w:r>
    </w:p>
    <w:p>
      <w:pPr>
        <w:pStyle w:val="11"/>
        <w:ind w:firstLine="64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收、支总计58742.28万元，与上年相比，增加4119.19万元,增长7.54%，主要是因为：一、新招录部分民警及民警工资调标、15个公安检查站全面启动建设等因素导致财政拨款增加；二、年初结转和结余增加。</w:t>
      </w:r>
    </w:p>
    <w:p>
      <w:pPr>
        <w:pStyle w:val="11"/>
        <w:rPr>
          <w:rFonts w:hAnsi="黑体"/>
          <w:b/>
          <w:sz w:val="32"/>
          <w:szCs w:val="32"/>
        </w:rPr>
      </w:pPr>
      <w:r>
        <w:rPr>
          <w:rFonts w:hint="eastAsia" w:hAnsi="黑体"/>
          <w:b/>
          <w:sz w:val="32"/>
          <w:szCs w:val="32"/>
        </w:rPr>
        <w:t>五、一般公共预算财政拨款支出决算情况说明</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2021年度财政拨款支出52432.42万元，占本年支出合计的89.26%，与上年相比，财政拨款支出减少101.78万元，减少0.19%，主要是因为落实过“紧日子”要求,各项经费开支减少。</w:t>
      </w:r>
    </w:p>
    <w:p>
      <w:pPr>
        <w:pStyle w:val="11"/>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1"/>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52432.42万元，主要用于以下方面：公共安全支出39729.13万元,占75.77%;教育支出55.56万元,占0.11%;社会保障和就业支出3305.07万元,占6.30%;卫生健康支出2924.44万元,占5.58%;住房保障支出6418.22万元,占12.24%。</w:t>
      </w:r>
    </w:p>
    <w:p>
      <w:pPr>
        <w:pStyle w:val="11"/>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2021年度财政拨款支出年初预算数为52898.31万元，支出决算数为52432.42万元，完成年初预算的99.12%，其中：</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1、公共安全支出。</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(1)公安行政运行。年初预算32402.22万元,支出决算32494.28万元,完成年初预算的100.28%,决算数大于年初预算数的主要原因是:支出年中追加的人员综治绩效奖金。</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(2)公安信息化建设。年初预算2164万元,支出决算1807.81万元,完成年初预算的83.54%,决算数小于年初预算数的主要原因是:信息化项目建设推进慢，导致经费结余。</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(3)公安执法办案。年初预算3726.09万元,支出决算3725.98万元,完成年初预算的99.99%,决算数小于年初预算数的主要原因是:交警中心工作专项有结余。</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(4)其他公安支出。年初预算20.00万元,支出决算1701.06万元,决算数大于年初预算数的主要原因是:支出年中追加的基本建设经费。</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2、教育支出。</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(1)进修及培训培训支出。年初预算85万元,支出决算55.56万元,完成年初预算数的65.36%,决算数小于预算数的主要原因是:受疫情影响的培训支出结余。</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3、社会保障和就业支出</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(1)行政事业单位养老支出机关事业单位基本养老保险缴费支出。年初预算3630万元,支出决算3072.07万元,完成年初预算的84.63%,决算数小于年初预算数的主要原因是:养老保险缴费结余。</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(2)其他社会保障和就业支出。年初预算593万元,支出决算233万元,完成年初预算的39.30%,决算数小于年初预算数的主要原因是:其他社会保障和就业支出结余。</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4、卫生健康支出</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(1)行政事业单位医疗行政单位医疗。年初预算1640万元,支出决算1640万元,决算数等于年初预算数。</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(2)行政事业单位医疗公务员医疗补助。年初预算1890万元,支出决算1284.44万元,完成年初预算数的67.96%,决算数小于年初预算数的主要原因是:公务员医疗补助结余。</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5、住房保障支出</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(1)住房改革支出住房公积金。年初预算2810万元,支出决算2794.53万元,完成年初预算数的99.45%,决算数小于年初预算数的主要原因是:住房公积金结余。</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(2)住房改革支出购房补贴。年初预算3938万元,支出决算3623.69万元,完成年初预算的92.02%,决算数小于年初预算数的主要原因是:购房补贴结余。</w:t>
      </w:r>
    </w:p>
    <w:p>
      <w:pPr>
        <w:pStyle w:val="11"/>
        <w:rPr>
          <w:rFonts w:hAnsi="黑体"/>
          <w:b/>
          <w:sz w:val="32"/>
          <w:szCs w:val="32"/>
        </w:rPr>
      </w:pPr>
      <w:r>
        <w:rPr>
          <w:rFonts w:hint="eastAsia" w:hAnsi="黑体"/>
          <w:b/>
          <w:sz w:val="32"/>
          <w:szCs w:val="32"/>
        </w:rPr>
        <w:t>六、一般公共预算财政拨款基本支出决算情况说明</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45147.01万元,其中:人员经费43053.72万元,占基本支出的95.36%,主要包括基本工资、津贴补贴、奖金、绩效工资、基本养老保险缴费、职业年金缴费、职工基本医疗保险缴费、公务员医疗补助缴费、其他社会保障缴费、住房公积金、其他工资福利支出、离休费、退休费、抚恤金、生活补助、医疗费补助、奖励金、其他对个人和家庭的补助等;公用经费2093.29万元,占基本支出的4.64%,主要包括办公费、印刷费、咨询费、水费、电费、邮电费、取暖费、物业管理费、差旅费、维修(护)费、会议费、培训费、公务接待费、工会经费、福利费、其他交通费用等。</w:t>
      </w:r>
    </w:p>
    <w:p>
      <w:pPr>
        <w:pStyle w:val="11"/>
        <w:rPr>
          <w:rFonts w:hAnsi="黑体"/>
          <w:b/>
          <w:sz w:val="32"/>
          <w:szCs w:val="32"/>
        </w:rPr>
      </w:pPr>
      <w:r>
        <w:rPr>
          <w:rFonts w:hint="eastAsia" w:hAnsi="黑体"/>
          <w:b/>
          <w:sz w:val="32"/>
          <w:szCs w:val="32"/>
        </w:rPr>
        <w:t>七、一般公共预算财政拨款“三公”经费支出决算情况说明</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(一)“三公”经费财政拨款支出决算总体情况说明</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“三公”经费财政拨款支出预算为1410万元,支出决算为1410万元,</w:t>
      </w:r>
      <w:r>
        <w:rPr>
          <w:rFonts w:hint="eastAsia" w:asciiTheme="minorEastAsia" w:hAnsiTheme="minorEastAsia"/>
          <w:sz w:val="32"/>
          <w:szCs w:val="32"/>
        </w:rPr>
        <w:t>决算数等于年初预算数</w:t>
      </w:r>
      <w:r>
        <w:rPr>
          <w:rFonts w:hint="eastAsia" w:cs="黑体" w:asciiTheme="minorEastAsia" w:hAnsiTheme="minorEastAsia"/>
          <w:color w:val="000000"/>
          <w:sz w:val="32"/>
          <w:szCs w:val="32"/>
        </w:rPr>
        <w:t>,其中:</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因公出国(境)费支出无预算,支出决算为0万元,主要原因是受新冠肺炎疫情影响,因公出国(境)计划全面取消。</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公务接待费支出预算为5万元,支出决算为5万元,</w:t>
      </w:r>
      <w:r>
        <w:rPr>
          <w:rFonts w:hint="eastAsia" w:asciiTheme="minorEastAsia" w:hAnsiTheme="minorEastAsia"/>
          <w:sz w:val="32"/>
          <w:szCs w:val="32"/>
        </w:rPr>
        <w:t>决算数等于年初预算数</w:t>
      </w:r>
      <w:r>
        <w:rPr>
          <w:rFonts w:hint="eastAsia" w:cs="黑体" w:asciiTheme="minorEastAsia" w:hAnsiTheme="minorEastAsia"/>
          <w:color w:val="000000"/>
          <w:sz w:val="32"/>
          <w:szCs w:val="32"/>
        </w:rPr>
        <w:t>。</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公务用车购置费及运行维护费支出预算为1405万元,支出决算为1405万元,</w:t>
      </w:r>
      <w:r>
        <w:rPr>
          <w:rFonts w:hint="eastAsia" w:asciiTheme="minorEastAsia" w:hAnsiTheme="minorEastAsia"/>
          <w:sz w:val="32"/>
          <w:szCs w:val="32"/>
        </w:rPr>
        <w:t>决算数等于年初预算数</w:t>
      </w:r>
      <w:r>
        <w:rPr>
          <w:rFonts w:hint="eastAsia" w:cs="黑体" w:asciiTheme="minorEastAsia" w:hAnsiTheme="minorEastAsia"/>
          <w:color w:val="000000"/>
          <w:sz w:val="32"/>
          <w:szCs w:val="32"/>
        </w:rPr>
        <w:t>。其中公务用车购置支出预算为1100万元,支出决算为1100万元,</w:t>
      </w:r>
      <w:r>
        <w:rPr>
          <w:rFonts w:hint="eastAsia" w:asciiTheme="minorEastAsia" w:hAnsiTheme="minorEastAsia"/>
          <w:sz w:val="32"/>
          <w:szCs w:val="32"/>
        </w:rPr>
        <w:t>决算数等于年初预算数</w:t>
      </w:r>
      <w:r>
        <w:rPr>
          <w:rFonts w:hint="eastAsia" w:cs="黑体" w:asciiTheme="minorEastAsia" w:hAnsiTheme="minorEastAsia"/>
          <w:color w:val="000000"/>
          <w:sz w:val="32"/>
          <w:szCs w:val="32"/>
        </w:rPr>
        <w:t>;公务用车运行维护支出预算为305万元,支出决算为305万元,</w:t>
      </w:r>
      <w:r>
        <w:rPr>
          <w:rFonts w:hint="eastAsia" w:asciiTheme="minorEastAsia" w:hAnsiTheme="minorEastAsia"/>
          <w:sz w:val="32"/>
          <w:szCs w:val="32"/>
        </w:rPr>
        <w:t>决算数等于年初预算数</w:t>
      </w:r>
      <w:r>
        <w:rPr>
          <w:rFonts w:hint="eastAsia" w:cs="黑体" w:asciiTheme="minorEastAsia" w:hAnsiTheme="minorEastAsia"/>
          <w:color w:val="000000"/>
          <w:sz w:val="32"/>
          <w:szCs w:val="32"/>
        </w:rPr>
        <w:t>。</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(二)“三公”经费财政拨款支出决算具体情况说明</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2021年度“三公”经费财政拨款支出决算中,因公出国(境)费支出决算0万元,占0%;公务接待费支出决算5万元,占0.36%;公务用车购置费及运行维护费支出决算1405万元,占99.64%。其中:</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1、因公出国(境)费支出决算为0万元,全年无因公出国(境)团。</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2、公务接待费支出决算为5万元,全年共接待来访团组20个、来宾387人次,主要是国内公务接待活动发生的接待支出。</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3、公务用车购置费及运行维护费支出决算为1405万元,其中:公务用车购置费1100万元,更新公务用车62辆。公务用车运行维护费305万元,主要是车辆维修及燃油支出,截止2021年12月31日,我单位开支财政拨款的公务用车保有量为55辆。</w:t>
      </w:r>
    </w:p>
    <w:p>
      <w:pPr>
        <w:pStyle w:val="11"/>
        <w:rPr>
          <w:rFonts w:hAnsi="黑体"/>
          <w:b/>
          <w:sz w:val="32"/>
          <w:szCs w:val="32"/>
        </w:rPr>
      </w:pPr>
      <w:r>
        <w:rPr>
          <w:rFonts w:hint="eastAsia" w:hAnsi="黑体"/>
          <w:b/>
          <w:sz w:val="32"/>
          <w:szCs w:val="32"/>
        </w:rPr>
        <w:t>八、政府性基金预算收入支出决算情况</w:t>
      </w:r>
    </w:p>
    <w:p>
      <w:pPr>
        <w:pStyle w:val="11"/>
        <w:ind w:firstLine="640" w:firstLineChars="200"/>
        <w:rPr>
          <w:rFonts w:eastAsia="宋体" w:asciiTheme="minorEastAsia" w:hAnsiTheme="minorEastAsia"/>
          <w:sz w:val="32"/>
          <w:szCs w:val="32"/>
        </w:rPr>
      </w:pPr>
      <w:r>
        <w:rPr>
          <w:rFonts w:hint="eastAsia" w:asciiTheme="minorEastAsia" w:hAnsiTheme="minorEastAsia" w:eastAsiaTheme="minorEastAsia"/>
          <w:sz w:val="32"/>
          <w:szCs w:val="32"/>
        </w:rPr>
        <w:t>2021年度无政府性基金预算财政拨款。</w:t>
      </w:r>
    </w:p>
    <w:p>
      <w:pPr>
        <w:pStyle w:val="11"/>
        <w:rPr>
          <w:rFonts w:hAnsi="黑体"/>
          <w:b/>
          <w:sz w:val="32"/>
          <w:szCs w:val="32"/>
        </w:rPr>
      </w:pPr>
      <w:r>
        <w:rPr>
          <w:rFonts w:hint="eastAsia" w:hAnsi="黑体"/>
          <w:b/>
          <w:sz w:val="32"/>
          <w:szCs w:val="32"/>
        </w:rPr>
        <w:t>九、机关运行经费支出说明</w:t>
      </w:r>
    </w:p>
    <w:p>
      <w:pPr>
        <w:pStyle w:val="11"/>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本单位2021年度机关运行经费支出2093.29万元,比上年决算数增加91.93万元,上升4.59%。主要原因是:2021年新冠疫情相比2020年有所缓解,相关经费支出稍有增加。</w:t>
      </w:r>
    </w:p>
    <w:p>
      <w:pPr>
        <w:pStyle w:val="11"/>
        <w:rPr>
          <w:rFonts w:hAnsi="黑体"/>
          <w:b/>
          <w:sz w:val="32"/>
          <w:szCs w:val="32"/>
        </w:rPr>
      </w:pPr>
      <w:r>
        <w:rPr>
          <w:rFonts w:hint="eastAsia" w:hAnsi="黑体"/>
          <w:b/>
          <w:sz w:val="32"/>
          <w:szCs w:val="32"/>
        </w:rPr>
        <w:t>十、一般性支出情况说明</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2021年本单位开支会议费6.6万元,用于开展全省高速公路交管工作会议,人数100人,内容为总结春运工作，安排部署全年交通安全管理工作;全省高速公路隐患整治工作会议,人数80人,内容为强化道路隐患整治,实现降事故、保安全、保畅通;全省高速交警队伍管理工作会议,人数100人,内容为强化队伍管理。</w:t>
      </w:r>
    </w:p>
    <w:p>
      <w:pPr>
        <w:pStyle w:val="5"/>
        <w:widowControl/>
        <w:shd w:val="clear" w:color="auto" w:fill="FFFFFF"/>
        <w:spacing w:beforeAutospacing="0" w:afterAutospacing="0" w:line="450" w:lineRule="atLeast"/>
        <w:ind w:firstLine="640" w:firstLineChars="200"/>
        <w:jc w:val="both"/>
        <w:textAlignment w:val="center"/>
        <w:rPr>
          <w:rFonts w:cs="黑体" w:asciiTheme="minorEastAsia" w:hAnsiTheme="minorEastAsia"/>
          <w:color w:val="000000"/>
          <w:sz w:val="32"/>
          <w:szCs w:val="32"/>
        </w:rPr>
      </w:pPr>
      <w:r>
        <w:rPr>
          <w:rFonts w:hint="eastAsia" w:cs="黑体" w:asciiTheme="minorEastAsia" w:hAnsiTheme="minorEastAsia"/>
          <w:color w:val="000000"/>
          <w:sz w:val="32"/>
          <w:szCs w:val="32"/>
        </w:rPr>
        <w:t>2021年本单位开支培训费52.92万元,用于开展法治业务培训,人数90人,内容为提升民辅警法制思维，促进执法规范化建设;党建工作培训,人数80人,内容为党务工作实务、党支部标准化建设、党员发展实务;民辅警岗前培训,人数60人,内容为提升民辅警综合素质;情报信息研判培训,人数90人,内容为综合指挥系统应用，提升路面管控力度，实现道路交通违法精准防控、精准打击。</w:t>
      </w:r>
    </w:p>
    <w:p>
      <w:pPr>
        <w:pStyle w:val="11"/>
        <w:rPr>
          <w:rFonts w:hAnsi="黑体"/>
          <w:b/>
          <w:sz w:val="32"/>
          <w:szCs w:val="32"/>
        </w:rPr>
      </w:pPr>
      <w:r>
        <w:rPr>
          <w:rFonts w:hint="eastAsia" w:hAnsi="黑体"/>
          <w:b/>
          <w:sz w:val="32"/>
          <w:szCs w:val="32"/>
        </w:rPr>
        <w:t>十一、政府采购支出说明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w:t>
      </w:r>
      <w:r>
        <w:rPr>
          <w:rFonts w:hint="eastAsia" w:asciiTheme="minorEastAsia" w:hAnsiTheme="minorEastAsia" w:eastAsiaTheme="minorEastAsia"/>
          <w:sz w:val="32"/>
          <w:szCs w:val="32"/>
          <w:lang w:val="en-US" w:eastAsia="zh-CN"/>
        </w:rPr>
        <w:t>单位</w:t>
      </w:r>
      <w:bookmarkStart w:id="0" w:name="_GoBack"/>
      <w:bookmarkEnd w:id="0"/>
      <w:r>
        <w:rPr>
          <w:rFonts w:hint="eastAsia" w:asciiTheme="minorEastAsia" w:hAnsiTheme="minorEastAsia" w:eastAsiaTheme="minorEastAsia"/>
          <w:sz w:val="32"/>
          <w:szCs w:val="32"/>
        </w:rPr>
        <w:t>2021年度政府采购支出总额1977.83万元,其中:政府采购货物支出1328.5万元、政府采购服务支出649.33万元。授予中小企业合同金额1977.83万元,占政府采购支出总额的100%,其中:授予小微企业合同金额1977.83万元,占政府采购支出总额的100%。</w:t>
      </w:r>
    </w:p>
    <w:p>
      <w:pPr>
        <w:pStyle w:val="11"/>
        <w:rPr>
          <w:rFonts w:hAnsi="黑体"/>
          <w:b/>
          <w:sz w:val="32"/>
          <w:szCs w:val="32"/>
        </w:rPr>
      </w:pPr>
      <w:r>
        <w:rPr>
          <w:rFonts w:hint="eastAsia" w:hAnsi="黑体"/>
          <w:b/>
          <w:sz w:val="32"/>
          <w:szCs w:val="32"/>
        </w:rPr>
        <w:t>十二、国有资产占用情况说明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截至2021年12月31日,本单位共有车辆55辆,全部为执法执勤用车;单位价值50万元以上通用设备0台;单位价值100万元以上专用设备0台。</w:t>
      </w:r>
    </w:p>
    <w:p>
      <w:pPr>
        <w:pStyle w:val="11"/>
        <w:rPr>
          <w:rFonts w:hAnsi="黑体"/>
          <w:b/>
          <w:sz w:val="32"/>
          <w:szCs w:val="32"/>
        </w:rPr>
      </w:pPr>
      <w:r>
        <w:rPr>
          <w:rFonts w:hint="eastAsia" w:hAnsi="黑体"/>
          <w:b/>
          <w:sz w:val="32"/>
          <w:szCs w:val="32"/>
        </w:rPr>
        <w:t>十三、2021年度预算绩效情况说明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单位在收到《湖南省财政厅关于开展2021年度部门整体支出绩效自评工作的通知》后,局党委高度重视,迅速安排整体支出绩效自评工作。本单位预算绩效管理开展情况、绩效目标和绩效评价报告等按照财政绩效部门要求已公开。</w:t>
      </w: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rPr>
          <w:sz w:val="72"/>
          <w:szCs w:val="72"/>
        </w:rPr>
      </w:pPr>
    </w:p>
    <w:p>
      <w:pPr>
        <w:pStyle w:val="11"/>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pStyle w:val="5"/>
        <w:widowControl/>
        <w:shd w:val="clear" w:color="auto" w:fill="FFFFFF"/>
        <w:spacing w:beforeAutospacing="0" w:afterAutospacing="0" w:line="450" w:lineRule="atLeast"/>
        <w:ind w:firstLine="560" w:firstLineChars="200"/>
        <w:jc w:val="both"/>
        <w:textAlignment w:val="center"/>
        <w:rPr>
          <w:rFonts w:ascii="宋体" w:hAnsi="宋体" w:eastAsia="宋体" w:cs="宋体"/>
          <w:color w:val="333333"/>
          <w:sz w:val="28"/>
          <w:szCs w:val="28"/>
        </w:rPr>
      </w:pPr>
      <w:r>
        <w:rPr>
          <w:rFonts w:hint="eastAsia" w:ascii="宋体" w:hAnsi="宋体" w:eastAsia="宋体" w:cs="宋体"/>
          <w:color w:val="333333"/>
          <w:sz w:val="28"/>
          <w:szCs w:val="28"/>
          <w:shd w:val="clear" w:color="auto" w:fill="FFFFFF"/>
        </w:rPr>
        <w:t>一、财政拨款收入:指同级财政当年拨付的资金。</w:t>
      </w:r>
    </w:p>
    <w:p>
      <w:pPr>
        <w:pStyle w:val="5"/>
        <w:widowControl/>
        <w:shd w:val="clear" w:color="auto" w:fill="FFFFFF"/>
        <w:spacing w:beforeAutospacing="0" w:afterAutospacing="0" w:line="450" w:lineRule="atLeast"/>
        <w:ind w:firstLine="560" w:firstLineChars="200"/>
        <w:jc w:val="both"/>
        <w:textAlignment w:val="center"/>
        <w:rPr>
          <w:rFonts w:ascii="宋体" w:hAnsi="宋体" w:eastAsia="宋体" w:cs="宋体"/>
          <w:color w:val="333333"/>
          <w:sz w:val="28"/>
          <w:szCs w:val="28"/>
        </w:rPr>
      </w:pPr>
      <w:r>
        <w:rPr>
          <w:rFonts w:hint="eastAsia" w:ascii="宋体" w:hAnsi="宋体" w:eastAsia="宋体" w:cs="宋体"/>
          <w:color w:val="333333"/>
          <w:sz w:val="28"/>
          <w:szCs w:val="28"/>
          <w:shd w:val="clear" w:color="auto" w:fill="FFFFFF"/>
        </w:rPr>
        <w:t>二、事业收入:指事业单位开展专业业务活动及辅助活动所取得的收入。</w:t>
      </w:r>
    </w:p>
    <w:p>
      <w:pPr>
        <w:pStyle w:val="5"/>
        <w:widowControl/>
        <w:shd w:val="clear" w:color="auto" w:fill="FFFFFF"/>
        <w:spacing w:beforeAutospacing="0" w:afterAutospacing="0" w:line="450" w:lineRule="atLeast"/>
        <w:ind w:firstLine="560" w:firstLineChars="200"/>
        <w:jc w:val="both"/>
        <w:textAlignment w:val="center"/>
        <w:rPr>
          <w:rFonts w:ascii="宋体" w:hAnsi="宋体" w:eastAsia="宋体" w:cs="宋体"/>
          <w:color w:val="333333"/>
          <w:sz w:val="28"/>
          <w:szCs w:val="28"/>
        </w:rPr>
      </w:pPr>
      <w:r>
        <w:rPr>
          <w:rFonts w:hint="eastAsia" w:ascii="宋体" w:hAnsi="宋体" w:eastAsia="宋体" w:cs="宋体"/>
          <w:color w:val="333333"/>
          <w:sz w:val="28"/>
          <w:szCs w:val="28"/>
          <w:shd w:val="clear" w:color="auto" w:fill="FFFFFF"/>
        </w:rPr>
        <w:t>三、其他收入:指除上述“财政拨款收入”、“事业收入”、“经营收入”等以外的收入。主要是按规定动用的售房收入、存款利息收入等。</w:t>
      </w:r>
    </w:p>
    <w:p>
      <w:pPr>
        <w:pStyle w:val="5"/>
        <w:widowControl/>
        <w:shd w:val="clear" w:color="auto" w:fill="FFFFFF"/>
        <w:spacing w:beforeAutospacing="0" w:afterAutospacing="0" w:line="450" w:lineRule="atLeast"/>
        <w:ind w:firstLine="560" w:firstLineChars="200"/>
        <w:jc w:val="both"/>
        <w:textAlignment w:val="center"/>
        <w:rPr>
          <w:rFonts w:ascii="宋体" w:hAnsi="宋体" w:eastAsia="宋体" w:cs="宋体"/>
          <w:color w:val="333333"/>
          <w:sz w:val="28"/>
          <w:szCs w:val="28"/>
        </w:rPr>
      </w:pPr>
      <w:r>
        <w:rPr>
          <w:rFonts w:hint="eastAsia" w:ascii="宋体" w:hAnsi="宋体" w:eastAsia="宋体" w:cs="宋体"/>
          <w:color w:val="333333"/>
          <w:sz w:val="28"/>
          <w:szCs w:val="28"/>
          <w:shd w:val="clear" w:color="auto" w:fill="FFFFFF"/>
        </w:rPr>
        <w:t>四、年初结转和结余:指以前年度尚未完成、结转到本年按有关规定继续使用的资金。</w:t>
      </w:r>
    </w:p>
    <w:p>
      <w:pPr>
        <w:pStyle w:val="5"/>
        <w:widowControl/>
        <w:shd w:val="clear" w:color="auto" w:fill="FFFFFF"/>
        <w:spacing w:beforeAutospacing="0" w:afterAutospacing="0" w:line="450" w:lineRule="atLeast"/>
        <w:ind w:firstLine="560" w:firstLineChars="200"/>
        <w:jc w:val="both"/>
        <w:textAlignment w:val="center"/>
        <w:rPr>
          <w:rFonts w:ascii="宋体" w:hAnsi="宋体" w:eastAsia="宋体" w:cs="宋体"/>
          <w:color w:val="333333"/>
          <w:sz w:val="28"/>
          <w:szCs w:val="28"/>
        </w:rPr>
      </w:pPr>
      <w:r>
        <w:rPr>
          <w:rFonts w:hint="eastAsia" w:ascii="宋体" w:hAnsi="宋体" w:eastAsia="宋体" w:cs="宋体"/>
          <w:color w:val="333333"/>
          <w:sz w:val="28"/>
          <w:szCs w:val="28"/>
          <w:shd w:val="clear" w:color="auto" w:fill="FFFFFF"/>
        </w:rPr>
        <w:t>五、年末结转和结余:指本年度或以前年度预算安排、因客观条件发生变化无法按原计划实施,需延迟到以后年度按有关规定继续使用的资金。</w:t>
      </w:r>
    </w:p>
    <w:p>
      <w:pPr>
        <w:pStyle w:val="5"/>
        <w:widowControl/>
        <w:shd w:val="clear" w:color="auto" w:fill="FFFFFF"/>
        <w:spacing w:beforeAutospacing="0" w:afterAutospacing="0" w:line="450" w:lineRule="atLeast"/>
        <w:ind w:firstLine="560" w:firstLineChars="200"/>
        <w:jc w:val="both"/>
        <w:textAlignment w:val="center"/>
        <w:rPr>
          <w:rFonts w:ascii="宋体" w:hAnsi="宋体" w:eastAsia="宋体" w:cs="宋体"/>
          <w:color w:val="333333"/>
          <w:sz w:val="28"/>
          <w:szCs w:val="28"/>
        </w:rPr>
      </w:pPr>
      <w:r>
        <w:rPr>
          <w:rFonts w:hint="eastAsia" w:ascii="宋体" w:hAnsi="宋体" w:eastAsia="宋体" w:cs="宋体"/>
          <w:color w:val="333333"/>
          <w:sz w:val="28"/>
          <w:szCs w:val="28"/>
          <w:shd w:val="clear" w:color="auto" w:fill="FFFFFF"/>
        </w:rPr>
        <w:t>六、基本支出:指为保障机构正常运转、完成日常工作任务而发生的人员支出和公用支出。</w:t>
      </w:r>
    </w:p>
    <w:p>
      <w:pPr>
        <w:pStyle w:val="5"/>
        <w:widowControl/>
        <w:shd w:val="clear" w:color="auto" w:fill="FFFFFF"/>
        <w:spacing w:beforeAutospacing="0" w:afterAutospacing="0" w:line="450" w:lineRule="atLeast"/>
        <w:ind w:firstLine="560" w:firstLineChars="200"/>
        <w:jc w:val="both"/>
        <w:textAlignment w:val="center"/>
        <w:rPr>
          <w:rFonts w:ascii="宋体" w:hAnsi="宋体" w:eastAsia="宋体" w:cs="宋体"/>
          <w:color w:val="333333"/>
          <w:sz w:val="28"/>
          <w:szCs w:val="28"/>
        </w:rPr>
      </w:pPr>
      <w:r>
        <w:rPr>
          <w:rFonts w:hint="eastAsia" w:ascii="宋体" w:hAnsi="宋体" w:eastAsia="宋体" w:cs="宋体"/>
          <w:color w:val="333333"/>
          <w:sz w:val="28"/>
          <w:szCs w:val="28"/>
          <w:shd w:val="clear" w:color="auto" w:fill="FFFFFF"/>
        </w:rPr>
        <w:t>七、项目支出:指在基本支出之外为完成特定行政任务和事业发展目标所发生的支出。</w:t>
      </w:r>
    </w:p>
    <w:p>
      <w:pPr>
        <w:pStyle w:val="5"/>
        <w:widowControl/>
        <w:shd w:val="clear" w:color="auto" w:fill="FFFFFF"/>
        <w:spacing w:beforeAutospacing="0" w:afterAutospacing="0" w:line="450" w:lineRule="atLeast"/>
        <w:ind w:firstLine="560" w:firstLineChars="200"/>
        <w:jc w:val="both"/>
        <w:textAlignment w:val="center"/>
        <w:rPr>
          <w:rFonts w:ascii="宋体" w:hAnsi="宋体" w:eastAsia="宋体" w:cs="宋体"/>
          <w:color w:val="333333"/>
          <w:sz w:val="28"/>
          <w:szCs w:val="28"/>
        </w:rPr>
      </w:pPr>
      <w:r>
        <w:rPr>
          <w:rFonts w:hint="eastAsia" w:ascii="宋体" w:hAnsi="宋体" w:eastAsia="宋体" w:cs="宋体"/>
          <w:color w:val="333333"/>
          <w:sz w:val="28"/>
          <w:szCs w:val="28"/>
          <w:shd w:val="clear" w:color="auto" w:fill="FFFFFF"/>
        </w:rPr>
        <w:t>八、经营支出:指事业单位在专业业务活动及其辅助活动之外开展非独立核算经营活动发生的支出。</w:t>
      </w:r>
    </w:p>
    <w:p>
      <w:pPr>
        <w:pStyle w:val="5"/>
        <w:widowControl/>
        <w:shd w:val="clear" w:color="auto" w:fill="FFFFFF"/>
        <w:spacing w:beforeAutospacing="0" w:afterAutospacing="0" w:line="450" w:lineRule="atLeast"/>
        <w:ind w:firstLine="560" w:firstLineChars="200"/>
        <w:jc w:val="both"/>
        <w:textAlignment w:val="center"/>
        <w:rPr>
          <w:rFonts w:ascii="宋体" w:hAnsi="宋体" w:eastAsia="宋体" w:cs="宋体"/>
          <w:color w:val="333333"/>
          <w:sz w:val="28"/>
          <w:szCs w:val="28"/>
        </w:rPr>
      </w:pPr>
      <w:r>
        <w:rPr>
          <w:rFonts w:hint="eastAsia" w:ascii="宋体" w:hAnsi="宋体" w:eastAsia="宋体" w:cs="宋体"/>
          <w:color w:val="333333"/>
          <w:sz w:val="28"/>
          <w:szCs w:val="28"/>
          <w:shd w:val="clear" w:color="auto" w:fill="FFFFFF"/>
        </w:rPr>
        <w:t>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5"/>
        <w:widowControl/>
        <w:shd w:val="clear" w:color="auto" w:fill="FFFFFF"/>
        <w:spacing w:beforeAutospacing="0" w:afterAutospacing="0" w:line="450" w:lineRule="atLeast"/>
        <w:ind w:firstLine="560" w:firstLineChars="200"/>
        <w:jc w:val="both"/>
        <w:textAlignment w:val="center"/>
        <w:rPr>
          <w:rFonts w:ascii="宋体" w:hAnsi="宋体" w:eastAsia="宋体" w:cs="宋体"/>
          <w:color w:val="333333"/>
          <w:sz w:val="28"/>
          <w:szCs w:val="28"/>
        </w:rPr>
      </w:pPr>
      <w:r>
        <w:rPr>
          <w:rFonts w:hint="eastAsia" w:ascii="宋体" w:hAnsi="宋体" w:eastAsia="宋体" w:cs="宋体"/>
          <w:color w:val="333333"/>
          <w:sz w:val="28"/>
          <w:szCs w:val="28"/>
          <w:shd w:val="clear" w:color="auto" w:fill="FFFFFF"/>
        </w:rPr>
        <w:t>十、“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jc w:val="left"/>
        <w:rPr>
          <w:rFonts w:eastAsia="黑体" w:cs="黑体" w:asciiTheme="minorEastAsia" w:hAnsiTheme="minorEastAsia"/>
          <w:color w:val="000000"/>
          <w:kern w:val="0"/>
          <w:sz w:val="28"/>
          <w:szCs w:val="3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both"/>
        <w:rPr>
          <w:sz w:val="72"/>
          <w:szCs w:val="72"/>
        </w:rPr>
      </w:pPr>
    </w:p>
    <w:p>
      <w:pPr>
        <w:pStyle w:val="11"/>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cs="黑体" w:asciiTheme="minorEastAsia" w:hAnsiTheme="minorEastAsia"/>
          <w:color w:val="000000"/>
          <w:kern w:val="0"/>
          <w:sz w:val="32"/>
          <w:szCs w:val="32"/>
        </w:rPr>
      </w:pPr>
    </w:p>
    <w:p>
      <w:pPr>
        <w:widowControl/>
        <w:jc w:val="left"/>
        <w:rPr>
          <w:rFonts w:cs="黑体" w:asciiTheme="minorEastAsia" w:hAnsiTheme="minorEastAsia"/>
          <w:color w:val="000000"/>
          <w:kern w:val="0"/>
          <w:sz w:val="32"/>
          <w:szCs w:val="32"/>
        </w:rPr>
      </w:pPr>
    </w:p>
    <w:p>
      <w:pPr>
        <w:widowControl/>
        <w:jc w:val="left"/>
        <w:rPr>
          <w:rFonts w:cs="黑体" w:asciiTheme="minorEastAsia" w:hAnsiTheme="minorEastAsia"/>
          <w:color w:val="000000"/>
          <w:kern w:val="0"/>
          <w:sz w:val="32"/>
          <w:szCs w:val="32"/>
        </w:rPr>
      </w:pPr>
    </w:p>
    <w:p>
      <w:pPr>
        <w:widowControl/>
        <w:jc w:val="left"/>
        <w:rPr>
          <w:rFonts w:cs="黑体" w:asciiTheme="minorEastAsia" w:hAnsiTheme="minorEastAsia"/>
          <w:color w:val="000000"/>
          <w:kern w:val="0"/>
          <w:sz w:val="32"/>
          <w:szCs w:val="32"/>
        </w:rPr>
      </w:pPr>
    </w:p>
    <w:p>
      <w:pPr>
        <w:widowControl/>
        <w:jc w:val="left"/>
        <w:rPr>
          <w:rFonts w:cs="黑体" w:asciiTheme="minorEastAsia" w:hAnsiTheme="minorEastAsia"/>
          <w:color w:val="000000"/>
          <w:kern w:val="0"/>
          <w:sz w:val="32"/>
          <w:szCs w:val="32"/>
        </w:rPr>
      </w:pPr>
    </w:p>
    <w:p>
      <w:pPr>
        <w:widowControl/>
        <w:jc w:val="left"/>
        <w:rPr>
          <w:rFonts w:cs="黑体" w:asciiTheme="minorEastAsia" w:hAnsiTheme="minorEastAsia"/>
          <w:color w:val="000000"/>
          <w:kern w:val="0"/>
          <w:sz w:val="32"/>
          <w:szCs w:val="32"/>
        </w:rPr>
      </w:pPr>
    </w:p>
    <w:p>
      <w:pPr>
        <w:widowControl/>
        <w:jc w:val="left"/>
        <w:rPr>
          <w:rFonts w:cs="黑体" w:asciiTheme="minorEastAsia" w:hAnsiTheme="minorEastAsia"/>
          <w:color w:val="000000"/>
          <w:kern w:val="0"/>
          <w:sz w:val="32"/>
          <w:szCs w:val="32"/>
        </w:rPr>
      </w:pPr>
    </w:p>
    <w:p>
      <w:pPr>
        <w:widowControl/>
        <w:jc w:val="left"/>
        <w:rPr>
          <w:rFonts w:cs="黑体" w:asciiTheme="minorEastAsia" w:hAnsiTheme="minorEastAsia"/>
          <w:color w:val="000000"/>
          <w:kern w:val="0"/>
          <w:sz w:val="32"/>
          <w:szCs w:val="32"/>
        </w:rPr>
      </w:pPr>
    </w:p>
    <w:p>
      <w:pPr>
        <w:widowControl/>
        <w:jc w:val="left"/>
        <w:rPr>
          <w:rFonts w:cs="黑体" w:asciiTheme="minorEastAsia" w:hAnsiTheme="minorEastAsia"/>
          <w:color w:val="000000"/>
          <w:kern w:val="0"/>
          <w:sz w:val="32"/>
          <w:szCs w:val="32"/>
        </w:rPr>
      </w:pPr>
    </w:p>
    <w:p>
      <w:pPr>
        <w:widowControl/>
        <w:jc w:val="left"/>
        <w:rPr>
          <w:rFonts w:cs="黑体" w:asciiTheme="minorEastAsia" w:hAnsiTheme="minorEastAsia"/>
          <w:color w:val="000000"/>
          <w:kern w:val="0"/>
          <w:sz w:val="32"/>
          <w:szCs w:val="32"/>
        </w:rPr>
      </w:pPr>
    </w:p>
    <w:p>
      <w:pPr>
        <w:widowControl/>
        <w:jc w:val="left"/>
        <w:rPr>
          <w:rFonts w:cs="黑体" w:asciiTheme="minorEastAsia" w:hAnsiTheme="minorEastAsia"/>
          <w:color w:val="000000"/>
          <w:kern w:val="0"/>
          <w:sz w:val="32"/>
          <w:szCs w:val="32"/>
        </w:rPr>
      </w:pPr>
    </w:p>
    <w:p>
      <w:pPr>
        <w:widowControl/>
        <w:jc w:val="left"/>
        <w:rPr>
          <w:rFonts w:cs="黑体" w:asciiTheme="minorEastAsia" w:hAnsiTheme="minorEastAsia"/>
          <w:color w:val="000000"/>
          <w:kern w:val="0"/>
          <w:sz w:val="32"/>
          <w:szCs w:val="32"/>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textAlignment w:val="center"/>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附件:1、2021年度湖南省</w:t>
      </w:r>
      <w:r>
        <w:rPr>
          <w:rFonts w:hint="eastAsia" w:ascii="宋体" w:hAnsi="宋体" w:eastAsia="宋体" w:cs="宋体"/>
          <w:i w:val="0"/>
          <w:iCs w:val="0"/>
          <w:caps w:val="0"/>
          <w:color w:val="333333"/>
          <w:spacing w:val="0"/>
          <w:sz w:val="28"/>
          <w:szCs w:val="28"/>
          <w:shd w:val="clear" w:fill="FFFFFF"/>
          <w:lang w:eastAsia="zh-CN"/>
        </w:rPr>
        <w:t>高速公路交通警察局</w:t>
      </w:r>
      <w:r>
        <w:rPr>
          <w:rFonts w:hint="eastAsia" w:ascii="宋体" w:hAnsi="宋体" w:eastAsia="宋体" w:cs="宋体"/>
          <w:i w:val="0"/>
          <w:iCs w:val="0"/>
          <w:caps w:val="0"/>
          <w:color w:val="333333"/>
          <w:spacing w:val="0"/>
          <w:sz w:val="28"/>
          <w:szCs w:val="28"/>
          <w:shd w:val="clear" w:fill="FFFFFF"/>
        </w:rPr>
        <w:t>决算公开表</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1120" w:firstLineChars="400"/>
        <w:jc w:val="both"/>
        <w:textAlignment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2、2021年度部门整体支出绩效评价报告</w:t>
      </w:r>
    </w:p>
    <w:p>
      <w:pPr>
        <w:widowControl/>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VjODQyZmE2NzU0YTFmZmUyMzg2MjQ2MzUyZTkwY2M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13C2"/>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11FB"/>
    <w:rsid w:val="00787B42"/>
    <w:rsid w:val="007C4539"/>
    <w:rsid w:val="007F3657"/>
    <w:rsid w:val="00812ED5"/>
    <w:rsid w:val="00815CA7"/>
    <w:rsid w:val="008277D9"/>
    <w:rsid w:val="0084478C"/>
    <w:rsid w:val="0086638C"/>
    <w:rsid w:val="008A3E8D"/>
    <w:rsid w:val="008D6A95"/>
    <w:rsid w:val="009237C4"/>
    <w:rsid w:val="00944C48"/>
    <w:rsid w:val="00950252"/>
    <w:rsid w:val="00964871"/>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42F20"/>
    <w:rsid w:val="00E55B68"/>
    <w:rsid w:val="00E67BE6"/>
    <w:rsid w:val="00E8683C"/>
    <w:rsid w:val="00EA2B72"/>
    <w:rsid w:val="00F74360"/>
    <w:rsid w:val="00FB462F"/>
    <w:rsid w:val="00FE16FA"/>
    <w:rsid w:val="00FE328A"/>
    <w:rsid w:val="00FE6269"/>
    <w:rsid w:val="00FF5CD6"/>
    <w:rsid w:val="165A5414"/>
    <w:rsid w:val="18C96234"/>
    <w:rsid w:val="20036B1D"/>
    <w:rsid w:val="22681B7C"/>
    <w:rsid w:val="2322375E"/>
    <w:rsid w:val="25A36BCC"/>
    <w:rsid w:val="29CE3CF8"/>
    <w:rsid w:val="2A0C4820"/>
    <w:rsid w:val="2DA54533"/>
    <w:rsid w:val="37ED6E7A"/>
    <w:rsid w:val="38C64D5E"/>
    <w:rsid w:val="3DF17B5D"/>
    <w:rsid w:val="3E927592"/>
    <w:rsid w:val="3F8F5DD6"/>
    <w:rsid w:val="565D3A5F"/>
    <w:rsid w:val="5AA06992"/>
    <w:rsid w:val="673466DE"/>
    <w:rsid w:val="67FF7197"/>
    <w:rsid w:val="6AFB6D94"/>
    <w:rsid w:val="6B070ED9"/>
    <w:rsid w:val="6D0668D1"/>
    <w:rsid w:val="6E1F40EF"/>
    <w:rsid w:val="6FEF6981"/>
    <w:rsid w:val="71662FEF"/>
    <w:rsid w:val="739764D5"/>
    <w:rsid w:val="7A807C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character" w:styleId="8">
    <w:name w:val="Hyperlink"/>
    <w:basedOn w:val="7"/>
    <w:semiHidden/>
    <w:unhideWhenUsed/>
    <w:qFormat/>
    <w:uiPriority w:val="99"/>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4296</Words>
  <Characters>4900</Characters>
  <Lines>36</Lines>
  <Paragraphs>10</Paragraphs>
  <TotalTime>4</TotalTime>
  <ScaleCrop>false</ScaleCrop>
  <LinksUpToDate>false</LinksUpToDate>
  <CharactersWithSpaces>4900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2022-09-13T00:30:00Z</cp:lastPrinted>
  <dcterms:modified xsi:type="dcterms:W3CDTF">2023-09-21T08:35:57Z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CD0408CCAA2C4744BF72630B676CF1B8</vt:lpwstr>
  </property>
</Properties>
</file>