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413" w:rsidRDefault="000E30CE">
      <w:pPr>
        <w:widowControl/>
        <w:shd w:val="clear" w:color="auto" w:fill="FFFFFF"/>
        <w:spacing w:line="543" w:lineRule="atLeast"/>
        <w:jc w:val="center"/>
        <w:outlineLvl w:val="1"/>
        <w:rPr>
          <w:rFonts w:ascii="宋体" w:eastAsia="宋体" w:hAnsi="宋体" w:cs="宋体"/>
          <w:b/>
          <w:bCs/>
          <w:color w:val="2D66A5"/>
          <w:kern w:val="0"/>
          <w:sz w:val="44"/>
          <w:szCs w:val="44"/>
        </w:rPr>
      </w:pPr>
      <w:r>
        <w:rPr>
          <w:rFonts w:ascii="宋体" w:eastAsia="宋体" w:hAnsi="宋体" w:cs="宋体" w:hint="eastAsia"/>
          <w:b/>
          <w:bCs/>
          <w:color w:val="2D66A5"/>
          <w:kern w:val="0"/>
          <w:sz w:val="44"/>
          <w:szCs w:val="44"/>
        </w:rPr>
        <w:t>2021年度湖南省公安厅机场公安局决算公开</w:t>
      </w:r>
    </w:p>
    <w:p w:rsidR="00232413" w:rsidRDefault="000E30CE">
      <w:pPr>
        <w:widowControl/>
        <w:shd w:val="clear" w:color="auto" w:fill="FFFFFF"/>
        <w:spacing w:line="408" w:lineRule="atLeast"/>
        <w:ind w:firstLine="480"/>
        <w:jc w:val="center"/>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目录</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第一部分湖南省公安厅机场公安局概况</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一、部门职责</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二、机构设置</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第二部分2021年度部门决算表</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一、收入支出决算总表</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二、收入决算表</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三、支出决算表</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四、财政拨款收入支出决算总表</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五、一般公共预算财政拨款支出决算表</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六、一般公共预算财政拨款基本支出决算表</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七、一般公共预算财政拨款“三公”经费支出决算表</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八、政府性基金预算财政拨款收入支出决算表</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九、国有资本经营预算财政拨款支出决算表</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第三部分2021年度部门决算情况说明</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一、收入支出决算总体情况说明</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二、收入决算情况说明</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三、支出决算情况说明</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四、财政拨款收入支出决算总体情况说明</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五、一般公共预算财政拨款支出决算情况说明</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六、一般公共预算财政拨款基本支出决算情况说明</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lastRenderedPageBreak/>
        <w:t>七、一般公共预算财政拨款三公经费支出决算情况说明</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八、政府性基金预算收入支出决算情况</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九、关于机关运行经费支出说明</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十、一般性支出情况</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十一、关于政府采购支出说明</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十二、关于国有资产占用情况说明</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十三、关于2021年度预算绩效情况的说明</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第四部分名词解释</w:t>
      </w:r>
    </w:p>
    <w:p w:rsidR="00232413" w:rsidRDefault="000E30CE">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r>
        <w:rPr>
          <w:rFonts w:ascii="宋体" w:eastAsia="宋体" w:hAnsi="宋体" w:cs="宋体" w:hint="eastAsia"/>
          <w:color w:val="333333"/>
          <w:kern w:val="0"/>
          <w:sz w:val="28"/>
          <w:szCs w:val="28"/>
        </w:rPr>
        <w:t>第五部分附件</w:t>
      </w:r>
    </w:p>
    <w:p w:rsidR="00232413" w:rsidRDefault="00232413">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p>
    <w:p w:rsidR="00232413" w:rsidRDefault="00232413">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p>
    <w:p w:rsidR="00232413" w:rsidRDefault="00232413">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p>
    <w:p w:rsidR="00232413" w:rsidRDefault="00232413">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p>
    <w:p w:rsidR="00232413" w:rsidRDefault="00232413">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p>
    <w:p w:rsidR="00232413" w:rsidRDefault="00232413">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p>
    <w:p w:rsidR="00232413" w:rsidRDefault="00232413">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p>
    <w:p w:rsidR="00232413" w:rsidRDefault="00232413">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p>
    <w:p w:rsidR="00232413" w:rsidRDefault="00232413">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p>
    <w:p w:rsidR="00232413" w:rsidRDefault="00232413">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p>
    <w:p w:rsidR="00232413" w:rsidRDefault="00232413">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p>
    <w:p w:rsidR="00232413" w:rsidRDefault="00232413">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p>
    <w:p w:rsidR="00232413" w:rsidRDefault="00232413">
      <w:pPr>
        <w:widowControl/>
        <w:shd w:val="clear" w:color="auto" w:fill="FFFFFF"/>
        <w:spacing w:line="408" w:lineRule="atLeast"/>
        <w:ind w:firstLine="480"/>
        <w:jc w:val="left"/>
        <w:textAlignment w:val="center"/>
        <w:rPr>
          <w:rFonts w:ascii="宋体" w:eastAsia="宋体" w:hAnsi="宋体" w:cs="宋体"/>
          <w:color w:val="333333"/>
          <w:kern w:val="0"/>
          <w:sz w:val="28"/>
          <w:szCs w:val="28"/>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0E30CE">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r>
        <w:rPr>
          <w:rFonts w:ascii="宋体" w:eastAsia="宋体" w:hAnsi="宋体" w:cs="宋体" w:hint="eastAsia"/>
          <w:b/>
          <w:bCs/>
          <w:color w:val="333333"/>
          <w:kern w:val="0"/>
          <w:sz w:val="32"/>
          <w:szCs w:val="32"/>
        </w:rPr>
        <w:t>第一部分</w:t>
      </w:r>
    </w:p>
    <w:p w:rsidR="00232413" w:rsidRDefault="000E30CE">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r>
        <w:rPr>
          <w:rFonts w:ascii="宋体" w:eastAsia="宋体" w:hAnsi="宋体" w:cs="宋体" w:hint="eastAsia"/>
          <w:b/>
          <w:bCs/>
          <w:color w:val="333333"/>
          <w:kern w:val="0"/>
          <w:sz w:val="32"/>
          <w:szCs w:val="32"/>
        </w:rPr>
        <w:t>湖南省公安厅机场公安局概况</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一、部门职责</w:t>
      </w:r>
    </w:p>
    <w:p w:rsidR="00232413" w:rsidRDefault="000E30CE">
      <w:pPr>
        <w:spacing w:line="580" w:lineRule="exact"/>
        <w:ind w:firstLineChars="200" w:firstLine="560"/>
        <w:rPr>
          <w:rFonts w:ascii="仿宋" w:eastAsia="仿宋" w:hAnsi="仿宋" w:cs="仿宋"/>
          <w:sz w:val="28"/>
          <w:szCs w:val="28"/>
        </w:rPr>
      </w:pPr>
      <w:r>
        <w:rPr>
          <w:rFonts w:ascii="仿宋" w:eastAsia="仿宋" w:hAnsi="仿宋" w:cs="仿宋" w:hint="eastAsia"/>
          <w:bCs/>
          <w:sz w:val="28"/>
          <w:szCs w:val="28"/>
        </w:rPr>
        <w:t>机场公安职责：</w:t>
      </w:r>
      <w:r>
        <w:rPr>
          <w:rFonts w:ascii="仿宋" w:eastAsia="仿宋" w:hAnsi="仿宋" w:cs="仿宋" w:hint="eastAsia"/>
          <w:sz w:val="28"/>
          <w:szCs w:val="28"/>
        </w:rPr>
        <w:t>我局具有独立执法主体资格，履行市州一级公安机关执法权限，主要负责机场范围内空防、治安和道路交通管理，包括维护安检现场秩序、处置非法干扰航空安全事件、打击处理危害民用航空安全违法犯罪行为和机场范围内其他治安、刑事案件以及专班机地面安全警卫工作。从工作性质看，机场公安工作具有安全性（以空防安全为核心）、服务性（以旅客为主要服务对象）、开放性（国门省门窗口）三个显著特征。</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二、机构设置</w:t>
      </w:r>
    </w:p>
    <w:p w:rsidR="00232413" w:rsidRDefault="000E30CE">
      <w:pPr>
        <w:spacing w:line="580" w:lineRule="exact"/>
        <w:ind w:firstLineChars="200" w:firstLine="560"/>
        <w:rPr>
          <w:rFonts w:ascii="仿宋" w:eastAsia="仿宋" w:hAnsi="仿宋" w:cs="仿宋"/>
          <w:sz w:val="28"/>
          <w:szCs w:val="28"/>
        </w:rPr>
      </w:pPr>
      <w:r>
        <w:rPr>
          <w:rFonts w:ascii="仿宋" w:eastAsia="仿宋" w:hAnsi="仿宋" w:cs="仿宋" w:hint="eastAsia"/>
          <w:bCs/>
          <w:sz w:val="28"/>
          <w:szCs w:val="28"/>
        </w:rPr>
        <w:t>机场公安机构设置情况：</w:t>
      </w:r>
      <w:r>
        <w:rPr>
          <w:rFonts w:ascii="仿宋" w:eastAsia="仿宋" w:hAnsi="仿宋" w:cs="仿宋" w:hint="eastAsia"/>
          <w:kern w:val="0"/>
          <w:sz w:val="28"/>
          <w:szCs w:val="28"/>
        </w:rPr>
        <w:t>我局</w:t>
      </w:r>
      <w:r>
        <w:rPr>
          <w:rFonts w:ascii="仿宋" w:eastAsia="仿宋" w:hAnsi="仿宋" w:cs="仿宋" w:hint="eastAsia"/>
          <w:sz w:val="28"/>
          <w:szCs w:val="28"/>
        </w:rPr>
        <w:t>下设</w:t>
      </w:r>
      <w:r>
        <w:rPr>
          <w:rFonts w:ascii="仿宋" w:eastAsia="仿宋" w:hAnsi="仿宋" w:cs="仿宋" w:hint="eastAsia"/>
          <w:kern w:val="0"/>
          <w:sz w:val="28"/>
          <w:szCs w:val="28"/>
        </w:rPr>
        <w:t>办公室、政治处、纪委、警务保障室、空防警卫支队、法制支队(直属分局)、治安（巡特警）支队、刑警（禁毒）支队、交警支队等9个内设</w:t>
      </w:r>
      <w:r>
        <w:rPr>
          <w:rFonts w:ascii="仿宋" w:eastAsia="仿宋" w:hAnsi="仿宋" w:cs="仿宋" w:hint="eastAsia"/>
          <w:caps/>
          <w:kern w:val="0"/>
          <w:sz w:val="28"/>
          <w:szCs w:val="28"/>
        </w:rPr>
        <w:t>机构，以及张家界机场公安分局和长沙、常德、怀化、永州机场派出所等5个派出机构，其中政治处、纪委、张家界机场公安分局为副处级机构，其余11个部门均为正科级机构。</w:t>
      </w:r>
      <w:r>
        <w:rPr>
          <w:rFonts w:ascii="仿宋" w:eastAsia="仿宋" w:hAnsi="仿宋" w:cs="仿宋" w:hint="eastAsia"/>
          <w:sz w:val="28"/>
          <w:szCs w:val="28"/>
        </w:rPr>
        <w:t>5个机场均设有机场交警大队，交警支队下设长沙机场交警大队，其余4个机场交警大队与所在机场派出所合署办公。目前，全省机场公安机构是两种管理体制并行，长沙、张家界、常德、怀化、永州五地机场派出所（分局）由我局直管，衡阳、邵阳、岳阳机场分局由地方公安机关管理。</w:t>
      </w:r>
    </w:p>
    <w:p w:rsidR="00232413" w:rsidRDefault="000E30CE">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本次决算公开范围为湖南省公安厅机场公安局本级，此级已为末级，无下属三级预算单位。</w:t>
      </w:r>
    </w:p>
    <w:p w:rsidR="00232413" w:rsidRDefault="00232413">
      <w:pPr>
        <w:spacing w:line="580" w:lineRule="exact"/>
        <w:ind w:firstLineChars="200" w:firstLine="560"/>
        <w:rPr>
          <w:rFonts w:ascii="仿宋" w:eastAsia="仿宋" w:hAnsi="仿宋" w:cs="仿宋"/>
          <w:sz w:val="28"/>
          <w:szCs w:val="28"/>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0E30CE">
      <w:pPr>
        <w:widowControl/>
        <w:shd w:val="clear" w:color="auto" w:fill="FFFFFF"/>
        <w:spacing w:line="580" w:lineRule="exact"/>
        <w:jc w:val="center"/>
        <w:textAlignment w:val="center"/>
        <w:rPr>
          <w:rFonts w:ascii="宋体" w:eastAsia="宋体" w:hAnsi="宋体" w:cs="宋体"/>
          <w:color w:val="333333"/>
          <w:kern w:val="0"/>
          <w:sz w:val="32"/>
          <w:szCs w:val="32"/>
        </w:rPr>
      </w:pPr>
      <w:r>
        <w:rPr>
          <w:rFonts w:ascii="宋体" w:eastAsia="宋体" w:hAnsi="宋体" w:cs="宋体" w:hint="eastAsia"/>
          <w:b/>
          <w:bCs/>
          <w:color w:val="333333"/>
          <w:kern w:val="0"/>
          <w:sz w:val="32"/>
          <w:szCs w:val="32"/>
        </w:rPr>
        <w:t>第二部分</w:t>
      </w:r>
    </w:p>
    <w:p w:rsidR="00232413" w:rsidRDefault="000E30CE">
      <w:pPr>
        <w:widowControl/>
        <w:shd w:val="clear" w:color="auto" w:fill="FFFFFF"/>
        <w:spacing w:line="580" w:lineRule="exact"/>
        <w:ind w:firstLineChars="1100" w:firstLine="3534"/>
        <w:textAlignment w:val="center"/>
        <w:rPr>
          <w:rFonts w:ascii="宋体" w:eastAsia="宋体" w:hAnsi="宋体" w:cs="宋体"/>
          <w:color w:val="333333"/>
          <w:kern w:val="0"/>
          <w:sz w:val="32"/>
          <w:szCs w:val="32"/>
        </w:rPr>
      </w:pPr>
      <w:r>
        <w:rPr>
          <w:rFonts w:ascii="宋体" w:eastAsia="宋体" w:hAnsi="宋体" w:cs="宋体" w:hint="eastAsia"/>
          <w:b/>
          <w:bCs/>
          <w:color w:val="333333"/>
          <w:kern w:val="0"/>
          <w:sz w:val="32"/>
          <w:szCs w:val="32"/>
        </w:rPr>
        <w:t>部门决算表</w:t>
      </w:r>
    </w:p>
    <w:p w:rsidR="00232413" w:rsidRDefault="004838D8" w:rsidP="00B55AA0">
      <w:pPr>
        <w:widowControl/>
        <w:shd w:val="clear" w:color="auto" w:fill="FFFFFF"/>
        <w:spacing w:line="580" w:lineRule="exact"/>
        <w:ind w:firstLineChars="200" w:firstLine="420"/>
        <w:jc w:val="center"/>
        <w:textAlignment w:val="center"/>
        <w:rPr>
          <w:rFonts w:ascii="仿宋" w:eastAsia="仿宋" w:hAnsi="仿宋" w:cs="仿宋"/>
          <w:color w:val="333333"/>
          <w:kern w:val="0"/>
          <w:sz w:val="28"/>
          <w:szCs w:val="28"/>
        </w:rPr>
      </w:pPr>
      <w:hyperlink r:id="rId7" w:tgtFrame="_blank" w:history="1">
        <w:r w:rsidR="000E30CE">
          <w:rPr>
            <w:rFonts w:ascii="仿宋" w:eastAsia="仿宋" w:hAnsi="仿宋" w:cs="仿宋" w:hint="eastAsia"/>
            <w:color w:val="333333"/>
            <w:kern w:val="0"/>
            <w:sz w:val="28"/>
            <w:szCs w:val="28"/>
          </w:rPr>
          <w:t>2021年度湖南省公安厅机场公安局部门决算公开表</w:t>
        </w:r>
      </w:hyperlink>
    </w:p>
    <w:p w:rsidR="00232413" w:rsidRDefault="004838D8">
      <w:pPr>
        <w:widowControl/>
        <w:shd w:val="clear" w:color="auto" w:fill="FFFFFF"/>
        <w:spacing w:line="580" w:lineRule="exact"/>
        <w:ind w:firstLineChars="200" w:firstLine="560"/>
        <w:jc w:val="center"/>
        <w:textAlignment w:val="center"/>
        <w:rPr>
          <w:rFonts w:ascii="仿宋" w:eastAsia="仿宋" w:hAnsi="仿宋" w:cs="仿宋"/>
          <w:color w:val="333333"/>
          <w:kern w:val="0"/>
          <w:sz w:val="44"/>
          <w:szCs w:val="44"/>
        </w:rPr>
      </w:pPr>
      <w:r w:rsidRPr="004838D8">
        <w:rPr>
          <w:rFonts w:ascii="仿宋" w:eastAsia="仿宋" w:hAnsi="仿宋" w:cs="仿宋"/>
          <w:color w:val="333333"/>
          <w:kern w:val="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w:pict>
      </w: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0E30CE">
      <w:pPr>
        <w:widowControl/>
        <w:shd w:val="clear" w:color="auto" w:fill="FFFFFF"/>
        <w:spacing w:line="580" w:lineRule="exact"/>
        <w:ind w:firstLineChars="200" w:firstLine="643"/>
        <w:jc w:val="center"/>
        <w:textAlignment w:val="center"/>
        <w:rPr>
          <w:rFonts w:ascii="宋体" w:eastAsia="宋体" w:hAnsi="宋体" w:cs="宋体"/>
          <w:color w:val="333333"/>
          <w:kern w:val="0"/>
          <w:sz w:val="32"/>
          <w:szCs w:val="32"/>
        </w:rPr>
      </w:pPr>
      <w:bookmarkStart w:id="0" w:name="_GoBack"/>
      <w:bookmarkEnd w:id="0"/>
      <w:r>
        <w:rPr>
          <w:rFonts w:ascii="宋体" w:eastAsia="宋体" w:hAnsi="宋体" w:cs="宋体" w:hint="eastAsia"/>
          <w:b/>
          <w:bCs/>
          <w:color w:val="333333"/>
          <w:kern w:val="0"/>
          <w:sz w:val="32"/>
          <w:szCs w:val="32"/>
        </w:rPr>
        <w:t>第三部分</w:t>
      </w:r>
    </w:p>
    <w:p w:rsidR="00232413" w:rsidRDefault="000E30CE">
      <w:pPr>
        <w:widowControl/>
        <w:shd w:val="clear" w:color="auto" w:fill="FFFFFF"/>
        <w:spacing w:line="580" w:lineRule="exact"/>
        <w:ind w:firstLineChars="200" w:firstLine="643"/>
        <w:jc w:val="center"/>
        <w:textAlignment w:val="center"/>
        <w:rPr>
          <w:rFonts w:ascii="宋体" w:eastAsia="宋体" w:hAnsi="宋体" w:cs="宋体"/>
          <w:color w:val="333333"/>
          <w:kern w:val="0"/>
          <w:sz w:val="32"/>
          <w:szCs w:val="32"/>
        </w:rPr>
      </w:pPr>
      <w:r>
        <w:rPr>
          <w:rFonts w:ascii="宋体" w:eastAsia="宋体" w:hAnsi="宋体" w:cs="宋体" w:hint="eastAsia"/>
          <w:b/>
          <w:bCs/>
          <w:color w:val="333333"/>
          <w:kern w:val="0"/>
          <w:sz w:val="32"/>
          <w:szCs w:val="32"/>
        </w:rPr>
        <w:t>2021年度部门决算情况说明</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一、收入支出决算总体情况说明</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2021年度收、支总计4678.21万元。与上年相比,减少652.82万元,减少12.24%,主要是因为：进一步加强了预算管理,最大限度盘活存量资金。</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二、收入决算情况说明</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本年收入合计4539.58万元,其中:财政拨款收入4211.73万元,占92.78%;其他收入327.85万元,占7.22%。</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三、支出决算情况说明</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本年支出合计4582.64万元,其中:基本支出3942.96万元,占86.04%;项目支出639.68万元,占13.96%。</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四、财政拨款收入支出决算总体情况说明</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2021年度财政拨款收、支总计4159.45万元,与上年相比,减少177.22万元,减少4.09%,主要是存在上年度结余结转指标大幅度减少。</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五、一般公共预算财政拨款支出决算情况说明</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(一)财政拨款支出决算总体情况</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2021年度财政拨款支出4159.45万元,占本年支出合计的90.77%,与上年相比,财政拨款支出减少177.22万元,减少4.09%,主要是人员经费中将与劳务派遣公司签订合同的辅警人员经费调整到劳务费中。</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(二)财政拨款支出决算结构情况</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2021年度财政拨款支出4159.45万元,主要用于以下方面:公共安全支出3371.45万元,占81.06%;社会保障和就业支出221万元,占</w:t>
      </w:r>
      <w:r>
        <w:rPr>
          <w:rFonts w:ascii="仿宋" w:eastAsia="仿宋" w:hAnsi="仿宋" w:cs="仿宋" w:hint="eastAsia"/>
          <w:color w:val="333333"/>
          <w:kern w:val="0"/>
          <w:sz w:val="28"/>
          <w:szCs w:val="28"/>
        </w:rPr>
        <w:lastRenderedPageBreak/>
        <w:t>5.31%;卫生健康支出232万元,占5.58%;住房保障支出335万元,占8.05%。</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(三)财政拨款支出决算具体情况</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2021年度财政拨款支出年初预算数为3578.65万元,支出决算数为4159.45万元,完成年初预算的116.23%,其中:</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1、公共安全支出。</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(1)公安行政运行。</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年初预算2691.65万元,支出决算2880.17万元,完成年初预算的107%,决算数大于年初预算数的主要原因是:支出年中追加的人员绩效奖金。</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(2)公安一般行政管理事务。</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年初预算110万元,支出决算261.3万元,完成年初预算的237.55%,决算数大于年初预算数的主要原因是:年中追加了中央转移支付资金。</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（3）公安执法办案。</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年初预算10万元,支出决算199.98万元,完成年初预算的1999.80%。决算数大于年初预算数的主要原因是:年中追加了公安执法办案经费。</w:t>
      </w:r>
    </w:p>
    <w:p w:rsidR="00232413" w:rsidRDefault="000E30CE">
      <w:pPr>
        <w:widowControl/>
        <w:numPr>
          <w:ilvl w:val="0"/>
          <w:numId w:val="1"/>
        </w:numPr>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其他公安支出</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年初预算数0万元，支出决算数30万元。决算数大于年初预算数的主要原因是:年中追加了其他公安支出费用。</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2、社会保障和就业支出</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(1)行政事业单位养老支出机关事业单位基本养老保险缴费支出。</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年初预算200万元,支出决算221万元,完成年初预算的110.5%.</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3、卫生健康支出</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lastRenderedPageBreak/>
        <w:t>(1)行政事业单位医疗行政单位医疗。</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年初预算130万元,支出决算130万元,完成年初预算数的100%。</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(2)行政事业单位医疗公务员医疗补助。</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年初预算100万元,支出决算102万元,完成年初预算数的102%。</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4、住房保障支出</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(1)住房改革支出住房公积金。</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年初预算230万元,支出决算230万元,完成年初预算数的100%。</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(2)住房改革支出购房补贴。</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年初预算105万元,支出决算105万元,完成年初预算的100%。</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六、一般公共预算财政拨款基本支出决算情况说明</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2021年度财政拨款基本支出3668.15万元,其中:人员经费3097.69万元,占基本支出的84.45%,主要包括基本工资、津贴补贴、奖金、伙食补助费、基本养老保险缴费、职业年金缴费、职工基本医疗保险缴费、公务员医疗补助缴费、其他社会保障缴费、住房公积金、其他工资福利支出、退休费、其他对个人和家庭的补助等;公用经费570.46万元,占基本支出的15.55%,主要包括办公费、印刷费、咨询费、手续费、邮电费、物业管理费、差旅费、维修(护)费、会议费、培训费、公务接待费、专用材料费、被装购置费、劳务费、工会经费、福利费、公务用车运行维护费、其他交通费用、其他商品和服务支出、办公设备购置、专用设备购置。</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七、一般公共预算财政拨款三公经费支出决算情况说明</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(一)“三公”经费财政拨款支出决算总体情况说明</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“三公”经费财政拨款支出预算为107.65万元,支出决算为105.41万元,完成预算的97.92%,其中:</w:t>
      </w:r>
    </w:p>
    <w:p w:rsidR="00B55AA0" w:rsidRPr="00B55AA0" w:rsidRDefault="00B55AA0" w:rsidP="00B55AA0">
      <w:pPr>
        <w:pStyle w:val="Default"/>
        <w:ind w:firstLineChars="200" w:firstLine="560"/>
        <w:rPr>
          <w:rFonts w:ascii="仿宋" w:eastAsia="仿宋" w:hAnsi="仿宋" w:cs="仿宋" w:hint="eastAsia"/>
          <w:color w:val="333333"/>
          <w:sz w:val="28"/>
          <w:szCs w:val="28"/>
        </w:rPr>
      </w:pPr>
      <w:r>
        <w:rPr>
          <w:rFonts w:ascii="仿宋" w:eastAsia="仿宋" w:hAnsi="仿宋" w:cs="仿宋" w:hint="eastAsia"/>
          <w:color w:val="333333"/>
          <w:sz w:val="28"/>
          <w:szCs w:val="28"/>
        </w:rPr>
        <w:lastRenderedPageBreak/>
        <w:t>因公出国（境）费支出预算0万元，支出决算0万元，</w:t>
      </w:r>
      <w:r w:rsidRPr="00B55AA0">
        <w:rPr>
          <w:rFonts w:ascii="仿宋" w:eastAsia="仿宋" w:hAnsi="仿宋" w:cs="仿宋" w:hint="eastAsia"/>
          <w:color w:val="333333"/>
          <w:sz w:val="28"/>
          <w:szCs w:val="28"/>
        </w:rPr>
        <w:t>与上年支出持平，均为0万元。</w:t>
      </w:r>
    </w:p>
    <w:p w:rsidR="00232413" w:rsidRDefault="000E30CE" w:rsidP="00B55AA0">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公务接待费支出预算为2.65万元,支出决算为0.41万元,完成预算的15.15%,决算数小于年初预算数的主要原因是管理规范,严控“三公”经费支出,公务接待费管控严格;年中压减公务接待费支出。</w:t>
      </w:r>
      <w:r w:rsidR="00B55AA0" w:rsidRPr="00B55AA0">
        <w:rPr>
          <w:rFonts w:ascii="仿宋" w:eastAsia="仿宋" w:hAnsi="仿宋" w:cs="仿宋" w:hint="eastAsia"/>
          <w:color w:val="333333"/>
          <w:kern w:val="0"/>
          <w:sz w:val="28"/>
          <w:szCs w:val="28"/>
        </w:rPr>
        <w:t>与上年支出</w:t>
      </w:r>
      <w:r w:rsidR="00B55AA0">
        <w:rPr>
          <w:rFonts w:ascii="仿宋" w:eastAsia="仿宋" w:hAnsi="仿宋" w:cs="仿宋" w:hint="eastAsia"/>
          <w:color w:val="333333"/>
          <w:kern w:val="0"/>
          <w:sz w:val="28"/>
          <w:szCs w:val="28"/>
        </w:rPr>
        <w:t>1.71</w:t>
      </w:r>
      <w:r w:rsidR="00B55AA0" w:rsidRPr="00B55AA0">
        <w:rPr>
          <w:rFonts w:ascii="仿宋" w:eastAsia="仿宋" w:hAnsi="仿宋" w:cs="仿宋" w:hint="eastAsia"/>
          <w:color w:val="333333"/>
          <w:kern w:val="0"/>
          <w:sz w:val="28"/>
          <w:szCs w:val="28"/>
        </w:rPr>
        <w:t>万元相比，</w:t>
      </w:r>
      <w:r w:rsidR="00B55AA0">
        <w:rPr>
          <w:rFonts w:ascii="仿宋" w:eastAsia="仿宋" w:hAnsi="仿宋" w:cs="仿宋" w:hint="eastAsia"/>
          <w:color w:val="333333"/>
          <w:kern w:val="0"/>
          <w:sz w:val="28"/>
          <w:szCs w:val="28"/>
        </w:rPr>
        <w:t>减少1.3</w:t>
      </w:r>
      <w:r w:rsidR="00B55AA0" w:rsidRPr="00B55AA0">
        <w:rPr>
          <w:rFonts w:ascii="仿宋" w:eastAsia="仿宋" w:hAnsi="仿宋" w:cs="仿宋" w:hint="eastAsia"/>
          <w:color w:val="333333"/>
          <w:kern w:val="0"/>
          <w:sz w:val="28"/>
          <w:szCs w:val="28"/>
        </w:rPr>
        <w:t>万元，减少</w:t>
      </w:r>
      <w:r w:rsidR="00B55AA0">
        <w:rPr>
          <w:rFonts w:ascii="仿宋" w:eastAsia="仿宋" w:hAnsi="仿宋" w:cs="仿宋" w:hint="eastAsia"/>
          <w:color w:val="333333"/>
          <w:kern w:val="0"/>
          <w:sz w:val="28"/>
          <w:szCs w:val="28"/>
        </w:rPr>
        <w:t>76.02</w:t>
      </w:r>
      <w:r w:rsidR="00B55AA0" w:rsidRPr="00B55AA0">
        <w:rPr>
          <w:rFonts w:ascii="仿宋" w:eastAsia="仿宋" w:hAnsi="仿宋" w:cs="仿宋" w:hint="eastAsia"/>
          <w:color w:val="333333"/>
          <w:kern w:val="0"/>
          <w:sz w:val="28"/>
          <w:szCs w:val="28"/>
        </w:rPr>
        <w:t>%，主要原因是受新冠肺炎疫情影响，公务接待减少。</w:t>
      </w:r>
    </w:p>
    <w:p w:rsidR="00232413" w:rsidRDefault="000E30CE" w:rsidP="00B55AA0">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公务用车购置费及运行维护费支出预算为105万元,支出决算为105万元,完成预算的100%。其中公务用车购置支出预算为60万元,支出决算为60万元,完成预算的100%</w:t>
      </w:r>
      <w:r w:rsidR="00B55AA0">
        <w:rPr>
          <w:rFonts w:ascii="仿宋" w:eastAsia="仿宋" w:hAnsi="仿宋" w:cs="仿宋" w:hint="eastAsia"/>
          <w:color w:val="333333"/>
          <w:kern w:val="0"/>
          <w:sz w:val="28"/>
          <w:szCs w:val="28"/>
        </w:rPr>
        <w:t>，</w:t>
      </w:r>
      <w:r w:rsidR="00B55AA0" w:rsidRPr="00B55AA0">
        <w:rPr>
          <w:rFonts w:ascii="仿宋" w:eastAsia="仿宋" w:hAnsi="仿宋" w:cs="仿宋" w:hint="eastAsia"/>
          <w:color w:val="333333"/>
          <w:kern w:val="0"/>
          <w:sz w:val="28"/>
          <w:szCs w:val="28"/>
        </w:rPr>
        <w:t>与上年支出</w:t>
      </w:r>
      <w:r w:rsidR="00B55AA0">
        <w:rPr>
          <w:rFonts w:ascii="仿宋" w:eastAsia="仿宋" w:hAnsi="仿宋" w:cs="仿宋" w:hint="eastAsia"/>
          <w:color w:val="333333"/>
          <w:kern w:val="0"/>
          <w:sz w:val="28"/>
          <w:szCs w:val="28"/>
        </w:rPr>
        <w:t>80</w:t>
      </w:r>
      <w:r w:rsidR="00B55AA0" w:rsidRPr="00B55AA0">
        <w:rPr>
          <w:rFonts w:ascii="仿宋" w:eastAsia="仿宋" w:hAnsi="仿宋" w:cs="仿宋" w:hint="eastAsia"/>
          <w:color w:val="333333"/>
          <w:kern w:val="0"/>
          <w:sz w:val="28"/>
          <w:szCs w:val="28"/>
        </w:rPr>
        <w:t>万元相比，减少</w:t>
      </w:r>
      <w:r w:rsidR="00B55AA0">
        <w:rPr>
          <w:rFonts w:ascii="仿宋" w:eastAsia="仿宋" w:hAnsi="仿宋" w:cs="仿宋" w:hint="eastAsia"/>
          <w:color w:val="333333"/>
          <w:kern w:val="0"/>
          <w:sz w:val="28"/>
          <w:szCs w:val="28"/>
        </w:rPr>
        <w:t>20</w:t>
      </w:r>
      <w:r w:rsidR="00B55AA0" w:rsidRPr="00B55AA0">
        <w:rPr>
          <w:rFonts w:ascii="仿宋" w:eastAsia="仿宋" w:hAnsi="仿宋" w:cs="仿宋" w:hint="eastAsia"/>
          <w:color w:val="333333"/>
          <w:kern w:val="0"/>
          <w:sz w:val="28"/>
          <w:szCs w:val="28"/>
        </w:rPr>
        <w:t>万元，减少</w:t>
      </w:r>
      <w:r w:rsidR="00B55AA0">
        <w:rPr>
          <w:rFonts w:ascii="仿宋" w:eastAsia="仿宋" w:hAnsi="仿宋" w:cs="仿宋" w:hint="eastAsia"/>
          <w:color w:val="333333"/>
          <w:kern w:val="0"/>
          <w:sz w:val="28"/>
          <w:szCs w:val="28"/>
        </w:rPr>
        <w:t>25</w:t>
      </w:r>
      <w:r w:rsidR="00B55AA0" w:rsidRPr="00B55AA0">
        <w:rPr>
          <w:rFonts w:ascii="仿宋" w:eastAsia="仿宋" w:hAnsi="仿宋" w:cs="仿宋" w:hint="eastAsia"/>
          <w:color w:val="333333"/>
          <w:kern w:val="0"/>
          <w:sz w:val="28"/>
          <w:szCs w:val="28"/>
        </w:rPr>
        <w:t>%，主要原因是</w:t>
      </w:r>
      <w:r w:rsidR="00B55AA0">
        <w:rPr>
          <w:rFonts w:ascii="仿宋" w:eastAsia="仿宋" w:hAnsi="仿宋" w:cs="仿宋" w:hint="eastAsia"/>
          <w:color w:val="333333"/>
          <w:kern w:val="0"/>
          <w:sz w:val="28"/>
          <w:szCs w:val="28"/>
        </w:rPr>
        <w:t>购车计划减少</w:t>
      </w:r>
      <w:r>
        <w:rPr>
          <w:rFonts w:ascii="仿宋" w:eastAsia="仿宋" w:hAnsi="仿宋" w:cs="仿宋" w:hint="eastAsia"/>
          <w:color w:val="333333"/>
          <w:kern w:val="0"/>
          <w:sz w:val="28"/>
          <w:szCs w:val="28"/>
        </w:rPr>
        <w:t>;公务用车运行维护支出预算为45万元,支出决算为45万元,完成预算的100%</w:t>
      </w:r>
      <w:r w:rsidR="00B55AA0">
        <w:rPr>
          <w:rFonts w:ascii="仿宋" w:eastAsia="仿宋" w:hAnsi="仿宋" w:cs="仿宋" w:hint="eastAsia"/>
          <w:color w:val="333333"/>
          <w:kern w:val="0"/>
          <w:sz w:val="28"/>
          <w:szCs w:val="28"/>
        </w:rPr>
        <w:t>，</w:t>
      </w:r>
      <w:r w:rsidR="00B55AA0" w:rsidRPr="00B55AA0">
        <w:rPr>
          <w:rFonts w:ascii="仿宋" w:eastAsia="仿宋" w:hAnsi="仿宋" w:cs="仿宋" w:hint="eastAsia"/>
          <w:color w:val="333333"/>
          <w:kern w:val="0"/>
          <w:sz w:val="28"/>
          <w:szCs w:val="28"/>
        </w:rPr>
        <w:t>与上年支出</w:t>
      </w:r>
      <w:r w:rsidR="00B55AA0">
        <w:rPr>
          <w:rFonts w:ascii="仿宋" w:eastAsia="仿宋" w:hAnsi="仿宋" w:cs="仿宋" w:hint="eastAsia"/>
          <w:color w:val="333333"/>
          <w:kern w:val="0"/>
          <w:sz w:val="28"/>
          <w:szCs w:val="28"/>
        </w:rPr>
        <w:t>50</w:t>
      </w:r>
      <w:r w:rsidR="00B55AA0" w:rsidRPr="00B55AA0">
        <w:rPr>
          <w:rFonts w:ascii="仿宋" w:eastAsia="仿宋" w:hAnsi="仿宋" w:cs="仿宋" w:hint="eastAsia"/>
          <w:color w:val="333333"/>
          <w:kern w:val="0"/>
          <w:sz w:val="28"/>
          <w:szCs w:val="28"/>
        </w:rPr>
        <w:t>万元相比，减少</w:t>
      </w:r>
      <w:r w:rsidR="00B55AA0">
        <w:rPr>
          <w:rFonts w:ascii="仿宋" w:eastAsia="仿宋" w:hAnsi="仿宋" w:cs="仿宋" w:hint="eastAsia"/>
          <w:color w:val="333333"/>
          <w:kern w:val="0"/>
          <w:sz w:val="28"/>
          <w:szCs w:val="28"/>
        </w:rPr>
        <w:t>5</w:t>
      </w:r>
      <w:r w:rsidR="00B55AA0" w:rsidRPr="00B55AA0">
        <w:rPr>
          <w:rFonts w:ascii="仿宋" w:eastAsia="仿宋" w:hAnsi="仿宋" w:cs="仿宋" w:hint="eastAsia"/>
          <w:color w:val="333333"/>
          <w:kern w:val="0"/>
          <w:sz w:val="28"/>
          <w:szCs w:val="28"/>
        </w:rPr>
        <w:t>万元，减少</w:t>
      </w:r>
      <w:r w:rsidR="00B55AA0">
        <w:rPr>
          <w:rFonts w:ascii="仿宋" w:eastAsia="仿宋" w:hAnsi="仿宋" w:cs="仿宋" w:hint="eastAsia"/>
          <w:color w:val="333333"/>
          <w:kern w:val="0"/>
          <w:sz w:val="28"/>
          <w:szCs w:val="28"/>
        </w:rPr>
        <w:t>10</w:t>
      </w:r>
      <w:r w:rsidR="00B55AA0" w:rsidRPr="00B55AA0">
        <w:rPr>
          <w:rFonts w:ascii="仿宋" w:eastAsia="仿宋" w:hAnsi="仿宋" w:cs="仿宋" w:hint="eastAsia"/>
          <w:color w:val="333333"/>
          <w:kern w:val="0"/>
          <w:sz w:val="28"/>
          <w:szCs w:val="28"/>
        </w:rPr>
        <w:t>%，主要原因是</w:t>
      </w:r>
      <w:r w:rsidR="00B55AA0">
        <w:rPr>
          <w:rFonts w:ascii="仿宋" w:eastAsia="仿宋" w:hAnsi="仿宋" w:cs="仿宋" w:hint="eastAsia"/>
          <w:color w:val="333333"/>
          <w:kern w:val="0"/>
          <w:sz w:val="28"/>
          <w:szCs w:val="28"/>
        </w:rPr>
        <w:t>公务出差量减少</w:t>
      </w:r>
      <w:r w:rsidR="00B55AA0" w:rsidRPr="00B55AA0">
        <w:rPr>
          <w:rFonts w:ascii="仿宋" w:eastAsia="仿宋" w:hAnsi="仿宋" w:cs="仿宋" w:hint="eastAsia"/>
          <w:color w:val="333333"/>
          <w:kern w:val="0"/>
          <w:sz w:val="28"/>
          <w:szCs w:val="28"/>
        </w:rPr>
        <w:t>。</w:t>
      </w:r>
    </w:p>
    <w:p w:rsidR="00232413" w:rsidRDefault="000E30CE">
      <w:pPr>
        <w:widowControl/>
        <w:numPr>
          <w:ilvl w:val="0"/>
          <w:numId w:val="2"/>
        </w:numPr>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“三公”经费财政拨款支出决算具体情况说明</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2021年度“三公”经费财政拨款支出决算中,公务接待费支出决算0.41万元,占0.39%,公务用车购置费及运行维护费支出决算105万元,占99.61%。其中:</w:t>
      </w:r>
    </w:p>
    <w:p w:rsidR="0019110F"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1、</w:t>
      </w:r>
      <w:r w:rsidR="0019110F">
        <w:rPr>
          <w:rFonts w:ascii="仿宋" w:eastAsia="仿宋" w:hAnsi="仿宋" w:cs="仿宋" w:hint="eastAsia"/>
          <w:color w:val="333333"/>
          <w:kern w:val="0"/>
          <w:sz w:val="28"/>
          <w:szCs w:val="28"/>
        </w:rPr>
        <w:t>因公出国（境）费支出决算为0万元，全年因公出国（境）团组0批次、因公出国（境）人数0人。</w:t>
      </w:r>
    </w:p>
    <w:p w:rsidR="00232413" w:rsidRDefault="0019110F">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2、</w:t>
      </w:r>
      <w:r w:rsidR="000E30CE">
        <w:rPr>
          <w:rFonts w:ascii="仿宋" w:eastAsia="仿宋" w:hAnsi="仿宋" w:cs="仿宋" w:hint="eastAsia"/>
          <w:color w:val="333333"/>
          <w:kern w:val="0"/>
          <w:sz w:val="28"/>
          <w:szCs w:val="28"/>
        </w:rPr>
        <w:t>公务接待费支出决算为0.41万元,全年共接待来访团组3个、来宾20人次,主要是国内公务接待活动发生的接待支出。</w:t>
      </w:r>
    </w:p>
    <w:p w:rsidR="00232413" w:rsidRDefault="0019110F">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3</w:t>
      </w:r>
      <w:r w:rsidR="000E30CE">
        <w:rPr>
          <w:rFonts w:ascii="仿宋" w:eastAsia="仿宋" w:hAnsi="仿宋" w:cs="仿宋" w:hint="eastAsia"/>
          <w:color w:val="333333"/>
          <w:kern w:val="0"/>
          <w:sz w:val="28"/>
          <w:szCs w:val="28"/>
        </w:rPr>
        <w:t>、公务用车购置费及运行维护费支出决算为105万元,其中:公务用车购置60万元，更新公务用车3辆。公务用车运行维护费45万元,</w:t>
      </w:r>
      <w:r w:rsidR="000E30CE">
        <w:rPr>
          <w:rFonts w:ascii="仿宋" w:eastAsia="仿宋" w:hAnsi="仿宋" w:cs="仿宋" w:hint="eastAsia"/>
          <w:color w:val="333333"/>
          <w:kern w:val="0"/>
          <w:sz w:val="28"/>
          <w:szCs w:val="28"/>
        </w:rPr>
        <w:lastRenderedPageBreak/>
        <w:t>主要是车辆维修及燃油支出,截止2020年12月31日,我单位开支财政拨款的公务用车保有量为25辆。</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八、关于机关运行经费支出说明</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本部门2021年度机关运行经费支出570.46万元,比上年决算数增加80.06万元,增长16.33%。主要原因是:各项机关运行成本增加。</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九、一般性支出情况</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2021年本部门开支会议费0万元。</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十、关于政府采购支出说明</w:t>
      </w:r>
    </w:p>
    <w:p w:rsidR="00232413" w:rsidRDefault="000E30CE" w:rsidP="00986A9F">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本部门2021年度政府采购支出总额110万元,其中:政府采购货物支出110万元</w:t>
      </w:r>
      <w:r w:rsidR="007579BF">
        <w:rPr>
          <w:rFonts w:ascii="仿宋" w:eastAsia="仿宋" w:hAnsi="仿宋" w:cs="仿宋" w:hint="eastAsia"/>
          <w:color w:val="333333"/>
          <w:kern w:val="0"/>
          <w:sz w:val="28"/>
          <w:szCs w:val="28"/>
        </w:rPr>
        <w:t>、工程、服务类支出均为0万元。</w:t>
      </w:r>
      <w:r w:rsidR="00986A9F" w:rsidRPr="00986A9F">
        <w:rPr>
          <w:rFonts w:ascii="仿宋" w:eastAsia="仿宋" w:hAnsi="仿宋" w:cs="仿宋" w:hint="eastAsia"/>
          <w:color w:val="333333"/>
          <w:kern w:val="0"/>
          <w:sz w:val="28"/>
          <w:szCs w:val="28"/>
        </w:rPr>
        <w:t>其中：授予小微企业合同金额</w:t>
      </w:r>
      <w:r w:rsidR="00986A9F">
        <w:rPr>
          <w:rFonts w:ascii="仿宋" w:eastAsia="仿宋" w:hAnsi="仿宋" w:cs="仿宋" w:hint="eastAsia"/>
          <w:color w:val="333333"/>
          <w:kern w:val="0"/>
          <w:sz w:val="28"/>
          <w:szCs w:val="28"/>
        </w:rPr>
        <w:t>0</w:t>
      </w:r>
      <w:r w:rsidR="00986A9F" w:rsidRPr="00986A9F">
        <w:rPr>
          <w:rFonts w:ascii="仿宋" w:eastAsia="仿宋" w:hAnsi="仿宋" w:cs="仿宋" w:hint="eastAsia"/>
          <w:color w:val="333333"/>
          <w:kern w:val="0"/>
          <w:sz w:val="28"/>
          <w:szCs w:val="28"/>
        </w:rPr>
        <w:t>万元。</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十一、关于国有资产占用情况说明</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截至2021年12月31日,本单位共有车辆24辆,其中,应急保障用车3辆、执法执勤用车21辆。</w:t>
      </w:r>
      <w:r w:rsidR="00986A9F" w:rsidRPr="00986A9F">
        <w:rPr>
          <w:rFonts w:ascii="仿宋" w:eastAsia="仿宋" w:hAnsi="仿宋" w:cs="仿宋" w:hint="eastAsia"/>
          <w:color w:val="333333"/>
          <w:kern w:val="0"/>
          <w:sz w:val="28"/>
          <w:szCs w:val="28"/>
        </w:rPr>
        <w:t>价值50万元以上通用设备</w:t>
      </w:r>
      <w:r w:rsidR="00986A9F">
        <w:rPr>
          <w:rFonts w:ascii="仿宋" w:eastAsia="仿宋" w:hAnsi="仿宋" w:cs="仿宋" w:hint="eastAsia"/>
          <w:color w:val="333333"/>
          <w:kern w:val="0"/>
          <w:sz w:val="28"/>
          <w:szCs w:val="28"/>
        </w:rPr>
        <w:t>0</w:t>
      </w:r>
      <w:r w:rsidR="00986A9F" w:rsidRPr="00986A9F">
        <w:rPr>
          <w:rFonts w:ascii="仿宋" w:eastAsia="仿宋" w:hAnsi="仿宋" w:cs="仿宋" w:hint="eastAsia"/>
          <w:color w:val="333333"/>
          <w:kern w:val="0"/>
          <w:sz w:val="28"/>
          <w:szCs w:val="28"/>
        </w:rPr>
        <w:t>台（套）；单位价值100万元以上专用设备</w:t>
      </w:r>
      <w:r w:rsidR="00986A9F">
        <w:rPr>
          <w:rFonts w:ascii="仿宋" w:eastAsia="仿宋" w:hAnsi="仿宋" w:cs="仿宋" w:hint="eastAsia"/>
          <w:color w:val="333333"/>
          <w:kern w:val="0"/>
          <w:sz w:val="28"/>
          <w:szCs w:val="28"/>
        </w:rPr>
        <w:t>0</w:t>
      </w:r>
      <w:r w:rsidR="00986A9F" w:rsidRPr="00986A9F">
        <w:rPr>
          <w:rFonts w:ascii="仿宋" w:eastAsia="仿宋" w:hAnsi="仿宋" w:cs="仿宋" w:hint="eastAsia"/>
          <w:color w:val="333333"/>
          <w:kern w:val="0"/>
          <w:sz w:val="28"/>
          <w:szCs w:val="28"/>
        </w:rPr>
        <w:t>台（套）。</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十二、关于2021年度预算绩效情况的说明</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本部门在收到《湖南省财政厅关于开展2021年度部门整体支出绩效自评工作的通知》后,局领导高度重视,迅速拟定整体支出绩效自评工作方案,组织单位进行自评工作。本部门预算绩效管理开展情况、绩效目标和绩效评价报告等均已按要求上报一级预算单位按照财政绩效部门要求已公开。</w:t>
      </w:r>
    </w:p>
    <w:p w:rsidR="00232413" w:rsidRDefault="00232413">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rsidP="005E7318">
      <w:pPr>
        <w:widowControl/>
        <w:shd w:val="clear" w:color="auto" w:fill="FFFFFF"/>
        <w:spacing w:line="580" w:lineRule="exact"/>
        <w:textAlignment w:val="center"/>
        <w:rPr>
          <w:rFonts w:ascii="宋体" w:eastAsia="宋体" w:hAnsi="宋体" w:cs="宋体"/>
          <w:b/>
          <w:bCs/>
          <w:color w:val="333333"/>
          <w:kern w:val="0"/>
          <w:sz w:val="32"/>
          <w:szCs w:val="32"/>
        </w:rPr>
      </w:pPr>
    </w:p>
    <w:p w:rsidR="00232413" w:rsidRDefault="000E30CE">
      <w:pPr>
        <w:widowControl/>
        <w:shd w:val="clear" w:color="auto" w:fill="FFFFFF"/>
        <w:spacing w:line="580" w:lineRule="exact"/>
        <w:ind w:firstLineChars="200" w:firstLine="643"/>
        <w:jc w:val="center"/>
        <w:textAlignment w:val="center"/>
        <w:rPr>
          <w:rFonts w:ascii="宋体" w:eastAsia="宋体" w:hAnsi="宋体" w:cs="宋体"/>
          <w:color w:val="333333"/>
          <w:kern w:val="0"/>
          <w:sz w:val="32"/>
          <w:szCs w:val="32"/>
        </w:rPr>
      </w:pPr>
      <w:r>
        <w:rPr>
          <w:rFonts w:ascii="宋体" w:eastAsia="宋体" w:hAnsi="宋体" w:cs="宋体" w:hint="eastAsia"/>
          <w:b/>
          <w:bCs/>
          <w:color w:val="333333"/>
          <w:kern w:val="0"/>
          <w:sz w:val="32"/>
          <w:szCs w:val="32"/>
        </w:rPr>
        <w:t>第四部分</w:t>
      </w:r>
    </w:p>
    <w:p w:rsidR="00232413" w:rsidRDefault="000E30CE">
      <w:pPr>
        <w:widowControl/>
        <w:shd w:val="clear" w:color="auto" w:fill="FFFFFF"/>
        <w:spacing w:line="580" w:lineRule="exact"/>
        <w:ind w:firstLineChars="200" w:firstLine="643"/>
        <w:jc w:val="center"/>
        <w:textAlignment w:val="center"/>
        <w:rPr>
          <w:rFonts w:ascii="宋体" w:eastAsia="宋体" w:hAnsi="宋体" w:cs="宋体"/>
          <w:color w:val="333333"/>
          <w:kern w:val="0"/>
          <w:sz w:val="32"/>
          <w:szCs w:val="32"/>
        </w:rPr>
      </w:pPr>
      <w:r>
        <w:rPr>
          <w:rFonts w:ascii="宋体" w:eastAsia="宋体" w:hAnsi="宋体" w:cs="宋体" w:hint="eastAsia"/>
          <w:b/>
          <w:bCs/>
          <w:color w:val="333333"/>
          <w:kern w:val="0"/>
          <w:sz w:val="32"/>
          <w:szCs w:val="32"/>
        </w:rPr>
        <w:t>名词解释</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一、财政拨款收入:指同级财政当年拨付的资金。</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二、其他收入:指除上述“财政拨款收入”、“事业收入”、“经营收入”等以外的收入。主要是按规定动用的售房收入、存款利息收入等。</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三、年初结转和结余:指以前年度尚未完成、结转到本年按有关规定继续使用的资金。</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四、年末结转和结余:指本年度或以前年度预算安排、因客观条件发生变化无法按原计划实施,需延迟到以后年度按有关规定继续使用的资金。</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五、基本支出:指为保障机构正常运转、完成日常工作任务而发生的人员支出和公用支出。</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六、项目支出:指在基本支出之外为完成特定行政任务和事业发展目标所发生的支出。</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lastRenderedPageBreak/>
        <w:t>七、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r>
        <w:rPr>
          <w:rFonts w:ascii="仿宋" w:eastAsia="仿宋" w:hAnsi="仿宋" w:cs="仿宋" w:hint="eastAsia"/>
          <w:color w:val="333333"/>
          <w:kern w:val="0"/>
          <w:sz w:val="28"/>
          <w:szCs w:val="28"/>
        </w:rPr>
        <w:t>十、“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232413" w:rsidRDefault="00232413">
      <w:pPr>
        <w:widowControl/>
        <w:shd w:val="clear" w:color="auto" w:fill="FFFFFF"/>
        <w:spacing w:line="580" w:lineRule="exact"/>
        <w:ind w:firstLineChars="200" w:firstLine="560"/>
        <w:jc w:val="left"/>
        <w:textAlignment w:val="center"/>
        <w:rPr>
          <w:rFonts w:ascii="仿宋" w:eastAsia="仿宋" w:hAnsi="仿宋" w:cs="仿宋"/>
          <w:color w:val="333333"/>
          <w:kern w:val="0"/>
          <w:sz w:val="28"/>
          <w:szCs w:val="28"/>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232413">
      <w:pPr>
        <w:widowControl/>
        <w:shd w:val="clear" w:color="auto" w:fill="FFFFFF"/>
        <w:spacing w:line="580" w:lineRule="exact"/>
        <w:ind w:firstLineChars="200" w:firstLine="643"/>
        <w:jc w:val="center"/>
        <w:textAlignment w:val="center"/>
        <w:rPr>
          <w:rFonts w:ascii="宋体" w:eastAsia="宋体" w:hAnsi="宋体" w:cs="宋体"/>
          <w:b/>
          <w:bCs/>
          <w:color w:val="333333"/>
          <w:kern w:val="0"/>
          <w:sz w:val="32"/>
          <w:szCs w:val="32"/>
        </w:rPr>
      </w:pPr>
    </w:p>
    <w:p w:rsidR="00232413" w:rsidRDefault="000E30CE">
      <w:pPr>
        <w:widowControl/>
        <w:shd w:val="clear" w:color="auto" w:fill="FFFFFF"/>
        <w:spacing w:line="580" w:lineRule="exact"/>
        <w:ind w:firstLineChars="200" w:firstLine="643"/>
        <w:jc w:val="center"/>
        <w:textAlignment w:val="center"/>
        <w:rPr>
          <w:rFonts w:ascii="宋体" w:eastAsia="宋体" w:hAnsi="宋体" w:cs="宋体"/>
          <w:color w:val="333333"/>
          <w:kern w:val="0"/>
          <w:sz w:val="32"/>
          <w:szCs w:val="32"/>
        </w:rPr>
      </w:pPr>
      <w:r>
        <w:rPr>
          <w:rFonts w:ascii="宋体" w:eastAsia="宋体" w:hAnsi="宋体" w:cs="宋体" w:hint="eastAsia"/>
          <w:b/>
          <w:bCs/>
          <w:color w:val="333333"/>
          <w:kern w:val="0"/>
          <w:sz w:val="32"/>
          <w:szCs w:val="32"/>
        </w:rPr>
        <w:t>第五部分</w:t>
      </w:r>
    </w:p>
    <w:p w:rsidR="00232413" w:rsidRDefault="000E30CE">
      <w:pPr>
        <w:widowControl/>
        <w:shd w:val="clear" w:color="auto" w:fill="FFFFFF"/>
        <w:spacing w:line="580" w:lineRule="exact"/>
        <w:ind w:firstLineChars="200" w:firstLine="643"/>
        <w:jc w:val="center"/>
        <w:textAlignment w:val="center"/>
        <w:rPr>
          <w:rFonts w:ascii="宋体" w:eastAsia="宋体" w:hAnsi="宋体" w:cs="宋体"/>
          <w:color w:val="333333"/>
          <w:kern w:val="0"/>
          <w:sz w:val="32"/>
          <w:szCs w:val="32"/>
        </w:rPr>
      </w:pPr>
      <w:r>
        <w:rPr>
          <w:rFonts w:ascii="宋体" w:eastAsia="宋体" w:hAnsi="宋体" w:cs="宋体" w:hint="eastAsia"/>
          <w:b/>
          <w:bCs/>
          <w:color w:val="333333"/>
          <w:kern w:val="0"/>
          <w:sz w:val="32"/>
          <w:szCs w:val="32"/>
        </w:rPr>
        <w:t>附件</w:t>
      </w:r>
    </w:p>
    <w:p w:rsidR="00232413" w:rsidRDefault="000E30CE">
      <w:pPr>
        <w:widowControl/>
        <w:shd w:val="clear" w:color="auto" w:fill="FFFFFF"/>
        <w:spacing w:line="580" w:lineRule="exact"/>
        <w:ind w:firstLineChars="200" w:firstLine="560"/>
        <w:jc w:val="left"/>
        <w:textAlignment w:val="center"/>
        <w:rPr>
          <w:rFonts w:ascii="仿宋" w:eastAsia="仿宋" w:hAnsi="仿宋" w:cs="仿宋"/>
          <w:sz w:val="28"/>
          <w:szCs w:val="28"/>
        </w:rPr>
      </w:pPr>
      <w:r>
        <w:rPr>
          <w:rFonts w:ascii="仿宋" w:eastAsia="仿宋" w:hAnsi="仿宋" w:cs="仿宋" w:hint="eastAsia"/>
          <w:color w:val="333333"/>
          <w:kern w:val="0"/>
          <w:sz w:val="28"/>
          <w:szCs w:val="28"/>
        </w:rPr>
        <w:t>附件:1、</w:t>
      </w:r>
      <w:r w:rsidR="004838D8" w:rsidRPr="004838D8">
        <w:rPr>
          <w:rFonts w:ascii="仿宋" w:eastAsia="仿宋" w:hAnsi="仿宋" w:cs="仿宋"/>
          <w:color w:val="333333"/>
          <w:kern w:val="0"/>
          <w:sz w:val="28"/>
          <w:szCs w:val="28"/>
        </w:rPr>
        <w:pict>
          <v:shape id="_x0000_i1026" type="#_x0000_t75" style="width:24pt;height:24pt"/>
        </w:pict>
      </w:r>
      <w:hyperlink r:id="rId8" w:tgtFrame="_blank" w:history="1">
        <w:r>
          <w:rPr>
            <w:rFonts w:ascii="仿宋" w:eastAsia="仿宋" w:hAnsi="仿宋" w:cs="仿宋" w:hint="eastAsia"/>
            <w:color w:val="333333"/>
            <w:kern w:val="0"/>
            <w:sz w:val="28"/>
            <w:szCs w:val="28"/>
          </w:rPr>
          <w:t>2021年绩效自评报告</w:t>
        </w:r>
      </w:hyperlink>
    </w:p>
    <w:sectPr w:rsidR="00232413" w:rsidSect="00232413">
      <w:pgSz w:w="11906" w:h="16838"/>
      <w:pgMar w:top="1440"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7FD" w:rsidRDefault="00B867FD" w:rsidP="007579BF">
      <w:r>
        <w:separator/>
      </w:r>
    </w:p>
  </w:endnote>
  <w:endnote w:type="continuationSeparator" w:id="0">
    <w:p w:rsidR="00B867FD" w:rsidRDefault="00B867FD" w:rsidP="007579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7FD" w:rsidRDefault="00B867FD" w:rsidP="007579BF">
      <w:r>
        <w:separator/>
      </w:r>
    </w:p>
  </w:footnote>
  <w:footnote w:type="continuationSeparator" w:id="0">
    <w:p w:rsidR="00B867FD" w:rsidRDefault="00B867FD" w:rsidP="007579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0D4D188"/>
    <w:multiLevelType w:val="singleLevel"/>
    <w:tmpl w:val="A0D4D188"/>
    <w:lvl w:ilvl="0">
      <w:start w:val="4"/>
      <w:numFmt w:val="decimal"/>
      <w:lvlText w:val="(%1)"/>
      <w:lvlJc w:val="left"/>
      <w:pPr>
        <w:tabs>
          <w:tab w:val="left" w:pos="312"/>
        </w:tabs>
      </w:pPr>
    </w:lvl>
  </w:abstractNum>
  <w:abstractNum w:abstractNumId="1">
    <w:nsid w:val="B60AF008"/>
    <w:multiLevelType w:val="singleLevel"/>
    <w:tmpl w:val="B60AF008"/>
    <w:lvl w:ilvl="0">
      <w:start w:val="2"/>
      <w:numFmt w:val="chineseCounting"/>
      <w:lvlText w:val="(%1)"/>
      <w:lvlJc w:val="left"/>
      <w:pPr>
        <w:tabs>
          <w:tab w:val="left" w:pos="312"/>
        </w:tabs>
      </w:pPr>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jNiNGNhYTZkZGU2NDQ2ZGNkZWIzNWY2MGJhZjc0ZTMifQ=="/>
  </w:docVars>
  <w:rsids>
    <w:rsidRoot w:val="00153366"/>
    <w:rsid w:val="000E30CE"/>
    <w:rsid w:val="00153366"/>
    <w:rsid w:val="0019110F"/>
    <w:rsid w:val="00232413"/>
    <w:rsid w:val="004838D8"/>
    <w:rsid w:val="005E7318"/>
    <w:rsid w:val="007579BF"/>
    <w:rsid w:val="008E4C52"/>
    <w:rsid w:val="00986A9F"/>
    <w:rsid w:val="00B55AA0"/>
    <w:rsid w:val="00B867FD"/>
    <w:rsid w:val="036839EA"/>
    <w:rsid w:val="038939EE"/>
    <w:rsid w:val="03A10CAA"/>
    <w:rsid w:val="0457427E"/>
    <w:rsid w:val="05D94B1F"/>
    <w:rsid w:val="05E337FC"/>
    <w:rsid w:val="062019C8"/>
    <w:rsid w:val="06462B73"/>
    <w:rsid w:val="06FA704F"/>
    <w:rsid w:val="07155C37"/>
    <w:rsid w:val="083D71F3"/>
    <w:rsid w:val="083F3B4C"/>
    <w:rsid w:val="09B169A6"/>
    <w:rsid w:val="0B675267"/>
    <w:rsid w:val="0D3972CA"/>
    <w:rsid w:val="0DFF319D"/>
    <w:rsid w:val="0F710C3E"/>
    <w:rsid w:val="0F9A13CF"/>
    <w:rsid w:val="10F33366"/>
    <w:rsid w:val="116D1554"/>
    <w:rsid w:val="14F66E33"/>
    <w:rsid w:val="1529321C"/>
    <w:rsid w:val="18520F02"/>
    <w:rsid w:val="19A2163C"/>
    <w:rsid w:val="1AA2738A"/>
    <w:rsid w:val="1DE008F5"/>
    <w:rsid w:val="1E637099"/>
    <w:rsid w:val="1F681D67"/>
    <w:rsid w:val="24A563F4"/>
    <w:rsid w:val="25930C4E"/>
    <w:rsid w:val="25965D3D"/>
    <w:rsid w:val="25ED1E01"/>
    <w:rsid w:val="266439A7"/>
    <w:rsid w:val="27931300"/>
    <w:rsid w:val="28261BB2"/>
    <w:rsid w:val="2CF00429"/>
    <w:rsid w:val="30394B17"/>
    <w:rsid w:val="306C6018"/>
    <w:rsid w:val="31A663F6"/>
    <w:rsid w:val="35157451"/>
    <w:rsid w:val="355F614C"/>
    <w:rsid w:val="362058DB"/>
    <w:rsid w:val="39292CF8"/>
    <w:rsid w:val="3B2D5047"/>
    <w:rsid w:val="3BE70C49"/>
    <w:rsid w:val="3C0812EB"/>
    <w:rsid w:val="3CD64F45"/>
    <w:rsid w:val="3D145A6E"/>
    <w:rsid w:val="3E503CE4"/>
    <w:rsid w:val="409C0254"/>
    <w:rsid w:val="40F55BB6"/>
    <w:rsid w:val="428611BC"/>
    <w:rsid w:val="44704AD0"/>
    <w:rsid w:val="44D511D2"/>
    <w:rsid w:val="4769572F"/>
    <w:rsid w:val="47BC11DC"/>
    <w:rsid w:val="48550206"/>
    <w:rsid w:val="495518E8"/>
    <w:rsid w:val="4B0C4228"/>
    <w:rsid w:val="4CF475BC"/>
    <w:rsid w:val="4D371A30"/>
    <w:rsid w:val="4E3A1B6F"/>
    <w:rsid w:val="4F22401A"/>
    <w:rsid w:val="4F506DD9"/>
    <w:rsid w:val="5375713C"/>
    <w:rsid w:val="5AA63D51"/>
    <w:rsid w:val="5C7659A5"/>
    <w:rsid w:val="5F48187B"/>
    <w:rsid w:val="61E03B35"/>
    <w:rsid w:val="662D17CA"/>
    <w:rsid w:val="66CD507B"/>
    <w:rsid w:val="684B5F38"/>
    <w:rsid w:val="68EC1EB1"/>
    <w:rsid w:val="68F51100"/>
    <w:rsid w:val="695232F6"/>
    <w:rsid w:val="69C54851"/>
    <w:rsid w:val="6B594F7E"/>
    <w:rsid w:val="6D9F1AF2"/>
    <w:rsid w:val="74980757"/>
    <w:rsid w:val="74E45AC5"/>
    <w:rsid w:val="75AF3FAA"/>
    <w:rsid w:val="777C7EBC"/>
    <w:rsid w:val="786E2A00"/>
    <w:rsid w:val="78827754"/>
    <w:rsid w:val="78B6564F"/>
    <w:rsid w:val="7A28432B"/>
    <w:rsid w:val="7A4340A1"/>
    <w:rsid w:val="7B9F23CB"/>
    <w:rsid w:val="7C6A3940"/>
    <w:rsid w:val="7CB85C05"/>
    <w:rsid w:val="7D052701"/>
    <w:rsid w:val="7DCD76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413"/>
    <w:pPr>
      <w:widowControl w:val="0"/>
      <w:jc w:val="both"/>
    </w:pPr>
    <w:rPr>
      <w:kern w:val="2"/>
      <w:sz w:val="21"/>
      <w:szCs w:val="22"/>
    </w:rPr>
  </w:style>
  <w:style w:type="paragraph" w:styleId="2">
    <w:name w:val="heading 2"/>
    <w:basedOn w:val="a"/>
    <w:next w:val="a"/>
    <w:link w:val="2Char"/>
    <w:uiPriority w:val="9"/>
    <w:qFormat/>
    <w:rsid w:val="0023241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rsid w:val="00232413"/>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232413"/>
    <w:rPr>
      <w:color w:val="0000FF"/>
      <w:u w:val="single"/>
    </w:rPr>
  </w:style>
  <w:style w:type="character" w:customStyle="1" w:styleId="2Char">
    <w:name w:val="标题 2 Char"/>
    <w:basedOn w:val="a0"/>
    <w:link w:val="2"/>
    <w:uiPriority w:val="9"/>
    <w:qFormat/>
    <w:rsid w:val="00232413"/>
    <w:rPr>
      <w:rFonts w:ascii="宋体" w:eastAsia="宋体" w:hAnsi="宋体" w:cs="宋体"/>
      <w:b/>
      <w:bCs/>
      <w:kern w:val="0"/>
      <w:sz w:val="36"/>
      <w:szCs w:val="36"/>
    </w:rPr>
  </w:style>
  <w:style w:type="character" w:customStyle="1" w:styleId="dozoom">
    <w:name w:val="dozoom"/>
    <w:basedOn w:val="a0"/>
    <w:qFormat/>
    <w:rsid w:val="00232413"/>
  </w:style>
  <w:style w:type="paragraph" w:styleId="a5">
    <w:name w:val="header"/>
    <w:basedOn w:val="a"/>
    <w:link w:val="Char"/>
    <w:uiPriority w:val="99"/>
    <w:semiHidden/>
    <w:unhideWhenUsed/>
    <w:rsid w:val="007579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7579BF"/>
    <w:rPr>
      <w:kern w:val="2"/>
      <w:sz w:val="18"/>
      <w:szCs w:val="18"/>
    </w:rPr>
  </w:style>
  <w:style w:type="paragraph" w:styleId="a6">
    <w:name w:val="footer"/>
    <w:basedOn w:val="a"/>
    <w:link w:val="Char0"/>
    <w:uiPriority w:val="99"/>
    <w:semiHidden/>
    <w:unhideWhenUsed/>
    <w:rsid w:val="007579BF"/>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7579BF"/>
    <w:rPr>
      <w:kern w:val="2"/>
      <w:sz w:val="18"/>
      <w:szCs w:val="18"/>
    </w:rPr>
  </w:style>
  <w:style w:type="paragraph" w:customStyle="1" w:styleId="Default">
    <w:name w:val="Default"/>
    <w:qFormat/>
    <w:rsid w:val="00B55AA0"/>
    <w:pPr>
      <w:widowControl w:val="0"/>
      <w:autoSpaceDE w:val="0"/>
      <w:autoSpaceDN w:val="0"/>
      <w:adjustRightInd w:val="0"/>
    </w:pPr>
    <w:rPr>
      <w:rFonts w:ascii="黑体" w:eastAsia="黑体" w:cs="黑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gat.hunan.gov.cn/gat/jwgk/zfxxgk/xxgkml/czxx/sgjf/202109/20425600/files/97b554b94363487e9fd727fca44c9d48.doc" TargetMode="External"/><Relationship Id="rId3" Type="http://schemas.openxmlformats.org/officeDocument/2006/relationships/settings" Target="settings.xml"/><Relationship Id="rId7" Type="http://schemas.openxmlformats.org/officeDocument/2006/relationships/hyperlink" Target="http://gat.hunan.gov.cn/gat/jwgk/zfxxgk/xxgkml/czxx/sgjf/202109/20425600/files/30b1a84321094a9aa2e3e7648aa7a2ed.x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12</Pages>
  <Words>733</Words>
  <Characters>4183</Characters>
  <Application>Microsoft Office Word</Application>
  <DocSecurity>0</DocSecurity>
  <Lines>34</Lines>
  <Paragraphs>9</Paragraphs>
  <ScaleCrop>false</ScaleCrop>
  <Company>Microsoft</Company>
  <LinksUpToDate>false</LinksUpToDate>
  <CharactersWithSpaces>4907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dc:creator>
  <cp:lastModifiedBy>李宗懋</cp:lastModifiedBy>
  <cp:revision>6</cp:revision>
  <cp:lastPrinted>2022-09-16T07:56:00Z</cp:lastPrinted>
  <dcterms:created xsi:type="dcterms:W3CDTF">2021-09-16T04:15:00Z</dcterms:created>
  <dcterms:modified xsi:type="dcterms:W3CDTF">2023-10-09T01:04:00Z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AED4A878E54D480DAAE120FFFA739B57</vt:lpwstr>
  </property>
</Properties>
</file>