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28"/>
          <w:szCs w:val="28"/>
        </w:rPr>
      </w:pPr>
      <w:r>
        <w:rPr>
          <w:rFonts w:hint="eastAsia"/>
          <w:b/>
          <w:sz w:val="28"/>
          <w:szCs w:val="28"/>
        </w:rPr>
        <w:t>2021年度湖南省公安厅机场公安局整体支出绩效自评报告</w:t>
      </w:r>
    </w:p>
    <w:p>
      <w:pPr>
        <w:spacing w:line="360" w:lineRule="auto"/>
        <w:jc w:val="center"/>
        <w:rPr>
          <w:sz w:val="24"/>
          <w:szCs w:val="24"/>
        </w:rPr>
      </w:pPr>
    </w:p>
    <w:p>
      <w:pPr>
        <w:spacing w:line="360" w:lineRule="auto"/>
        <w:rPr>
          <w:rFonts w:asciiTheme="minorEastAsia" w:hAnsiTheme="minorEastAsia"/>
          <w:sz w:val="24"/>
          <w:szCs w:val="24"/>
        </w:rPr>
      </w:pPr>
      <w:r>
        <w:rPr>
          <w:rFonts w:hint="eastAsia" w:asciiTheme="minorEastAsia" w:hAnsiTheme="minorEastAsia"/>
          <w:sz w:val="24"/>
          <w:szCs w:val="24"/>
        </w:rPr>
        <w:t>一.基本情况</w:t>
      </w:r>
    </w:p>
    <w:p>
      <w:pPr>
        <w:spacing w:line="360" w:lineRule="auto"/>
        <w:rPr>
          <w:rFonts w:asciiTheme="minorEastAsia" w:hAnsiTheme="minorEastAsia"/>
          <w:sz w:val="24"/>
          <w:szCs w:val="24"/>
        </w:rPr>
      </w:pPr>
      <w:r>
        <w:rPr>
          <w:rFonts w:hint="eastAsia" w:asciiTheme="minorEastAsia" w:hAnsiTheme="minorEastAsia"/>
          <w:sz w:val="24"/>
          <w:szCs w:val="24"/>
        </w:rPr>
        <w:t>（一）主要职能</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按照民航局，公安部【2003】138号和湘公发【2004】8号文件规定，我局具有独立执法主体资格，履行市州一级公安机关执法权限，主要职责：一是贯彻执行国家有关空防安全工作的法律，法规，规章和上级政府机构及上级民航公安机关的指示，要求。二是负责对飞行机组，空中警察，安检部门移交的案件进行查处。三是负责空防安全信息和工作情况的收集，统计和上报。四是处置非法干扰航空安全事件。五是负责机场范围治安管理和交通管理。六是负责危害民用航空安全犯罪和机场范围内其他刑事犯罪案件侦破工作。七是负责所在机场专机地面安全警卫工作。</w:t>
      </w:r>
    </w:p>
    <w:p>
      <w:pPr>
        <w:spacing w:line="360" w:lineRule="auto"/>
        <w:rPr>
          <w:rFonts w:asciiTheme="minorEastAsia" w:hAnsiTheme="minorEastAsia"/>
          <w:sz w:val="24"/>
          <w:szCs w:val="24"/>
        </w:rPr>
      </w:pPr>
      <w:r>
        <w:rPr>
          <w:rFonts w:hint="eastAsia" w:asciiTheme="minorEastAsia" w:hAnsiTheme="minorEastAsia"/>
          <w:sz w:val="24"/>
          <w:szCs w:val="24"/>
        </w:rPr>
        <w:t>（二）局机构编制情况</w:t>
      </w:r>
    </w:p>
    <w:p>
      <w:pPr>
        <w:spacing w:line="360" w:lineRule="auto"/>
        <w:ind w:firstLine="480" w:firstLineChars="200"/>
        <w:rPr>
          <w:rFonts w:hint="eastAsia" w:cs="Times New Roman" w:asciiTheme="minorEastAsia" w:hAnsiTheme="minorEastAsia"/>
          <w:sz w:val="24"/>
          <w:szCs w:val="24"/>
        </w:rPr>
      </w:pPr>
      <w:r>
        <w:rPr>
          <w:rFonts w:hint="eastAsia" w:cs="Times New Roman" w:asciiTheme="minorEastAsia" w:hAnsiTheme="minorEastAsia"/>
          <w:kern w:val="0"/>
          <w:sz w:val="24"/>
          <w:szCs w:val="24"/>
        </w:rPr>
        <w:t>我局</w:t>
      </w:r>
      <w:r>
        <w:rPr>
          <w:rFonts w:hint="eastAsia" w:cs="仿宋_GB2312" w:asciiTheme="minorEastAsia" w:hAnsiTheme="minorEastAsia"/>
          <w:sz w:val="24"/>
          <w:szCs w:val="24"/>
        </w:rPr>
        <w:t>下设</w:t>
      </w:r>
      <w:r>
        <w:rPr>
          <w:rFonts w:hint="eastAsia" w:cs="Times New Roman" w:asciiTheme="minorEastAsia" w:hAnsiTheme="minorEastAsia"/>
          <w:kern w:val="0"/>
          <w:sz w:val="24"/>
          <w:szCs w:val="24"/>
        </w:rPr>
        <w:t>办公室、纪委、政治处（机关党委）、装备财务室、空防警卫科、直属分局（法制支队）、治安（巡特警）支队、刑警（禁毒）支队、交警支队等9个内设</w:t>
      </w:r>
      <w:r>
        <w:rPr>
          <w:rFonts w:hint="eastAsia" w:cs="Times New Roman" w:asciiTheme="minorEastAsia" w:hAnsiTheme="minorEastAsia"/>
          <w:caps/>
          <w:kern w:val="0"/>
          <w:sz w:val="24"/>
          <w:szCs w:val="24"/>
        </w:rPr>
        <w:t>机构，以及张家界机场公安分局和长沙、常德、怀化、永州机场派出所等5个派出机构，其中政治处、纪委、张家界机场公安分局为副处级机构，其余11个部门均为正科级机构。</w:t>
      </w:r>
      <w:r>
        <w:rPr>
          <w:rFonts w:hint="eastAsia" w:cs="Times New Roman" w:asciiTheme="minorEastAsia" w:hAnsiTheme="minorEastAsia"/>
          <w:sz w:val="24"/>
          <w:szCs w:val="24"/>
        </w:rPr>
        <w:t>5个机场均设有机场交警大队，交警支队下设长沙机场交警大队，其余4个机场交警大队与所在机场派出所合署办公。</w:t>
      </w:r>
    </w:p>
    <w:p>
      <w:pPr>
        <w:spacing w:line="360" w:lineRule="auto"/>
        <w:rPr>
          <w:rFonts w:asciiTheme="minorEastAsia" w:hAnsiTheme="minorEastAsia"/>
          <w:sz w:val="24"/>
          <w:szCs w:val="24"/>
        </w:rPr>
      </w:pPr>
      <w:bookmarkStart w:id="0" w:name="_GoBack"/>
      <w:bookmarkEnd w:id="0"/>
      <w:r>
        <w:rPr>
          <w:rFonts w:hint="eastAsia" w:asciiTheme="minorEastAsia" w:hAnsiTheme="minorEastAsia"/>
          <w:sz w:val="24"/>
          <w:szCs w:val="24"/>
        </w:rPr>
        <w:t>（三）民警基本情况</w:t>
      </w:r>
    </w:p>
    <w:p>
      <w:pPr>
        <w:spacing w:line="360" w:lineRule="auto"/>
        <w:ind w:firstLine="480" w:firstLineChars="200"/>
        <w:rPr>
          <w:rFonts w:cs="Times New Roman" w:asciiTheme="minorEastAsia" w:hAnsiTheme="minorEastAsia"/>
          <w:sz w:val="24"/>
          <w:szCs w:val="24"/>
        </w:rPr>
      </w:pPr>
      <w:r>
        <w:rPr>
          <w:rFonts w:hint="eastAsia" w:cs="仿宋_GB2312" w:asciiTheme="minorEastAsia" w:hAnsiTheme="minorEastAsia"/>
          <w:sz w:val="24"/>
          <w:szCs w:val="24"/>
        </w:rPr>
        <w:t>局核定民警编制126名；</w:t>
      </w:r>
      <w:r>
        <w:rPr>
          <w:rFonts w:hint="eastAsia" w:cs="Times New Roman" w:asciiTheme="minorEastAsia" w:hAnsiTheme="minorEastAsia"/>
          <w:sz w:val="24"/>
          <w:szCs w:val="24"/>
        </w:rPr>
        <w:t>核定领导职数为：处级9名，正科职27名、副科职17名。</w:t>
      </w:r>
    </w:p>
    <w:p>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截止2021年12月，我局实有在编在职民警</w:t>
      </w:r>
      <w:r>
        <w:rPr>
          <w:rFonts w:hint="eastAsia" w:cs="仿宋_GB2312" w:asciiTheme="minorEastAsia" w:hAnsiTheme="minorEastAsia"/>
          <w:sz w:val="24"/>
          <w:szCs w:val="24"/>
        </w:rPr>
        <w:t>119人（含厅肃流办帮助工作的袁佳晨等）。</w:t>
      </w:r>
      <w:r>
        <w:rPr>
          <w:rFonts w:hint="eastAsia" w:cs="Times New Roman" w:asciiTheme="minorEastAsia" w:hAnsiTheme="minorEastAsia"/>
          <w:sz w:val="24"/>
          <w:szCs w:val="24"/>
        </w:rPr>
        <w:t>其中：</w:t>
      </w:r>
      <w:r>
        <w:rPr>
          <w:rFonts w:hint="eastAsia" w:cs="Times New Roman" w:asciiTheme="minorEastAsia" w:hAnsiTheme="minorEastAsia"/>
          <w:b/>
          <w:sz w:val="24"/>
          <w:szCs w:val="24"/>
        </w:rPr>
        <w:t>性别结构为：</w:t>
      </w:r>
      <w:r>
        <w:rPr>
          <w:rFonts w:hint="eastAsia" w:cs="Times New Roman" w:asciiTheme="minorEastAsia" w:hAnsiTheme="minorEastAsia"/>
          <w:sz w:val="24"/>
          <w:szCs w:val="24"/>
        </w:rPr>
        <w:t>男94人、女25人。</w:t>
      </w:r>
      <w:r>
        <w:rPr>
          <w:rFonts w:hint="eastAsia" w:cs="Times New Roman" w:asciiTheme="minorEastAsia" w:hAnsiTheme="minorEastAsia"/>
          <w:b/>
          <w:sz w:val="24"/>
          <w:szCs w:val="24"/>
        </w:rPr>
        <w:t>年龄结构为：</w:t>
      </w:r>
      <w:r>
        <w:rPr>
          <w:rFonts w:hint="eastAsia" w:cs="Times New Roman" w:asciiTheme="minorEastAsia" w:hAnsiTheme="minorEastAsia"/>
          <w:sz w:val="24"/>
          <w:szCs w:val="24"/>
        </w:rPr>
        <w:t>50岁及以上28人、40</w:t>
      </w:r>
      <w:r>
        <w:rPr>
          <w:rFonts w:cs="Times New Roman" w:asciiTheme="minorEastAsia" w:hAnsiTheme="minorEastAsia"/>
          <w:sz w:val="24"/>
          <w:szCs w:val="24"/>
        </w:rPr>
        <w:t>—</w:t>
      </w:r>
      <w:r>
        <w:rPr>
          <w:rFonts w:hint="eastAsia" w:cs="Times New Roman" w:asciiTheme="minorEastAsia" w:hAnsiTheme="minorEastAsia"/>
          <w:sz w:val="24"/>
          <w:szCs w:val="24"/>
        </w:rPr>
        <w:t>49岁的45人、30</w:t>
      </w:r>
      <w:r>
        <w:rPr>
          <w:rFonts w:cs="Times New Roman" w:asciiTheme="minorEastAsia" w:hAnsiTheme="minorEastAsia"/>
          <w:sz w:val="24"/>
          <w:szCs w:val="24"/>
        </w:rPr>
        <w:t>—</w:t>
      </w:r>
      <w:r>
        <w:rPr>
          <w:rFonts w:hint="eastAsia" w:cs="Times New Roman" w:asciiTheme="minorEastAsia" w:hAnsiTheme="minorEastAsia"/>
          <w:sz w:val="24"/>
          <w:szCs w:val="24"/>
        </w:rPr>
        <w:t>39岁的36人、30岁以下的10人。</w:t>
      </w:r>
      <w:r>
        <w:rPr>
          <w:rFonts w:hint="eastAsia" w:cs="Times New Roman" w:asciiTheme="minorEastAsia" w:hAnsiTheme="minorEastAsia"/>
          <w:b/>
          <w:sz w:val="24"/>
          <w:szCs w:val="24"/>
        </w:rPr>
        <w:t>政治面貌为：</w:t>
      </w:r>
      <w:r>
        <w:rPr>
          <w:rFonts w:hint="eastAsia" w:cs="Times New Roman" w:asciiTheme="minorEastAsia" w:hAnsiTheme="minorEastAsia"/>
          <w:sz w:val="24"/>
          <w:szCs w:val="24"/>
        </w:rPr>
        <w:t>党员108名、团员8名、群众3名。</w:t>
      </w:r>
      <w:r>
        <w:rPr>
          <w:rFonts w:hint="eastAsia" w:cs="Times New Roman" w:asciiTheme="minorEastAsia" w:hAnsiTheme="minorEastAsia"/>
          <w:b/>
          <w:sz w:val="24"/>
          <w:szCs w:val="24"/>
        </w:rPr>
        <w:t>民族分布为：</w:t>
      </w:r>
      <w:r>
        <w:rPr>
          <w:rFonts w:hint="eastAsia" w:cs="Times New Roman" w:asciiTheme="minorEastAsia" w:hAnsiTheme="minorEastAsia"/>
          <w:sz w:val="24"/>
          <w:szCs w:val="24"/>
        </w:rPr>
        <w:t>汉族98人、少数民族21人。</w:t>
      </w:r>
      <w:r>
        <w:rPr>
          <w:rFonts w:hint="eastAsia" w:cs="Times New Roman" w:asciiTheme="minorEastAsia" w:hAnsiTheme="minorEastAsia"/>
          <w:b/>
          <w:sz w:val="24"/>
          <w:szCs w:val="24"/>
        </w:rPr>
        <w:t>学历结构为：</w:t>
      </w:r>
      <w:r>
        <w:rPr>
          <w:rFonts w:hint="eastAsia" w:cs="Times New Roman" w:asciiTheme="minorEastAsia" w:hAnsiTheme="minorEastAsia"/>
          <w:sz w:val="24"/>
          <w:szCs w:val="24"/>
        </w:rPr>
        <w:t>研究生17人、大学94人、大专8人。</w:t>
      </w:r>
      <w:r>
        <w:rPr>
          <w:rFonts w:hint="eastAsia" w:cs="Times New Roman" w:asciiTheme="minorEastAsia" w:hAnsiTheme="minorEastAsia"/>
          <w:b/>
          <w:sz w:val="24"/>
          <w:szCs w:val="24"/>
        </w:rPr>
        <w:t>职数结构为：</w:t>
      </w:r>
      <w:r>
        <w:rPr>
          <w:rFonts w:hint="eastAsia" w:cs="Times New Roman" w:asciiTheme="minorEastAsia" w:hAnsiTheme="minorEastAsia"/>
          <w:sz w:val="24"/>
          <w:szCs w:val="24"/>
        </w:rPr>
        <w:t>副厅级1人、正处级4人、副处级21人、正科级80人、副科级6人、科员5人、试用期民警2人、</w:t>
      </w:r>
      <w:r>
        <w:rPr>
          <w:rFonts w:hint="eastAsia" w:cs="Times New Roman" w:asciiTheme="minorEastAsia" w:hAnsiTheme="minorEastAsia"/>
          <w:b/>
          <w:sz w:val="24"/>
          <w:szCs w:val="24"/>
        </w:rPr>
        <w:t>退休人员</w:t>
      </w:r>
      <w:r>
        <w:rPr>
          <w:rFonts w:hint="eastAsia" w:cs="Times New Roman" w:asciiTheme="minorEastAsia" w:hAnsiTheme="minorEastAsia"/>
          <w:sz w:val="24"/>
          <w:szCs w:val="24"/>
        </w:rPr>
        <w:t>9名（正处5人、副处1人、正科2人、科员1人）。</w:t>
      </w:r>
    </w:p>
    <w:p>
      <w:pPr>
        <w:spacing w:line="360" w:lineRule="auto"/>
        <w:rPr>
          <w:rFonts w:asciiTheme="minorEastAsia" w:hAnsiTheme="minorEastAsia"/>
          <w:sz w:val="24"/>
          <w:szCs w:val="24"/>
        </w:rPr>
      </w:pPr>
      <w:r>
        <w:rPr>
          <w:rFonts w:hint="eastAsia" w:asciiTheme="minorEastAsia" w:hAnsiTheme="minorEastAsia"/>
          <w:sz w:val="24"/>
          <w:szCs w:val="24"/>
        </w:rPr>
        <w:t>二.一般公共预算支出情况</w:t>
      </w:r>
    </w:p>
    <w:p>
      <w:pPr>
        <w:spacing w:line="360" w:lineRule="auto"/>
        <w:rPr>
          <w:rFonts w:asciiTheme="minorEastAsia" w:hAnsiTheme="minorEastAsia"/>
          <w:sz w:val="24"/>
          <w:szCs w:val="24"/>
        </w:rPr>
      </w:pPr>
      <w:r>
        <w:rPr>
          <w:rFonts w:hint="eastAsia" w:asciiTheme="minorEastAsia" w:hAnsiTheme="minorEastAsia"/>
          <w:sz w:val="24"/>
          <w:szCs w:val="24"/>
        </w:rPr>
        <w:t>（一）基本支出情况</w:t>
      </w:r>
    </w:p>
    <w:p>
      <w:pPr>
        <w:spacing w:line="360" w:lineRule="auto"/>
        <w:rPr>
          <w:rFonts w:asciiTheme="minorEastAsia" w:hAnsiTheme="minorEastAsia"/>
          <w:sz w:val="24"/>
          <w:szCs w:val="24"/>
        </w:rPr>
      </w:pPr>
      <w:r>
        <w:rPr>
          <w:rFonts w:hint="eastAsia" w:asciiTheme="minorEastAsia" w:hAnsiTheme="minorEastAsia"/>
          <w:sz w:val="24"/>
          <w:szCs w:val="24"/>
        </w:rPr>
        <w:t>2021年度机场公安局一般公共预算支出中基本支出3458.65万元，其中人员经费2931万元、日常公用经费527.65万元。</w:t>
      </w:r>
    </w:p>
    <w:p>
      <w:pPr>
        <w:spacing w:line="360" w:lineRule="auto"/>
        <w:rPr>
          <w:rFonts w:asciiTheme="minorEastAsia" w:hAnsiTheme="minorEastAsia"/>
          <w:sz w:val="24"/>
          <w:szCs w:val="24"/>
        </w:rPr>
      </w:pPr>
      <w:r>
        <w:rPr>
          <w:rFonts w:hint="eastAsia" w:asciiTheme="minorEastAsia" w:hAnsiTheme="minorEastAsia"/>
          <w:sz w:val="24"/>
          <w:szCs w:val="24"/>
        </w:rPr>
        <w:t>（二）项目支出情况</w:t>
      </w:r>
    </w:p>
    <w:p>
      <w:pPr>
        <w:spacing w:line="360" w:lineRule="auto"/>
        <w:rPr>
          <w:rFonts w:asciiTheme="minorEastAsia" w:hAnsiTheme="minorEastAsia"/>
          <w:sz w:val="24"/>
          <w:szCs w:val="24"/>
        </w:rPr>
      </w:pPr>
      <w:r>
        <w:rPr>
          <w:rFonts w:hint="eastAsia" w:asciiTheme="minorEastAsia" w:hAnsiTheme="minorEastAsia"/>
          <w:sz w:val="24"/>
          <w:szCs w:val="24"/>
        </w:rPr>
        <w:t>2021年度机场公安局一般公共预算支出中项目支出120万元，其中一般行政管理事物类114万元、执法办案类6万元。</w:t>
      </w:r>
    </w:p>
    <w:p>
      <w:pPr>
        <w:spacing w:line="360" w:lineRule="auto"/>
        <w:rPr>
          <w:rFonts w:asciiTheme="minorEastAsia" w:hAnsiTheme="minorEastAsia"/>
          <w:sz w:val="24"/>
          <w:szCs w:val="24"/>
        </w:rPr>
      </w:pPr>
      <w:r>
        <w:rPr>
          <w:rFonts w:hint="eastAsia" w:asciiTheme="minorEastAsia" w:hAnsiTheme="minorEastAsia"/>
          <w:sz w:val="24"/>
          <w:szCs w:val="24"/>
        </w:rPr>
        <w:t>三.部门整体支出绩效情况</w:t>
      </w:r>
    </w:p>
    <w:p>
      <w:pPr>
        <w:overflowPunct w:val="0"/>
        <w:spacing w:line="360" w:lineRule="auto"/>
        <w:ind w:firstLine="645"/>
        <w:rPr>
          <w:rFonts w:cs="仿宋_GB2312" w:asciiTheme="minorEastAsia" w:hAnsiTheme="minorEastAsia"/>
          <w:sz w:val="24"/>
          <w:szCs w:val="24"/>
        </w:rPr>
      </w:pPr>
      <w:r>
        <w:rPr>
          <w:rFonts w:hint="eastAsia" w:cs="仿宋_GB2312" w:asciiTheme="minorEastAsia" w:hAnsiTheme="minorEastAsia"/>
          <w:sz w:val="24"/>
          <w:szCs w:val="24"/>
        </w:rPr>
        <w:t>一年来，全省机场完成旅客吞吐量</w:t>
      </w:r>
      <w:r>
        <w:rPr>
          <w:rFonts w:hint="eastAsia" w:asciiTheme="minorEastAsia" w:hAnsiTheme="minorEastAsia"/>
          <w:sz w:val="24"/>
          <w:szCs w:val="24"/>
        </w:rPr>
        <w:t>2502.31</w:t>
      </w:r>
      <w:r>
        <w:rPr>
          <w:rFonts w:hint="eastAsia" w:cs="仿宋_GB2312" w:asciiTheme="minorEastAsia" w:hAnsiTheme="minorEastAsia"/>
          <w:sz w:val="24"/>
          <w:szCs w:val="24"/>
        </w:rPr>
        <w:t>万人次（同比增加6.2</w:t>
      </w:r>
      <w:r>
        <w:rPr>
          <w:rFonts w:hint="eastAsia" w:asciiTheme="minorEastAsia" w:hAnsiTheme="minorEastAsia"/>
          <w:sz w:val="24"/>
          <w:szCs w:val="24"/>
        </w:rPr>
        <w:t>%）</w:t>
      </w:r>
      <w:r>
        <w:rPr>
          <w:rFonts w:hint="eastAsia" w:cs="仿宋_GB2312" w:asciiTheme="minorEastAsia" w:hAnsiTheme="minorEastAsia"/>
          <w:sz w:val="24"/>
          <w:szCs w:val="24"/>
        </w:rPr>
        <w:t>、运输起降</w:t>
      </w:r>
      <w:r>
        <w:rPr>
          <w:rFonts w:hint="eastAsia" w:asciiTheme="minorEastAsia" w:hAnsiTheme="minorEastAsia"/>
          <w:sz w:val="24"/>
          <w:szCs w:val="24"/>
        </w:rPr>
        <w:t>21.98万</w:t>
      </w:r>
      <w:r>
        <w:rPr>
          <w:rFonts w:hint="eastAsia" w:cs="仿宋_GB2312" w:asciiTheme="minorEastAsia" w:hAnsiTheme="minorEastAsia"/>
          <w:sz w:val="24"/>
          <w:szCs w:val="24"/>
        </w:rPr>
        <w:t>架次（同比增加7.3</w:t>
      </w:r>
      <w:r>
        <w:rPr>
          <w:rFonts w:hint="eastAsia" w:asciiTheme="minorEastAsia" w:hAnsiTheme="minorEastAsia"/>
          <w:sz w:val="24"/>
          <w:szCs w:val="24"/>
        </w:rPr>
        <w:t>%）</w:t>
      </w:r>
      <w:r>
        <w:rPr>
          <w:rFonts w:hint="eastAsia" w:cs="仿宋_GB2312" w:asciiTheme="minorEastAsia" w:hAnsiTheme="minorEastAsia"/>
          <w:sz w:val="24"/>
          <w:szCs w:val="24"/>
        </w:rPr>
        <w:t>。全局接处警4569起，其中办理行政案件780起、刑事案件立31起破8起；打击处理违法犯罪嫌疑人819人次，其中刑拘6人、逮捕6人、取保候审9人、移送起诉16人、行政拘留114人、罚款（警告）668人次；查处交通违法行为33407起，处理交通事故672起。常态做好疫情防控，全年累计协助筛查红黄码人员3051人，长沙机场疫情防控工作专班保障国际入境航班31架次，保障入境人员6592人次。全局高标准做好了防疫物资调配保障，在落实民辅警日常检测的基础上，开展全员排查130余次，核酸检测7次5304人次，检测结果均为阴性。</w:t>
      </w:r>
      <w:r>
        <w:rPr>
          <w:rFonts w:hint="eastAsia" w:asciiTheme="minorEastAsia" w:hAnsiTheme="minorEastAsia"/>
          <w:sz w:val="24"/>
          <w:szCs w:val="24"/>
        </w:rPr>
        <w:t>全年共完成警卫任务48起，要客保障任务224起。协查厅专班指令和各市州维稳专班请求200余条，布控重点人员14698人查询订票信息2681条，成功拦截了114名上访对象。按照“大抓基层和基础”“大抓改革和科技”的要求，出台了《湖南机场公安科技信息化建设三年发展规划》，推动“智慧机场公安”建设进入“快车道”。积极推进350兆数字集群建设和国产化替代工作，开通了长沙机场派出所智能POS终端，实现罚没刷卡收入支付和扫码支付，顺利在警务通上安装运行公安部交通管理集成指挥平台，实现打印背夹在MATE30双系统警务通终端上应用的突破。在长沙率先建立了“微信+支付宝扫码”自助办理临时乘机证明端口，实现在线远程自助办理。</w:t>
      </w:r>
    </w:p>
    <w:p>
      <w:pPr>
        <w:spacing w:line="360" w:lineRule="auto"/>
        <w:rPr>
          <w:rFonts w:asciiTheme="minorEastAsia" w:hAnsiTheme="minorEastAsia"/>
          <w:sz w:val="24"/>
          <w:szCs w:val="24"/>
        </w:rPr>
      </w:pPr>
      <w:r>
        <w:rPr>
          <w:rFonts w:hint="eastAsia" w:asciiTheme="minorEastAsia" w:hAnsiTheme="minorEastAsia"/>
          <w:sz w:val="24"/>
          <w:szCs w:val="24"/>
        </w:rPr>
        <w:t>四.存在的问题及原因分析</w:t>
      </w:r>
    </w:p>
    <w:p>
      <w:pPr>
        <w:spacing w:line="360" w:lineRule="auto"/>
        <w:rPr>
          <w:rFonts w:asciiTheme="minorEastAsia" w:hAnsiTheme="minorEastAsia"/>
          <w:sz w:val="24"/>
          <w:szCs w:val="24"/>
        </w:rPr>
      </w:pPr>
      <w:r>
        <w:rPr>
          <w:rFonts w:hint="eastAsia" w:asciiTheme="minorEastAsia" w:hAnsiTheme="minorEastAsia"/>
          <w:sz w:val="24"/>
          <w:szCs w:val="24"/>
        </w:rPr>
        <w:t>在预算执行过程中存在执行偏离绩效目标的情况，主要原因：一是财政整体预算基数偏低，在保障正常人员经费开支后2021年日常公用经费仅400余万元，（不含交通补贴），人均公用经费仅1.5万元，项目支出仅能安排80万元急需更换的车辆购置费。在预算基数过低的情况下，在预算执行中难免会出现“拆东墙补西墙”的情况，资金难到位，导致绩效目标偏离</w:t>
      </w:r>
    </w:p>
    <w:p>
      <w:pPr>
        <w:spacing w:line="360" w:lineRule="auto"/>
        <w:rPr>
          <w:rFonts w:asciiTheme="minorEastAsia" w:hAnsiTheme="minorEastAsia"/>
          <w:sz w:val="24"/>
          <w:szCs w:val="24"/>
        </w:rPr>
      </w:pPr>
      <w:r>
        <w:rPr>
          <w:rFonts w:hint="eastAsia" w:asciiTheme="minorEastAsia" w:hAnsiTheme="minorEastAsia"/>
          <w:sz w:val="24"/>
          <w:szCs w:val="24"/>
        </w:rPr>
        <w:t>二是预算管理人员的业务能力相对较弱，预算绩效管理工作是一个较新的业务领域，现有的业务人员尚不能很好的胜任预算的绩效管理工作。</w:t>
      </w:r>
    </w:p>
    <w:p>
      <w:pPr>
        <w:spacing w:line="360" w:lineRule="auto"/>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iNGNhYTZkZGU2NDQ2ZGNkZWIzNWY2MGJhZjc0ZTMifQ=="/>
  </w:docVars>
  <w:rsids>
    <w:rsidRoot w:val="002009F7"/>
    <w:rsid w:val="00005784"/>
    <w:rsid w:val="000A2E5C"/>
    <w:rsid w:val="001122C6"/>
    <w:rsid w:val="001274D7"/>
    <w:rsid w:val="0015031A"/>
    <w:rsid w:val="002009F7"/>
    <w:rsid w:val="00346DDB"/>
    <w:rsid w:val="003D1072"/>
    <w:rsid w:val="003F6E00"/>
    <w:rsid w:val="00411E82"/>
    <w:rsid w:val="0041768D"/>
    <w:rsid w:val="0044711B"/>
    <w:rsid w:val="00463BA3"/>
    <w:rsid w:val="00481941"/>
    <w:rsid w:val="00482C57"/>
    <w:rsid w:val="00494B11"/>
    <w:rsid w:val="004C17FA"/>
    <w:rsid w:val="004E2A22"/>
    <w:rsid w:val="004F24FC"/>
    <w:rsid w:val="004F5B71"/>
    <w:rsid w:val="005466F5"/>
    <w:rsid w:val="0056165C"/>
    <w:rsid w:val="005D5A4B"/>
    <w:rsid w:val="006C780C"/>
    <w:rsid w:val="00720D0B"/>
    <w:rsid w:val="0073308C"/>
    <w:rsid w:val="007A0B05"/>
    <w:rsid w:val="008E4083"/>
    <w:rsid w:val="009136E7"/>
    <w:rsid w:val="00916473"/>
    <w:rsid w:val="009265D6"/>
    <w:rsid w:val="009577E3"/>
    <w:rsid w:val="009A71F5"/>
    <w:rsid w:val="009D357C"/>
    <w:rsid w:val="00A54869"/>
    <w:rsid w:val="00A81E6E"/>
    <w:rsid w:val="00AB5D25"/>
    <w:rsid w:val="00AF5E16"/>
    <w:rsid w:val="00B2754F"/>
    <w:rsid w:val="00B552B2"/>
    <w:rsid w:val="00C65D1C"/>
    <w:rsid w:val="00C87FAD"/>
    <w:rsid w:val="00CD5CC1"/>
    <w:rsid w:val="00CE705F"/>
    <w:rsid w:val="00D22A93"/>
    <w:rsid w:val="00E8473A"/>
    <w:rsid w:val="00FC211A"/>
    <w:rsid w:val="086A1CAA"/>
    <w:rsid w:val="302D1098"/>
    <w:rsid w:val="7A2F1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F7847-A0D4-4D74-90D9-83AFAB8DF00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1691</Words>
  <Characters>1835</Characters>
  <Lines>13</Lines>
  <Paragraphs>3</Paragraphs>
  <TotalTime>5658</TotalTime>
  <ScaleCrop>false</ScaleCrop>
  <LinksUpToDate>false</LinksUpToDate>
  <CharactersWithSpaces>1835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2020-05-13T01:23:00Z</dcterms:created>
  <dc:creator>OK</dc:creator>
  <cp:lastModifiedBy>婷婷</cp:lastModifiedBy>
  <cp:lastPrinted>2022-04-08T02:41:00Z</cp:lastPrinted>
  <dcterms:modified xsi:type="dcterms:W3CDTF">2023-09-21T09:32:58Z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A6B1FE66FD5940BDACD47662CE8D8FB0</vt:lpwstr>
  </property>
</Properties>
</file>