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D26" w:rsidRDefault="000D4D26">
      <w:pPr>
        <w:pStyle w:val="Default"/>
        <w:rPr>
          <w:sz w:val="56"/>
          <w:szCs w:val="56"/>
        </w:rPr>
      </w:pPr>
    </w:p>
    <w:p w:rsidR="000D4D26" w:rsidRDefault="000D4D26">
      <w:pPr>
        <w:pStyle w:val="Default"/>
        <w:jc w:val="center"/>
        <w:rPr>
          <w:sz w:val="56"/>
          <w:szCs w:val="56"/>
        </w:rPr>
      </w:pPr>
    </w:p>
    <w:p w:rsidR="000D4D26" w:rsidRDefault="000D4D26">
      <w:pPr>
        <w:pStyle w:val="Default"/>
        <w:jc w:val="both"/>
        <w:rPr>
          <w:sz w:val="84"/>
          <w:szCs w:val="84"/>
        </w:rPr>
      </w:pPr>
    </w:p>
    <w:p w:rsidR="000D4D26" w:rsidRDefault="001125E7">
      <w:pPr>
        <w:pStyle w:val="Default"/>
        <w:jc w:val="center"/>
        <w:rPr>
          <w:sz w:val="72"/>
          <w:szCs w:val="72"/>
        </w:rPr>
      </w:pPr>
      <w:r>
        <w:rPr>
          <w:sz w:val="72"/>
          <w:szCs w:val="72"/>
        </w:rPr>
        <w:t>2021</w:t>
      </w:r>
      <w:r>
        <w:rPr>
          <w:rFonts w:hint="eastAsia"/>
          <w:sz w:val="72"/>
          <w:szCs w:val="72"/>
        </w:rPr>
        <w:t>年度</w:t>
      </w:r>
    </w:p>
    <w:p w:rsidR="000D4D26" w:rsidRDefault="000D4D26">
      <w:pPr>
        <w:pStyle w:val="Default"/>
        <w:jc w:val="center"/>
        <w:rPr>
          <w:sz w:val="72"/>
          <w:szCs w:val="72"/>
        </w:rPr>
      </w:pPr>
    </w:p>
    <w:p w:rsidR="000D4D26" w:rsidRDefault="001125E7">
      <w:pPr>
        <w:pStyle w:val="Default"/>
        <w:jc w:val="center"/>
        <w:rPr>
          <w:sz w:val="72"/>
          <w:szCs w:val="72"/>
        </w:rPr>
      </w:pPr>
      <w:r>
        <w:rPr>
          <w:rFonts w:hint="eastAsia"/>
          <w:sz w:val="72"/>
          <w:szCs w:val="72"/>
        </w:rPr>
        <w:t>湖南警察学院部门决算</w:t>
      </w:r>
    </w:p>
    <w:p w:rsidR="000D4D26" w:rsidRDefault="000D4D26">
      <w:pPr>
        <w:pStyle w:val="Default"/>
        <w:jc w:val="center"/>
        <w:rPr>
          <w:sz w:val="56"/>
          <w:szCs w:val="56"/>
        </w:rPr>
      </w:pPr>
    </w:p>
    <w:p w:rsidR="000D4D26" w:rsidRDefault="000D4D26">
      <w:pPr>
        <w:pStyle w:val="Default"/>
        <w:jc w:val="center"/>
        <w:rPr>
          <w:sz w:val="56"/>
          <w:szCs w:val="56"/>
        </w:rPr>
      </w:pPr>
    </w:p>
    <w:p w:rsidR="000D4D26" w:rsidRDefault="000D4D26">
      <w:pPr>
        <w:pStyle w:val="Default"/>
        <w:jc w:val="center"/>
        <w:rPr>
          <w:sz w:val="56"/>
          <w:szCs w:val="56"/>
        </w:rPr>
      </w:pPr>
    </w:p>
    <w:p w:rsidR="000D4D26" w:rsidRDefault="000D4D26">
      <w:pPr>
        <w:pStyle w:val="Default"/>
        <w:jc w:val="center"/>
        <w:rPr>
          <w:sz w:val="56"/>
          <w:szCs w:val="56"/>
        </w:rPr>
      </w:pPr>
    </w:p>
    <w:p w:rsidR="000D4D26" w:rsidRDefault="000D4D26">
      <w:pPr>
        <w:pStyle w:val="Default"/>
        <w:jc w:val="center"/>
        <w:rPr>
          <w:sz w:val="32"/>
          <w:szCs w:val="32"/>
        </w:rPr>
      </w:pPr>
    </w:p>
    <w:p w:rsidR="000D4D26" w:rsidRDefault="000D4D26">
      <w:pPr>
        <w:pStyle w:val="Default"/>
        <w:jc w:val="center"/>
        <w:rPr>
          <w:sz w:val="32"/>
          <w:szCs w:val="32"/>
        </w:rPr>
      </w:pPr>
    </w:p>
    <w:p w:rsidR="000D4D26" w:rsidRDefault="000D4D26">
      <w:pPr>
        <w:pStyle w:val="Default"/>
        <w:jc w:val="center"/>
        <w:rPr>
          <w:sz w:val="32"/>
          <w:szCs w:val="32"/>
        </w:rPr>
      </w:pPr>
    </w:p>
    <w:p w:rsidR="000D4D26" w:rsidRDefault="000D4D26">
      <w:pPr>
        <w:pStyle w:val="Default"/>
        <w:jc w:val="center"/>
        <w:rPr>
          <w:sz w:val="32"/>
          <w:szCs w:val="32"/>
        </w:rPr>
      </w:pPr>
    </w:p>
    <w:p w:rsidR="000D4D26" w:rsidRDefault="000D4D26">
      <w:pPr>
        <w:pStyle w:val="Default"/>
        <w:jc w:val="center"/>
        <w:rPr>
          <w:sz w:val="32"/>
          <w:szCs w:val="32"/>
        </w:rPr>
      </w:pPr>
    </w:p>
    <w:p w:rsidR="000D4D26" w:rsidRDefault="000D4D26">
      <w:pPr>
        <w:pStyle w:val="Default"/>
        <w:spacing w:line="540" w:lineRule="exact"/>
        <w:jc w:val="center"/>
        <w:rPr>
          <w:sz w:val="56"/>
          <w:szCs w:val="56"/>
        </w:rPr>
      </w:pPr>
    </w:p>
    <w:p w:rsidR="000D4D26" w:rsidRDefault="000D4D26">
      <w:pPr>
        <w:pStyle w:val="Default"/>
        <w:spacing w:line="500" w:lineRule="exact"/>
        <w:jc w:val="both"/>
        <w:rPr>
          <w:b/>
          <w:sz w:val="36"/>
          <w:szCs w:val="28"/>
        </w:rPr>
      </w:pPr>
    </w:p>
    <w:p w:rsidR="000D4D26" w:rsidRDefault="000D4D26">
      <w:pPr>
        <w:pStyle w:val="Default"/>
        <w:spacing w:line="500" w:lineRule="exact"/>
        <w:jc w:val="center"/>
        <w:rPr>
          <w:b/>
          <w:sz w:val="36"/>
          <w:szCs w:val="28"/>
        </w:rPr>
      </w:pPr>
    </w:p>
    <w:p w:rsidR="000D4D26" w:rsidRDefault="001125E7">
      <w:pPr>
        <w:pStyle w:val="Default"/>
        <w:spacing w:line="500" w:lineRule="exact"/>
        <w:jc w:val="center"/>
        <w:rPr>
          <w:b/>
          <w:sz w:val="36"/>
          <w:szCs w:val="28"/>
        </w:rPr>
      </w:pPr>
      <w:r>
        <w:rPr>
          <w:rFonts w:hint="eastAsia"/>
          <w:b/>
          <w:sz w:val="36"/>
          <w:szCs w:val="28"/>
        </w:rPr>
        <w:t>目录</w:t>
      </w:r>
    </w:p>
    <w:p w:rsidR="000D4D26" w:rsidRDefault="000D4D26">
      <w:pPr>
        <w:pStyle w:val="Default"/>
        <w:spacing w:line="500" w:lineRule="exact"/>
        <w:rPr>
          <w:b/>
          <w:sz w:val="28"/>
          <w:szCs w:val="28"/>
        </w:rPr>
      </w:pPr>
    </w:p>
    <w:p w:rsidR="000D4D26" w:rsidRDefault="001125E7">
      <w:pPr>
        <w:pStyle w:val="Default"/>
        <w:spacing w:line="500" w:lineRule="exact"/>
        <w:rPr>
          <w:rFonts w:ascii="仿宋_GB2312" w:eastAsia="仿宋_GB2312" w:cs="仿宋_GB2312"/>
          <w:b/>
          <w:sz w:val="28"/>
          <w:szCs w:val="28"/>
        </w:rPr>
      </w:pPr>
      <w:r>
        <w:rPr>
          <w:rFonts w:hint="eastAsia"/>
          <w:b/>
          <w:sz w:val="28"/>
          <w:szCs w:val="28"/>
        </w:rPr>
        <w:t>第一部分湖南警察学院概况</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一、部门职责</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二、机构设置</w:t>
      </w:r>
    </w:p>
    <w:p w:rsidR="000D4D26" w:rsidRDefault="001125E7">
      <w:pPr>
        <w:pStyle w:val="Default"/>
        <w:spacing w:line="500" w:lineRule="exact"/>
        <w:rPr>
          <w:rFonts w:ascii="仿宋_GB2312" w:eastAsia="仿宋_GB2312" w:cs="仿宋_GB2312"/>
          <w:b/>
          <w:sz w:val="28"/>
          <w:szCs w:val="28"/>
        </w:rPr>
      </w:pPr>
      <w:r>
        <w:rPr>
          <w:rFonts w:hAnsi="仿宋_GB2312" w:hint="eastAsia"/>
          <w:b/>
          <w:sz w:val="28"/>
          <w:szCs w:val="28"/>
        </w:rPr>
        <w:t>第二部分</w:t>
      </w:r>
      <w:r>
        <w:rPr>
          <w:rFonts w:hAnsi="仿宋_GB2312"/>
          <w:b/>
          <w:sz w:val="28"/>
          <w:szCs w:val="28"/>
        </w:rPr>
        <w:t>2021</w:t>
      </w:r>
      <w:r>
        <w:rPr>
          <w:rFonts w:hAnsi="仿宋_GB2312" w:hint="eastAsia"/>
          <w:b/>
          <w:sz w:val="28"/>
          <w:szCs w:val="28"/>
        </w:rPr>
        <w:t>年度部门决算表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一、收入支出决算总表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二、收入决算表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三、支出决算表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四、财政拨款收入支出决算总表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五、一般公共预算财政拨款支出决算表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六、一般公共预算财政拨款基本支出决算明细表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七、一般公共预算财政拨款“三公”经费支出决算表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八、政府性基金预算财政拨款收入支出决算表</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九、国有资本经营预算财政拨款支出决算表</w:t>
      </w:r>
    </w:p>
    <w:p w:rsidR="000D4D26" w:rsidRDefault="001125E7">
      <w:pPr>
        <w:pStyle w:val="Default"/>
        <w:spacing w:line="500" w:lineRule="exact"/>
        <w:rPr>
          <w:rFonts w:ascii="仿宋_GB2312" w:eastAsia="仿宋_GB2312" w:cs="仿宋_GB2312"/>
          <w:b/>
          <w:sz w:val="28"/>
          <w:szCs w:val="28"/>
        </w:rPr>
      </w:pPr>
      <w:r>
        <w:rPr>
          <w:rFonts w:hAnsi="仿宋_GB2312" w:hint="eastAsia"/>
          <w:b/>
          <w:sz w:val="28"/>
          <w:szCs w:val="28"/>
        </w:rPr>
        <w:t>第三部分</w:t>
      </w:r>
      <w:r>
        <w:rPr>
          <w:rFonts w:hAnsi="仿宋_GB2312"/>
          <w:b/>
          <w:sz w:val="28"/>
          <w:szCs w:val="28"/>
        </w:rPr>
        <w:t>2021</w:t>
      </w:r>
      <w:r>
        <w:rPr>
          <w:rFonts w:hAnsi="仿宋_GB2312" w:hint="eastAsia"/>
          <w:b/>
          <w:sz w:val="28"/>
          <w:szCs w:val="28"/>
        </w:rPr>
        <w:t>年度部门决算情况说明</w:t>
      </w:r>
    </w:p>
    <w:p w:rsidR="000D4D26" w:rsidRDefault="001125E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一、收入支出决算总体情况说明</w:t>
      </w:r>
    </w:p>
    <w:p w:rsidR="000D4D26" w:rsidRDefault="001125E7">
      <w:pPr>
        <w:spacing w:line="500" w:lineRule="exact"/>
        <w:ind w:firstLineChars="250" w:firstLine="700"/>
        <w:jc w:val="left"/>
        <w:rPr>
          <w:rFonts w:ascii="仿宋_GB2312" w:eastAsia="仿宋_GB2312" w:cs="仿宋_GB2312"/>
          <w:sz w:val="28"/>
          <w:szCs w:val="28"/>
        </w:rPr>
      </w:pPr>
      <w:r>
        <w:rPr>
          <w:rFonts w:ascii="仿宋_GB2312" w:hAnsi="仿宋_GB2312" w:cs="仿宋_GB2312" w:hint="eastAsia"/>
          <w:sz w:val="28"/>
          <w:szCs w:val="28"/>
        </w:rPr>
        <w:t>二、收入决算情况说明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三、支出决算情况说明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四、财政拨款收入支出决算总体情况说明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五、一般公共预算财政拨款支出决算情况说明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六、一般公共预算财政拨款基本支出决算情况说明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七、一般公共预算财政拨款“三公”经费支出决算情况说明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八、政府性基金预算收入支出决算情况</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九、机关运行经费支出说明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0D4D26" w:rsidRDefault="001125E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lastRenderedPageBreak/>
        <w:t>十一、政府采购支出说明</w:t>
      </w:r>
    </w:p>
    <w:p w:rsidR="000D4D26" w:rsidRDefault="001125E7">
      <w:pPr>
        <w:pStyle w:val="Default"/>
        <w:spacing w:line="500" w:lineRule="exact"/>
        <w:ind w:firstLineChars="250" w:firstLine="700"/>
        <w:rPr>
          <w:rFonts w:ascii="仿宋_GB2312" w:eastAsia="宋体" w:hAnsi="仿宋_GB2312" w:cs="仿宋_GB2312"/>
          <w:sz w:val="28"/>
          <w:szCs w:val="28"/>
        </w:rPr>
      </w:pPr>
      <w:r>
        <w:rPr>
          <w:rFonts w:ascii="仿宋_GB2312" w:eastAsia="宋体" w:hAnsi="仿宋_GB2312" w:cs="仿宋_GB2312" w:hint="eastAsia"/>
          <w:sz w:val="28"/>
          <w:szCs w:val="28"/>
        </w:rPr>
        <w:t>十二、国有资产占用情况说明</w:t>
      </w:r>
    </w:p>
    <w:p w:rsidR="000D4D26" w:rsidRDefault="001125E7">
      <w:pPr>
        <w:pStyle w:val="Default"/>
        <w:spacing w:line="500" w:lineRule="exact"/>
        <w:ind w:firstLineChars="250" w:firstLine="700"/>
        <w:rPr>
          <w:rFonts w:ascii="仿宋_GB2312" w:eastAsia="宋体" w:hAnsi="仿宋_GB2312" w:cs="仿宋_GB2312"/>
          <w:sz w:val="28"/>
          <w:szCs w:val="28"/>
        </w:rPr>
      </w:pPr>
      <w:r>
        <w:rPr>
          <w:rFonts w:ascii="仿宋_GB2312" w:eastAsia="宋体" w:hAnsi="仿宋_GB2312" w:cs="仿宋_GB2312" w:hint="eastAsia"/>
          <w:sz w:val="28"/>
          <w:szCs w:val="28"/>
        </w:rPr>
        <w:t>十三、</w:t>
      </w:r>
      <w:r>
        <w:rPr>
          <w:rFonts w:ascii="宋体" w:eastAsia="宋体" w:hAnsi="宋体" w:cs="仿宋_GB2312"/>
          <w:sz w:val="28"/>
          <w:szCs w:val="28"/>
        </w:rPr>
        <w:t>2021</w:t>
      </w:r>
      <w:r>
        <w:rPr>
          <w:rFonts w:ascii="宋体" w:eastAsia="宋体" w:hAnsi="宋体" w:cs="仿宋_GB2312" w:hint="eastAsia"/>
          <w:sz w:val="28"/>
          <w:szCs w:val="28"/>
        </w:rPr>
        <w:t>年</w:t>
      </w:r>
      <w:r>
        <w:rPr>
          <w:rFonts w:ascii="仿宋_GB2312" w:eastAsia="宋体" w:hAnsi="仿宋_GB2312" w:cs="仿宋_GB2312" w:hint="eastAsia"/>
          <w:sz w:val="28"/>
          <w:szCs w:val="28"/>
        </w:rPr>
        <w:t>度预算绩效情况说明</w:t>
      </w:r>
    </w:p>
    <w:p w:rsidR="000D4D26" w:rsidRDefault="001125E7">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hint="eastAsia"/>
          <w:b/>
          <w:color w:val="000000"/>
          <w:kern w:val="0"/>
          <w:sz w:val="28"/>
          <w:szCs w:val="28"/>
        </w:rPr>
        <w:t>第四部分名词解释</w:t>
      </w:r>
    </w:p>
    <w:p w:rsidR="000D4D26" w:rsidRDefault="001125E7">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0D4D26" w:rsidRDefault="000D4D26">
      <w:pPr>
        <w:jc w:val="center"/>
        <w:rPr>
          <w:sz w:val="72"/>
          <w:szCs w:val="72"/>
        </w:rPr>
      </w:pPr>
    </w:p>
    <w:p w:rsidR="000D4D26" w:rsidRDefault="000D4D26">
      <w:pPr>
        <w:jc w:val="center"/>
        <w:rPr>
          <w:sz w:val="72"/>
          <w:szCs w:val="72"/>
        </w:rPr>
      </w:pPr>
    </w:p>
    <w:p w:rsidR="000D4D26" w:rsidRDefault="000D4D26">
      <w:pPr>
        <w:pStyle w:val="a0"/>
        <w:rPr>
          <w:sz w:val="72"/>
          <w:szCs w:val="72"/>
        </w:rPr>
      </w:pPr>
    </w:p>
    <w:p w:rsidR="000D4D26" w:rsidRDefault="000D4D26">
      <w:pPr>
        <w:rPr>
          <w:sz w:val="72"/>
          <w:szCs w:val="72"/>
        </w:rPr>
      </w:pPr>
    </w:p>
    <w:p w:rsidR="000D4D26" w:rsidRDefault="000D4D26">
      <w:pPr>
        <w:pStyle w:val="a0"/>
        <w:rPr>
          <w:sz w:val="72"/>
          <w:szCs w:val="72"/>
        </w:rPr>
      </w:pPr>
    </w:p>
    <w:p w:rsidR="000D4D26" w:rsidRDefault="000D4D26">
      <w:pPr>
        <w:rPr>
          <w:sz w:val="72"/>
          <w:szCs w:val="72"/>
        </w:rPr>
      </w:pPr>
    </w:p>
    <w:p w:rsidR="000D4D26" w:rsidRDefault="000D4D26">
      <w:pPr>
        <w:pStyle w:val="a0"/>
        <w:rPr>
          <w:sz w:val="72"/>
          <w:szCs w:val="72"/>
        </w:rPr>
      </w:pPr>
    </w:p>
    <w:p w:rsidR="000D4D26" w:rsidRDefault="000D4D26">
      <w:pPr>
        <w:rPr>
          <w:sz w:val="72"/>
          <w:szCs w:val="72"/>
        </w:rPr>
      </w:pPr>
    </w:p>
    <w:p w:rsidR="000D4D26" w:rsidRDefault="000D4D26">
      <w:pPr>
        <w:pStyle w:val="a0"/>
        <w:rPr>
          <w:sz w:val="72"/>
          <w:szCs w:val="72"/>
        </w:rPr>
      </w:pPr>
    </w:p>
    <w:p w:rsidR="000D4D26" w:rsidRDefault="000D4D26">
      <w:pPr>
        <w:rPr>
          <w:sz w:val="72"/>
          <w:szCs w:val="72"/>
        </w:rPr>
      </w:pPr>
    </w:p>
    <w:p w:rsidR="000D4D26" w:rsidRDefault="000D4D26">
      <w:pPr>
        <w:pStyle w:val="a0"/>
      </w:pPr>
    </w:p>
    <w:p w:rsidR="000D4D26" w:rsidRDefault="000D4D26">
      <w:pPr>
        <w:rPr>
          <w:sz w:val="72"/>
          <w:szCs w:val="72"/>
        </w:rPr>
      </w:pPr>
    </w:p>
    <w:p w:rsidR="000D4D26" w:rsidRDefault="000D4D26">
      <w:pPr>
        <w:pStyle w:val="a0"/>
        <w:rPr>
          <w:sz w:val="72"/>
          <w:szCs w:val="72"/>
        </w:rPr>
      </w:pPr>
    </w:p>
    <w:p w:rsidR="000D4D26" w:rsidRDefault="000D4D26">
      <w:pPr>
        <w:rPr>
          <w:sz w:val="72"/>
          <w:szCs w:val="72"/>
        </w:rPr>
      </w:pPr>
    </w:p>
    <w:p w:rsidR="000D4D26" w:rsidRDefault="000D4D26">
      <w:pPr>
        <w:pStyle w:val="a0"/>
        <w:rPr>
          <w:sz w:val="72"/>
          <w:szCs w:val="72"/>
        </w:rPr>
      </w:pPr>
    </w:p>
    <w:p w:rsidR="000D4D26" w:rsidRDefault="000D4D26"/>
    <w:p w:rsidR="000D4D26" w:rsidRDefault="001125E7">
      <w:pPr>
        <w:pStyle w:val="Default"/>
        <w:jc w:val="center"/>
        <w:rPr>
          <w:sz w:val="84"/>
          <w:szCs w:val="84"/>
        </w:rPr>
      </w:pPr>
      <w:r>
        <w:rPr>
          <w:rFonts w:hint="eastAsia"/>
          <w:sz w:val="72"/>
          <w:szCs w:val="72"/>
        </w:rPr>
        <w:t>第一部分</w:t>
      </w:r>
    </w:p>
    <w:p w:rsidR="000D4D26" w:rsidRDefault="000D4D26">
      <w:pPr>
        <w:pStyle w:val="Default"/>
        <w:jc w:val="center"/>
        <w:rPr>
          <w:sz w:val="84"/>
          <w:szCs w:val="84"/>
        </w:rPr>
      </w:pPr>
    </w:p>
    <w:p w:rsidR="000D4D26" w:rsidRDefault="001125E7">
      <w:pPr>
        <w:pStyle w:val="Default"/>
        <w:jc w:val="center"/>
        <w:rPr>
          <w:sz w:val="70"/>
          <w:szCs w:val="70"/>
        </w:rPr>
      </w:pPr>
      <w:r>
        <w:rPr>
          <w:rFonts w:hint="eastAsia"/>
          <w:sz w:val="70"/>
          <w:szCs w:val="70"/>
        </w:rPr>
        <w:t>湖南警察学院概况</w:t>
      </w:r>
    </w:p>
    <w:p w:rsidR="000D4D26" w:rsidRDefault="000D4D26">
      <w:pPr>
        <w:jc w:val="center"/>
        <w:rPr>
          <w:sz w:val="72"/>
          <w:szCs w:val="7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0D4D26">
      <w:pPr>
        <w:pStyle w:val="a8"/>
        <w:ind w:firstLineChars="0" w:firstLine="0"/>
        <w:jc w:val="left"/>
        <w:rPr>
          <w:rFonts w:ascii="黑体" w:eastAsia="黑体" w:hAnsi="黑体"/>
          <w:sz w:val="32"/>
          <w:szCs w:val="32"/>
        </w:rPr>
      </w:pPr>
    </w:p>
    <w:p w:rsidR="000D4D26" w:rsidRDefault="001125E7">
      <w:pPr>
        <w:pStyle w:val="a8"/>
        <w:ind w:firstLineChars="0" w:firstLine="0"/>
        <w:jc w:val="left"/>
        <w:rPr>
          <w:rFonts w:ascii="黑体" w:eastAsia="黑体" w:hAnsi="黑体"/>
          <w:sz w:val="32"/>
          <w:szCs w:val="32"/>
        </w:rPr>
      </w:pPr>
      <w:r>
        <w:rPr>
          <w:rFonts w:ascii="黑体" w:eastAsia="黑体" w:hAnsi="黑体" w:hint="eastAsia"/>
          <w:sz w:val="32"/>
          <w:szCs w:val="32"/>
        </w:rPr>
        <w:t xml:space="preserve">    一、</w:t>
      </w:r>
      <w:r>
        <w:rPr>
          <w:rFonts w:ascii="黑体" w:eastAsia="黑体" w:hAnsi="黑体"/>
          <w:sz w:val="32"/>
          <w:szCs w:val="32"/>
        </w:rPr>
        <w:t>部门职责</w:t>
      </w:r>
    </w:p>
    <w:p w:rsidR="000D4D26" w:rsidRDefault="001125E7">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湖南警察学院是全省唯一一所培养警务人才的全日制普通高等本科院校。学校秉承“忠真智勇”的校训，为公安政法战线培养了8万多名合格人才，被誉为“三湘警察的摇篮”。学院坚持以教学为中心，设有10个教学系部，1个实验中心。根据公安工作与经济社会发展需要，开设治安学、交通管理工程、侦查学、刑事科学技术、禁毒学、网络安全与执法、经济犯罪侦查、警务指挥与战术8个公安类本科专业和信息安全、法学、行政管理、应用心理学、数据科学与大数据技术、计算机科学与技术6个普通类本科专业。学院坚持公安学历教育与在职民警培训并重协调发展，是公安部警务实战训练基地、外警培训基地和湖南省公安厅警官培训中心，适当开展继续教育等其他类型的教育。学校坚持对接实战、融入实战、服务实战，服务经济社会发展。与全省25个市县（区）公安局、国内30余家企业建立了院局、院企深度合作关系。配合公安“大数据战略”，为全省“智慧警务”研发各类系统或装备50余款，在全省14个市州60多个县（区）公安局推广使用，产生了良好的社会效益。</w:t>
      </w:r>
    </w:p>
    <w:p w:rsidR="000D4D26" w:rsidRDefault="001125E7">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0D4D26" w:rsidRDefault="001125E7">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p>
    <w:p w:rsidR="000D4D26" w:rsidRDefault="001125E7">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lastRenderedPageBreak/>
        <w:t>学院地处长沙经济技术开发区，占地698.15亩。学院党政管理机构16个，教育教辅科研培训机构18个，群团组织2个。目前实有人数498人。</w:t>
      </w:r>
    </w:p>
    <w:p w:rsidR="000D4D26" w:rsidRDefault="001125E7">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 xml:space="preserve">    (二）决算单位构成</w:t>
      </w:r>
    </w:p>
    <w:p w:rsidR="000D4D26" w:rsidRDefault="001125E7" w:rsidP="001125E7">
      <w:pPr>
        <w:widowControl/>
        <w:spacing w:line="600" w:lineRule="exact"/>
        <w:ind w:firstLineChars="200" w:firstLine="640"/>
        <w:rPr>
          <w:rFonts w:asciiTheme="minorEastAsia" w:hAnsiTheme="minorEastAsia"/>
          <w:bCs/>
          <w:kern w:val="0"/>
          <w:sz w:val="32"/>
          <w:szCs w:val="32"/>
        </w:rPr>
      </w:pPr>
      <w:r>
        <w:rPr>
          <w:rFonts w:asciiTheme="minorEastAsia" w:hAnsiTheme="minorEastAsia"/>
          <w:bCs/>
          <w:kern w:val="0"/>
          <w:sz w:val="32"/>
          <w:szCs w:val="32"/>
        </w:rPr>
        <w:t>20</w:t>
      </w:r>
      <w:r>
        <w:rPr>
          <w:rFonts w:asciiTheme="minorEastAsia" w:hAnsiTheme="minorEastAsia" w:hint="eastAsia"/>
          <w:bCs/>
          <w:kern w:val="0"/>
          <w:sz w:val="32"/>
          <w:szCs w:val="32"/>
        </w:rPr>
        <w:t>21年部门决算汇总公开单位构成是湖南警察学院本级，本单位无下属二级机构。</w:t>
      </w:r>
    </w:p>
    <w:p w:rsidR="000D4D26" w:rsidRDefault="000D4D26">
      <w:pPr>
        <w:jc w:val="center"/>
        <w:rPr>
          <w:rFonts w:ascii="黑体" w:eastAsia="黑体" w:hAnsi="黑体"/>
          <w:sz w:val="28"/>
          <w:szCs w:val="28"/>
        </w:rPr>
      </w:pPr>
    </w:p>
    <w:p w:rsidR="000D4D26" w:rsidRDefault="000D4D26">
      <w:pPr>
        <w:jc w:val="center"/>
        <w:rPr>
          <w:rFonts w:ascii="黑体" w:eastAsia="黑体" w:hAnsi="黑体"/>
          <w:sz w:val="28"/>
          <w:szCs w:val="28"/>
        </w:rPr>
      </w:pPr>
    </w:p>
    <w:p w:rsidR="000D4D26" w:rsidRDefault="000D4D26">
      <w:pPr>
        <w:jc w:val="center"/>
        <w:rPr>
          <w:rFonts w:ascii="黑体" w:eastAsia="黑体" w:hAnsi="黑体"/>
          <w:sz w:val="28"/>
          <w:szCs w:val="28"/>
        </w:rPr>
      </w:pPr>
    </w:p>
    <w:p w:rsidR="000D4D26" w:rsidRDefault="000D4D26">
      <w:pPr>
        <w:jc w:val="center"/>
        <w:rPr>
          <w:rFonts w:ascii="黑体" w:eastAsia="黑体" w:hAnsi="黑体"/>
          <w:sz w:val="28"/>
          <w:szCs w:val="28"/>
        </w:rPr>
      </w:pPr>
    </w:p>
    <w:p w:rsidR="000D4D26" w:rsidRDefault="000D4D26">
      <w:pPr>
        <w:jc w:val="center"/>
        <w:rPr>
          <w:rFonts w:ascii="黑体" w:eastAsia="黑体" w:hAnsi="黑体"/>
          <w:sz w:val="28"/>
          <w:szCs w:val="28"/>
        </w:rPr>
      </w:pPr>
    </w:p>
    <w:p w:rsidR="000D4D26" w:rsidRDefault="000D4D26">
      <w:pPr>
        <w:jc w:val="center"/>
        <w:rPr>
          <w:rFonts w:ascii="黑体" w:eastAsia="黑体" w:hAnsi="黑体"/>
          <w:sz w:val="28"/>
          <w:szCs w:val="28"/>
        </w:rPr>
      </w:pPr>
    </w:p>
    <w:p w:rsidR="000D4D26" w:rsidRDefault="000D4D26">
      <w:pPr>
        <w:jc w:val="cente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P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P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P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P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P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Pr>
        <w:rPr>
          <w:rFonts w:ascii="黑体" w:eastAsia="黑体" w:hAnsi="黑体"/>
          <w:sz w:val="28"/>
          <w:szCs w:val="28"/>
        </w:rPr>
      </w:pPr>
    </w:p>
    <w:p w:rsidR="000D4D26" w:rsidRDefault="000D4D26">
      <w:pPr>
        <w:pStyle w:val="a0"/>
        <w:rPr>
          <w:rFonts w:ascii="黑体" w:eastAsia="黑体" w:hAnsi="黑体"/>
          <w:sz w:val="28"/>
          <w:szCs w:val="28"/>
        </w:rPr>
      </w:pPr>
    </w:p>
    <w:p w:rsidR="000D4D26" w:rsidRDefault="000D4D26"/>
    <w:p w:rsidR="000D4D26" w:rsidRDefault="000D4D26">
      <w:pPr>
        <w:rPr>
          <w:sz w:val="72"/>
          <w:szCs w:val="72"/>
        </w:rPr>
      </w:pPr>
    </w:p>
    <w:p w:rsidR="000D4D26" w:rsidRDefault="001125E7">
      <w:pPr>
        <w:jc w:val="center"/>
        <w:rPr>
          <w:rFonts w:ascii="黑体" w:eastAsia="黑体" w:hAnsi="黑体" w:cs="黑体"/>
          <w:sz w:val="72"/>
          <w:szCs w:val="72"/>
        </w:rPr>
      </w:pPr>
      <w:r>
        <w:rPr>
          <w:rFonts w:ascii="黑体" w:eastAsia="黑体" w:hAnsi="黑体" w:cs="黑体" w:hint="eastAsia"/>
          <w:sz w:val="72"/>
          <w:szCs w:val="72"/>
        </w:rPr>
        <w:t>第二部分</w:t>
      </w:r>
    </w:p>
    <w:p w:rsidR="000D4D26" w:rsidRDefault="000D4D26">
      <w:pPr>
        <w:jc w:val="center"/>
        <w:rPr>
          <w:rFonts w:ascii="黑体" w:eastAsia="黑体" w:hAnsi="黑体" w:cs="黑体"/>
          <w:sz w:val="72"/>
          <w:szCs w:val="72"/>
        </w:rPr>
      </w:pPr>
    </w:p>
    <w:p w:rsidR="000D4D26" w:rsidRDefault="001125E7">
      <w:pPr>
        <w:jc w:val="center"/>
        <w:rPr>
          <w:rFonts w:ascii="黑体" w:eastAsia="黑体" w:hAnsi="黑体" w:cs="黑体"/>
          <w:sz w:val="70"/>
          <w:szCs w:val="70"/>
        </w:rPr>
        <w:sectPr w:rsidR="000D4D26">
          <w:pgSz w:w="11906" w:h="16838"/>
          <w:pgMar w:top="1440" w:right="1797" w:bottom="1440" w:left="1797" w:header="851" w:footer="992" w:gutter="0"/>
          <w:cols w:space="425"/>
          <w:docGrid w:type="linesAndChars" w:linePitch="312"/>
        </w:sectPr>
      </w:pPr>
      <w:r>
        <w:rPr>
          <w:rFonts w:ascii="黑体" w:eastAsia="黑体" w:hAnsi="黑体" w:cs="黑体" w:hint="eastAsia"/>
          <w:sz w:val="70"/>
          <w:szCs w:val="70"/>
        </w:rPr>
        <w:t>部门决算</w:t>
      </w:r>
    </w:p>
    <w:p w:rsidR="000D4D26" w:rsidRDefault="001125E7">
      <w:pPr>
        <w:widowControl/>
        <w:jc w:val="left"/>
        <w:rPr>
          <w:rFonts w:ascii="宋体" w:cs="宋体"/>
          <w:kern w:val="0"/>
          <w:sz w:val="24"/>
          <w:szCs w:val="24"/>
        </w:rPr>
      </w:pPr>
      <w:bookmarkStart w:id="0" w:name="RANGE!A1:F16"/>
      <w:bookmarkStart w:id="1" w:name="RANGE!A1:I34"/>
      <w:bookmarkStart w:id="2" w:name="RANGE!A1:I22"/>
      <w:bookmarkEnd w:id="0"/>
      <w:bookmarkEnd w:id="1"/>
      <w:bookmarkEnd w:id="2"/>
      <w:r>
        <w:rPr>
          <w:rFonts w:ascii="宋体" w:cs="宋体"/>
          <w:kern w:val="0"/>
          <w:sz w:val="24"/>
          <w:szCs w:val="24"/>
        </w:rPr>
        <w:lastRenderedPageBreak/>
        <w:br w:type="page"/>
      </w:r>
    </w:p>
    <w:p w:rsidR="000D4D26" w:rsidRDefault="000D4D26">
      <w:pPr>
        <w:autoSpaceDE w:val="0"/>
        <w:autoSpaceDN w:val="0"/>
        <w:adjustRightInd w:val="0"/>
        <w:ind w:leftChars="150" w:left="315"/>
        <w:jc w:val="left"/>
        <w:rPr>
          <w:rFonts w:ascii="宋体" w:cs="宋体"/>
          <w:kern w:val="0"/>
          <w:sz w:val="24"/>
          <w:szCs w:val="24"/>
        </w:rPr>
      </w:pPr>
    </w:p>
    <w:p w:rsidR="000D4D26" w:rsidRDefault="000D4D26">
      <w:pPr>
        <w:pStyle w:val="Default"/>
        <w:rPr>
          <w:sz w:val="72"/>
          <w:szCs w:val="72"/>
        </w:rPr>
      </w:pPr>
    </w:p>
    <w:p w:rsidR="000D4D26" w:rsidRDefault="000D4D26">
      <w:pPr>
        <w:pStyle w:val="Default"/>
        <w:rPr>
          <w:sz w:val="72"/>
          <w:szCs w:val="72"/>
        </w:rPr>
      </w:pPr>
    </w:p>
    <w:p w:rsidR="000D4D26" w:rsidRDefault="000D4D26">
      <w:pPr>
        <w:pStyle w:val="Default"/>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1125E7">
      <w:pPr>
        <w:pStyle w:val="Default"/>
        <w:jc w:val="center"/>
        <w:rPr>
          <w:sz w:val="72"/>
          <w:szCs w:val="72"/>
        </w:rPr>
      </w:pPr>
      <w:r>
        <w:rPr>
          <w:rFonts w:hint="eastAsia"/>
          <w:sz w:val="72"/>
          <w:szCs w:val="72"/>
        </w:rPr>
        <w:t>第三部分</w:t>
      </w:r>
    </w:p>
    <w:p w:rsidR="000D4D26" w:rsidRDefault="000D4D26">
      <w:pPr>
        <w:pStyle w:val="Default"/>
        <w:jc w:val="center"/>
        <w:rPr>
          <w:sz w:val="70"/>
          <w:szCs w:val="70"/>
        </w:rPr>
      </w:pPr>
    </w:p>
    <w:p w:rsidR="000D4D26" w:rsidRDefault="001125E7">
      <w:pPr>
        <w:pStyle w:val="Default"/>
        <w:jc w:val="center"/>
        <w:rPr>
          <w:sz w:val="70"/>
          <w:szCs w:val="70"/>
        </w:rPr>
      </w:pPr>
      <w:r>
        <w:rPr>
          <w:sz w:val="70"/>
          <w:szCs w:val="70"/>
        </w:rPr>
        <w:t>2021</w:t>
      </w:r>
      <w:r>
        <w:rPr>
          <w:rFonts w:hint="eastAsia"/>
          <w:sz w:val="70"/>
          <w:szCs w:val="70"/>
        </w:rPr>
        <w:t>年度部门决算情况说明</w:t>
      </w:r>
    </w:p>
    <w:p w:rsidR="000D4D26" w:rsidRDefault="001125E7">
      <w:pPr>
        <w:widowControl/>
        <w:jc w:val="left"/>
      </w:pPr>
      <w:r>
        <w:rPr>
          <w:sz w:val="70"/>
          <w:szCs w:val="70"/>
        </w:rPr>
        <w:br w:type="page"/>
      </w:r>
    </w:p>
    <w:p w:rsidR="000D4D26" w:rsidRDefault="001125E7">
      <w:pPr>
        <w:pStyle w:val="Default"/>
        <w:rPr>
          <w:rFonts w:hAnsi="黑体"/>
          <w:b/>
          <w:sz w:val="32"/>
          <w:szCs w:val="32"/>
        </w:rPr>
      </w:pPr>
      <w:r>
        <w:rPr>
          <w:rFonts w:hAnsi="黑体" w:hint="eastAsia"/>
          <w:b/>
          <w:sz w:val="32"/>
          <w:szCs w:val="32"/>
        </w:rPr>
        <w:t>一、收入支出决算总体情况说明</w:t>
      </w:r>
    </w:p>
    <w:p w:rsidR="000D4D26" w:rsidRDefault="001125E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年度收、支总计41,950.8万元。与上年相比，减少2495.82万元，减少5.62</w:t>
      </w:r>
      <w:r>
        <w:rPr>
          <w:rFonts w:ascii="宋体" w:eastAsia="宋体" w:hAnsi="宋体"/>
          <w:sz w:val="32"/>
          <w:szCs w:val="32"/>
        </w:rPr>
        <w:t>%</w:t>
      </w:r>
      <w:r>
        <w:rPr>
          <w:rFonts w:ascii="宋体" w:eastAsia="宋体" w:hAnsi="宋体" w:hint="eastAsia"/>
          <w:sz w:val="32"/>
          <w:szCs w:val="32"/>
        </w:rPr>
        <w:t>，主要是因为新冠疫情持续影响，减少安排项目支出。</w:t>
      </w:r>
    </w:p>
    <w:p w:rsidR="000D4D26" w:rsidRDefault="001125E7">
      <w:pPr>
        <w:pStyle w:val="Default"/>
        <w:rPr>
          <w:rFonts w:hAnsi="黑体"/>
          <w:b/>
          <w:sz w:val="32"/>
          <w:szCs w:val="32"/>
        </w:rPr>
      </w:pPr>
      <w:r>
        <w:rPr>
          <w:rFonts w:hAnsi="黑体" w:hint="eastAsia"/>
          <w:b/>
          <w:sz w:val="32"/>
          <w:szCs w:val="32"/>
        </w:rPr>
        <w:t>二、收入决算情况说明</w:t>
      </w:r>
    </w:p>
    <w:p w:rsidR="000D4D26" w:rsidRDefault="001125E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年度收入合计20,983.78万元，其中：财政拨款收入15,732.06万元，占74.97</w:t>
      </w:r>
      <w:r>
        <w:rPr>
          <w:rFonts w:ascii="宋体" w:eastAsia="宋体" w:hAnsi="宋体"/>
          <w:sz w:val="32"/>
          <w:szCs w:val="32"/>
        </w:rPr>
        <w:t>%</w:t>
      </w:r>
      <w:r>
        <w:rPr>
          <w:rFonts w:ascii="宋体" w:eastAsia="宋体" w:hAnsi="宋体" w:hint="eastAsia"/>
          <w:sz w:val="32"/>
          <w:szCs w:val="32"/>
        </w:rPr>
        <w:t>；事业收入4,092.27万元，占19.5</w:t>
      </w:r>
      <w:r>
        <w:rPr>
          <w:rFonts w:ascii="宋体" w:eastAsia="宋体" w:hAnsi="宋体"/>
          <w:sz w:val="32"/>
          <w:szCs w:val="32"/>
        </w:rPr>
        <w:t>%</w:t>
      </w:r>
      <w:r>
        <w:rPr>
          <w:rFonts w:ascii="宋体" w:eastAsia="宋体" w:hAnsi="宋体" w:hint="eastAsia"/>
          <w:sz w:val="32"/>
          <w:szCs w:val="32"/>
        </w:rPr>
        <w:t>；其他收入1,159.45万元，占5.53</w:t>
      </w:r>
      <w:r>
        <w:rPr>
          <w:rFonts w:ascii="宋体" w:eastAsia="宋体" w:hAnsi="宋体"/>
          <w:sz w:val="32"/>
          <w:szCs w:val="32"/>
        </w:rPr>
        <w:t>%</w:t>
      </w:r>
      <w:r>
        <w:rPr>
          <w:rFonts w:ascii="宋体" w:eastAsia="宋体" w:hAnsi="宋体" w:hint="eastAsia"/>
          <w:sz w:val="32"/>
          <w:szCs w:val="32"/>
        </w:rPr>
        <w:t>。</w:t>
      </w:r>
    </w:p>
    <w:p w:rsidR="000D4D26" w:rsidRDefault="001125E7">
      <w:pPr>
        <w:pStyle w:val="Default"/>
        <w:rPr>
          <w:rFonts w:hAnsi="黑体"/>
          <w:b/>
          <w:sz w:val="32"/>
          <w:szCs w:val="32"/>
        </w:rPr>
      </w:pPr>
      <w:r>
        <w:rPr>
          <w:rFonts w:hAnsi="黑体" w:hint="eastAsia"/>
          <w:b/>
          <w:sz w:val="32"/>
          <w:szCs w:val="32"/>
        </w:rPr>
        <w:t>三、支出决算情况说明</w:t>
      </w:r>
    </w:p>
    <w:p w:rsidR="000D4D26" w:rsidRDefault="001125E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年度支出合计20,967.02万元，其中：基本支出14,790.73万元，占70.54</w:t>
      </w:r>
      <w:r>
        <w:rPr>
          <w:rFonts w:ascii="宋体" w:eastAsia="宋体" w:hAnsi="宋体"/>
          <w:sz w:val="32"/>
          <w:szCs w:val="32"/>
        </w:rPr>
        <w:t>%</w:t>
      </w:r>
      <w:r>
        <w:rPr>
          <w:rFonts w:ascii="宋体" w:eastAsia="宋体" w:hAnsi="宋体" w:hint="eastAsia"/>
          <w:sz w:val="32"/>
          <w:szCs w:val="32"/>
        </w:rPr>
        <w:t>；项目支出6,176.29万元，占29.46</w:t>
      </w:r>
      <w:r>
        <w:rPr>
          <w:rFonts w:ascii="宋体" w:eastAsia="宋体" w:hAnsi="宋体"/>
          <w:sz w:val="32"/>
          <w:szCs w:val="32"/>
        </w:rPr>
        <w:t>%</w:t>
      </w:r>
      <w:r>
        <w:rPr>
          <w:rFonts w:ascii="宋体" w:eastAsia="宋体" w:hAnsi="宋体" w:hint="eastAsia"/>
          <w:sz w:val="32"/>
          <w:szCs w:val="32"/>
        </w:rPr>
        <w:t>。</w:t>
      </w:r>
    </w:p>
    <w:p w:rsidR="000D4D26" w:rsidRDefault="001125E7">
      <w:pPr>
        <w:pStyle w:val="Default"/>
        <w:rPr>
          <w:rFonts w:hAnsi="黑体"/>
          <w:b/>
          <w:sz w:val="32"/>
          <w:szCs w:val="32"/>
        </w:rPr>
      </w:pPr>
      <w:r>
        <w:rPr>
          <w:rFonts w:hAnsi="黑体" w:hint="eastAsia"/>
          <w:b/>
          <w:sz w:val="32"/>
          <w:szCs w:val="32"/>
        </w:rPr>
        <w:t>四、财政拨款收入支出决算总体情况说明</w:t>
      </w:r>
    </w:p>
    <w:p w:rsidR="000D4D26" w:rsidRDefault="001125E7">
      <w:pPr>
        <w:pStyle w:val="Default"/>
        <w:ind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年度财政拨款收、支总计31,833.32万元，与上年相比，减少4383.06万元</w:t>
      </w:r>
      <w:r>
        <w:rPr>
          <w:rFonts w:ascii="宋体" w:eastAsia="宋体" w:hAnsi="宋体"/>
          <w:sz w:val="32"/>
          <w:szCs w:val="32"/>
        </w:rPr>
        <w:t>,</w:t>
      </w:r>
      <w:r>
        <w:rPr>
          <w:rFonts w:ascii="宋体" w:eastAsia="宋体" w:hAnsi="宋体" w:hint="eastAsia"/>
          <w:sz w:val="32"/>
          <w:szCs w:val="32"/>
        </w:rPr>
        <w:t>减少12.1</w:t>
      </w:r>
      <w:r>
        <w:rPr>
          <w:rFonts w:ascii="宋体" w:eastAsia="宋体" w:hAnsi="宋体"/>
          <w:sz w:val="32"/>
          <w:szCs w:val="32"/>
        </w:rPr>
        <w:t>%</w:t>
      </w:r>
      <w:r>
        <w:rPr>
          <w:rFonts w:ascii="宋体" w:eastAsia="宋体" w:hAnsi="宋体" w:hint="eastAsia"/>
          <w:sz w:val="32"/>
          <w:szCs w:val="32"/>
        </w:rPr>
        <w:t>，主要是因为减少资本性支出。</w:t>
      </w:r>
    </w:p>
    <w:p w:rsidR="000D4D26" w:rsidRDefault="001125E7">
      <w:pPr>
        <w:pStyle w:val="Default"/>
        <w:rPr>
          <w:rFonts w:hAnsi="黑体"/>
          <w:b/>
          <w:sz w:val="32"/>
          <w:szCs w:val="32"/>
        </w:rPr>
      </w:pPr>
      <w:r>
        <w:rPr>
          <w:rFonts w:hAnsi="黑体" w:hint="eastAsia"/>
          <w:b/>
          <w:sz w:val="32"/>
          <w:szCs w:val="32"/>
        </w:rPr>
        <w:t>五、一般公共预算财政拨款支出决算情况说明</w:t>
      </w:r>
    </w:p>
    <w:p w:rsidR="000D4D26" w:rsidRDefault="001125E7" w:rsidP="000D4D26">
      <w:pPr>
        <w:pStyle w:val="Default"/>
        <w:ind w:firstLineChars="200" w:firstLine="643"/>
        <w:rPr>
          <w:rFonts w:ascii="宋体" w:eastAsia="宋体" w:hAnsi="宋体"/>
          <w:b/>
          <w:sz w:val="32"/>
          <w:szCs w:val="32"/>
        </w:rPr>
      </w:pPr>
      <w:r>
        <w:rPr>
          <w:rFonts w:ascii="宋体" w:eastAsia="宋体" w:hAnsi="宋体" w:hint="eastAsia"/>
          <w:b/>
          <w:sz w:val="32"/>
          <w:szCs w:val="32"/>
        </w:rPr>
        <w:t>（一）财政拨款支出决算总体情况</w:t>
      </w:r>
    </w:p>
    <w:p w:rsidR="000D4D26" w:rsidRDefault="001125E7">
      <w:pPr>
        <w:pStyle w:val="Default"/>
        <w:ind w:firstLineChars="250" w:firstLine="80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年度财政拨款支出16,101.26万元，占本年支出合计的76.79</w:t>
      </w:r>
      <w:r>
        <w:rPr>
          <w:rFonts w:ascii="宋体" w:eastAsia="宋体" w:hAnsi="宋体"/>
          <w:sz w:val="32"/>
          <w:szCs w:val="32"/>
        </w:rPr>
        <w:t>%</w:t>
      </w:r>
      <w:r>
        <w:rPr>
          <w:rFonts w:ascii="宋体" w:eastAsia="宋体" w:hAnsi="宋体" w:hint="eastAsia"/>
          <w:sz w:val="32"/>
          <w:szCs w:val="32"/>
        </w:rPr>
        <w:t>，与上年相比，财政拨款支出减少</w:t>
      </w:r>
      <w:r>
        <w:rPr>
          <w:rFonts w:ascii="仿宋_GB2312" w:eastAsia="仿宋_GB2312" w:hAnsi="仿宋" w:hint="eastAsia"/>
          <w:sz w:val="32"/>
          <w:szCs w:val="32"/>
        </w:rPr>
        <w:t>1676.89</w:t>
      </w:r>
      <w:r>
        <w:rPr>
          <w:rFonts w:ascii="宋体" w:eastAsia="宋体" w:hAnsi="宋体" w:hint="eastAsia"/>
          <w:sz w:val="32"/>
          <w:szCs w:val="32"/>
        </w:rPr>
        <w:t>万元，减少9.43</w:t>
      </w:r>
      <w:r>
        <w:rPr>
          <w:rFonts w:ascii="宋体" w:eastAsia="宋体" w:hAnsi="宋体"/>
          <w:sz w:val="32"/>
          <w:szCs w:val="32"/>
        </w:rPr>
        <w:t>%</w:t>
      </w:r>
      <w:r>
        <w:rPr>
          <w:rFonts w:ascii="宋体" w:eastAsia="宋体" w:hAnsi="宋体" w:hint="eastAsia"/>
          <w:sz w:val="32"/>
          <w:szCs w:val="32"/>
        </w:rPr>
        <w:t>，主要是因为资本性支出减少。</w:t>
      </w:r>
    </w:p>
    <w:p w:rsidR="000D4D26" w:rsidRDefault="001125E7" w:rsidP="000D4D26">
      <w:pPr>
        <w:pStyle w:val="Default"/>
        <w:ind w:firstLineChars="150" w:firstLine="482"/>
        <w:rPr>
          <w:rFonts w:ascii="宋体" w:eastAsia="宋体" w:hAnsi="宋体"/>
          <w:b/>
          <w:sz w:val="32"/>
          <w:szCs w:val="32"/>
        </w:rPr>
      </w:pPr>
      <w:r>
        <w:rPr>
          <w:rFonts w:ascii="宋体" w:eastAsia="宋体" w:hAnsi="宋体" w:hint="eastAsia"/>
          <w:b/>
          <w:sz w:val="32"/>
          <w:szCs w:val="32"/>
        </w:rPr>
        <w:t>（二）财政拨款支出决算结构情况</w:t>
      </w:r>
    </w:p>
    <w:p w:rsidR="000D4D26" w:rsidRDefault="001125E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年度财政拨款支出16,101.26万元，主要用于以下方面：公共安全（类）支出608.17万元，占3.78%；教育（类）支出12890.1万元，占80.06%</w:t>
      </w:r>
      <w:r>
        <w:rPr>
          <w:rFonts w:ascii="宋体" w:eastAsia="宋体" w:hAnsi="宋体"/>
          <w:sz w:val="32"/>
          <w:szCs w:val="32"/>
        </w:rPr>
        <w:t>;</w:t>
      </w:r>
      <w:r>
        <w:rPr>
          <w:rFonts w:ascii="宋体" w:eastAsia="宋体" w:hAnsi="宋体" w:hint="eastAsia"/>
          <w:sz w:val="32"/>
          <w:szCs w:val="32"/>
        </w:rPr>
        <w:t>科学技术（类）支出93.06万元，占0.58%；社会保障和就业（类）支出1134.02万元，占7.04%；卫生健康（类）支出400.8万元，占2.49%；住房保障（类）支出975.1万元，占6.06%。</w:t>
      </w:r>
    </w:p>
    <w:p w:rsidR="000D4D26" w:rsidRDefault="001125E7" w:rsidP="000D4D26">
      <w:pPr>
        <w:pStyle w:val="Default"/>
        <w:ind w:firstLineChars="250" w:firstLine="803"/>
        <w:rPr>
          <w:rFonts w:ascii="宋体" w:eastAsia="宋体" w:hAnsi="宋体"/>
          <w:b/>
          <w:sz w:val="32"/>
          <w:szCs w:val="32"/>
        </w:rPr>
      </w:pPr>
      <w:r>
        <w:rPr>
          <w:rFonts w:ascii="宋体" w:eastAsia="宋体" w:hAnsi="宋体" w:hint="eastAsia"/>
          <w:b/>
          <w:sz w:val="32"/>
          <w:szCs w:val="32"/>
        </w:rPr>
        <w:lastRenderedPageBreak/>
        <w:t>（三）财政拨款支出决算具体情况</w:t>
      </w:r>
    </w:p>
    <w:p w:rsidR="000D4D26" w:rsidRDefault="001125E7">
      <w:pPr>
        <w:pStyle w:val="Default"/>
        <w:ind w:firstLineChars="250" w:firstLine="80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年度财政拨款支出年初预算数为12,883.5万元，支出决算数为16,101.26万元，完成年初预算的124.98</w:t>
      </w:r>
      <w:r>
        <w:rPr>
          <w:rFonts w:ascii="宋体" w:eastAsia="宋体" w:hAnsi="宋体"/>
          <w:sz w:val="32"/>
          <w:szCs w:val="32"/>
        </w:rPr>
        <w:t>%</w:t>
      </w:r>
      <w:r>
        <w:rPr>
          <w:rFonts w:ascii="宋体" w:eastAsia="宋体" w:hAnsi="宋体" w:hint="eastAsia"/>
          <w:sz w:val="32"/>
          <w:szCs w:val="32"/>
        </w:rPr>
        <w:t>，其中：</w:t>
      </w:r>
    </w:p>
    <w:p w:rsidR="000D4D26" w:rsidRDefault="001125E7">
      <w:pPr>
        <w:pStyle w:val="Default"/>
        <w:ind w:firstLineChars="250" w:firstLine="800"/>
        <w:rPr>
          <w:rFonts w:ascii="宋体" w:eastAsia="宋体" w:hAnsi="宋体"/>
          <w:sz w:val="32"/>
          <w:szCs w:val="32"/>
        </w:rPr>
      </w:pPr>
      <w:r>
        <w:rPr>
          <w:rFonts w:ascii="宋体" w:eastAsia="宋体" w:hAnsi="宋体"/>
          <w:sz w:val="32"/>
          <w:szCs w:val="32"/>
        </w:rPr>
        <w:t>1</w:t>
      </w:r>
      <w:r>
        <w:rPr>
          <w:rFonts w:ascii="宋体" w:eastAsia="宋体" w:hAnsi="宋体" w:hint="eastAsia"/>
          <w:sz w:val="32"/>
          <w:szCs w:val="32"/>
        </w:rPr>
        <w:t>、公共安全支出（类）公安（款）一般行政管理事务（项）。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年初预算为0万元，支出决算为608.17万元，决算数大于年初预算数的主要原因是：支出上年结转结余和年中追加省直政法单位专项经费等费用。</w:t>
      </w:r>
    </w:p>
    <w:p w:rsidR="000D4D26" w:rsidRDefault="001125E7">
      <w:pPr>
        <w:pStyle w:val="Default"/>
        <w:ind w:firstLineChars="250" w:firstLine="800"/>
        <w:rPr>
          <w:rFonts w:ascii="宋体" w:eastAsia="宋体" w:hAnsi="宋体"/>
          <w:sz w:val="32"/>
          <w:szCs w:val="32"/>
        </w:rPr>
      </w:pPr>
      <w:r>
        <w:rPr>
          <w:rFonts w:ascii="宋体" w:eastAsia="宋体" w:hAnsi="宋体"/>
          <w:sz w:val="32"/>
          <w:szCs w:val="32"/>
        </w:rPr>
        <w:t>2</w:t>
      </w:r>
      <w:r>
        <w:rPr>
          <w:rFonts w:ascii="宋体" w:eastAsia="宋体" w:hAnsi="宋体" w:hint="eastAsia"/>
          <w:sz w:val="32"/>
          <w:szCs w:val="32"/>
        </w:rPr>
        <w:t>、教育支出（类）普通教育（款）高等教育（项）。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年初预算为10388.4万元，支出决算为12890.10万元，完成年初预算的124.08</w:t>
      </w:r>
      <w:r>
        <w:rPr>
          <w:rFonts w:ascii="宋体" w:eastAsia="宋体" w:hAnsi="宋体"/>
          <w:sz w:val="32"/>
          <w:szCs w:val="32"/>
        </w:rPr>
        <w:t>%</w:t>
      </w:r>
      <w:r>
        <w:rPr>
          <w:rFonts w:ascii="宋体" w:eastAsia="宋体" w:hAnsi="宋体" w:hint="eastAsia"/>
          <w:sz w:val="32"/>
          <w:szCs w:val="32"/>
        </w:rPr>
        <w:t>，决算数大于年初预算数的主要原因是：支出上年结转结余和年中追加教育综合发展专项资金等费用。</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3、科学技术支出（类）基础研究（款）自然科学基金（项）。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年初预算为0万元，支出决算为0万元，年中追加5万元，主要原因是：追加创新型省份建设专项资金未执行。</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4、科学技术支出（类）应用研究（款）高技术研究（项）。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年初预算为0万元，支出决算为50万元，决算数大于年初预算数的主要原因是：支出上年结转结余。</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5、科学技术支出（类）社会科学（款）其他社会科学支出（项）。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年初预算为0万元，支出决算为7.47万元，决算数大于年初预算数的主要原因是：支出上年结转结余和年中追加省社科基金课题经费等费用。</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6、科学技术支出（类）科学技术普及（款）科普活动（项）。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年初预算为0万元，支出决算为5万元，决算数大于年初预算数的主要原因是：支出年中追加创新型省份建设专项资金。</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7、科学技术支出（类）其他科学技术支出（款）科技奖励（项）。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年初预算为0万元，支出决算为5万元，决算数大于年初预算数的主要</w:t>
      </w:r>
      <w:r>
        <w:rPr>
          <w:rFonts w:ascii="宋体" w:eastAsia="宋体" w:hAnsi="宋体" w:hint="eastAsia"/>
          <w:sz w:val="32"/>
          <w:szCs w:val="32"/>
        </w:rPr>
        <w:lastRenderedPageBreak/>
        <w:t>原因是：支出年中追加创新型省份建设专项资金。</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8、科学技术支出（类）其他科学技术支出（款）其他科学技术支出（项）。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年初预算为0万元，支出决算为25.59万元，决算数大于年初预算数的主要原因是：支出上年结转结余。</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9、社会保障和就业支出（类）人力资源和社会保障管理事务（款）其他人力资源和社会保障管理事务支出（项）。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年初预算为0万元，支出决算为4万元，决算数大于年初预算数的主要原因是：支出上年结转结余。</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10、社会保障和就业支出（类）行政事业单位养老支出（款）机关事业单位基本养老保险缴费支出（项）。</w:t>
      </w:r>
    </w:p>
    <w:p w:rsidR="000D4D26" w:rsidRDefault="001125E7">
      <w:pPr>
        <w:pStyle w:val="Default"/>
        <w:ind w:firstLineChars="250" w:firstLine="800"/>
        <w:rPr>
          <w:rFonts w:asciiTheme="minorEastAsia" w:eastAsiaTheme="minorEastAsia" w:hAnsiTheme="minorEastAsia"/>
          <w:sz w:val="32"/>
          <w:szCs w:val="32"/>
        </w:rPr>
      </w:pPr>
      <w:r>
        <w:rPr>
          <w:rFonts w:ascii="宋体" w:eastAsia="宋体" w:hAnsi="宋体" w:hint="eastAsia"/>
          <w:sz w:val="32"/>
          <w:szCs w:val="32"/>
        </w:rPr>
        <w:t>年初预算为1000万元，支出决算为1000万元，完成年初预算的100</w:t>
      </w:r>
      <w:r>
        <w:rPr>
          <w:rFonts w:ascii="宋体" w:eastAsia="宋体" w:hAnsi="宋体"/>
          <w:sz w:val="32"/>
          <w:szCs w:val="32"/>
        </w:rPr>
        <w:t>%</w:t>
      </w:r>
      <w:r>
        <w:rPr>
          <w:rFonts w:ascii="宋体" w:eastAsia="宋体" w:hAnsi="宋体" w:hint="eastAsia"/>
          <w:sz w:val="32"/>
          <w:szCs w:val="32"/>
        </w:rPr>
        <w:t>，</w:t>
      </w:r>
      <w:r>
        <w:rPr>
          <w:rFonts w:asciiTheme="minorEastAsia" w:eastAsiaTheme="minorEastAsia" w:hAnsiTheme="minorEastAsia" w:hint="eastAsia"/>
          <w:sz w:val="32"/>
          <w:szCs w:val="32"/>
        </w:rPr>
        <w:t>决算数与年初预算数持平。</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社会保障和就业支出（类）行政事业单位养老支出（款）其他行政事业单位养老支出（项）。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年初预算为0万元，支出决算为0.72万元，决算数大于年初预算数的主要原因是：支出年中追加部分退休干部医疗补贴。</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社会保障和就业支出（类）就业补助（款）就业创业服务补贴（项）。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年初预算为0万元，支出决算为9.3万元，决算数大于年初预算数的主要原因是：支出上年结转结余。</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社会保障和就业支出（类）就业补助（款）其他就业补助支出（项）。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年初预算为0万元，支出决算为0万元，年中追加8.2万元，主要原因是：年中追加因疫情影响未执行。</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社会保障和就业支出（类）其他社会保障和就业支出（款）其他社会保障和就业支出（项）。</w:t>
      </w:r>
    </w:p>
    <w:p w:rsidR="000D4D26" w:rsidRDefault="001125E7">
      <w:pPr>
        <w:pStyle w:val="Default"/>
        <w:ind w:firstLineChars="250" w:firstLine="800"/>
        <w:rPr>
          <w:rFonts w:asciiTheme="minorEastAsia" w:eastAsiaTheme="minorEastAsia" w:hAnsiTheme="minorEastAsia"/>
          <w:sz w:val="32"/>
          <w:szCs w:val="32"/>
        </w:rPr>
      </w:pPr>
      <w:r>
        <w:rPr>
          <w:rFonts w:ascii="宋体" w:eastAsia="宋体" w:hAnsi="宋体" w:hint="eastAsia"/>
          <w:sz w:val="32"/>
          <w:szCs w:val="32"/>
        </w:rPr>
        <w:lastRenderedPageBreak/>
        <w:t>年初预算为120万元，支出决算为120万元，完成年初预算的100</w:t>
      </w:r>
      <w:r>
        <w:rPr>
          <w:rFonts w:ascii="宋体" w:eastAsia="宋体" w:hAnsi="宋体"/>
          <w:sz w:val="32"/>
          <w:szCs w:val="32"/>
        </w:rPr>
        <w:t>%</w:t>
      </w:r>
      <w:r>
        <w:rPr>
          <w:rFonts w:ascii="宋体" w:eastAsia="宋体" w:hAnsi="宋体" w:hint="eastAsia"/>
          <w:sz w:val="32"/>
          <w:szCs w:val="32"/>
        </w:rPr>
        <w:t>，</w:t>
      </w:r>
      <w:r>
        <w:rPr>
          <w:rFonts w:asciiTheme="minorEastAsia" w:eastAsiaTheme="minorEastAsia" w:hAnsiTheme="minorEastAsia" w:hint="eastAsia"/>
          <w:sz w:val="32"/>
          <w:szCs w:val="32"/>
        </w:rPr>
        <w:t>决算数与年初预算数持平。</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卫生健康支出（类）行政事业单位医疗（款）行政单位医疗（项）。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年初预算为0万元，支出决算为0.8万元，决算数大于年初预算数的主要原因是：支出年中追加部分退休干部医疗补贴。</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卫生健康支出（类）行政事业单位医疗（款）公务员医疗补助（项）。</w:t>
      </w:r>
    </w:p>
    <w:p w:rsidR="000D4D26" w:rsidRDefault="001125E7">
      <w:pPr>
        <w:pStyle w:val="Default"/>
        <w:ind w:firstLineChars="250" w:firstLine="800"/>
        <w:rPr>
          <w:rFonts w:asciiTheme="minorEastAsia" w:eastAsiaTheme="minorEastAsia" w:hAnsiTheme="minorEastAsia"/>
          <w:sz w:val="32"/>
          <w:szCs w:val="32"/>
        </w:rPr>
      </w:pPr>
      <w:r>
        <w:rPr>
          <w:rFonts w:ascii="宋体" w:eastAsia="宋体" w:hAnsi="宋体" w:hint="eastAsia"/>
          <w:sz w:val="32"/>
          <w:szCs w:val="32"/>
        </w:rPr>
        <w:t>年初预算为400万元，支出决算为400万元，完成年初预算的100</w:t>
      </w:r>
      <w:r>
        <w:rPr>
          <w:rFonts w:ascii="宋体" w:eastAsia="宋体" w:hAnsi="宋体"/>
          <w:sz w:val="32"/>
          <w:szCs w:val="32"/>
        </w:rPr>
        <w:t>%</w:t>
      </w:r>
      <w:r>
        <w:rPr>
          <w:rFonts w:ascii="宋体" w:eastAsia="宋体" w:hAnsi="宋体" w:hint="eastAsia"/>
          <w:sz w:val="32"/>
          <w:szCs w:val="32"/>
        </w:rPr>
        <w:t>，</w:t>
      </w:r>
      <w:r>
        <w:rPr>
          <w:rFonts w:asciiTheme="minorEastAsia" w:eastAsiaTheme="minorEastAsia" w:hAnsiTheme="minorEastAsia" w:hint="eastAsia"/>
          <w:sz w:val="32"/>
          <w:szCs w:val="32"/>
        </w:rPr>
        <w:t>决算数与年初预算数持平。</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住房保障支出（类）住房改革支出（款）住房公积金（项）。</w:t>
      </w:r>
    </w:p>
    <w:p w:rsidR="000D4D26" w:rsidRDefault="001125E7">
      <w:pPr>
        <w:pStyle w:val="Default"/>
        <w:ind w:firstLineChars="250" w:firstLine="800"/>
        <w:rPr>
          <w:rFonts w:asciiTheme="minorEastAsia" w:eastAsiaTheme="minorEastAsia" w:hAnsiTheme="minorEastAsia"/>
          <w:sz w:val="32"/>
          <w:szCs w:val="32"/>
        </w:rPr>
      </w:pPr>
      <w:r>
        <w:rPr>
          <w:rFonts w:ascii="宋体" w:eastAsia="宋体" w:hAnsi="宋体" w:hint="eastAsia"/>
          <w:sz w:val="32"/>
          <w:szCs w:val="32"/>
        </w:rPr>
        <w:t>年初预算为825.1万元，支出决算为825.1万元，完成年初预算的100</w:t>
      </w:r>
      <w:r>
        <w:rPr>
          <w:rFonts w:ascii="宋体" w:eastAsia="宋体" w:hAnsi="宋体"/>
          <w:sz w:val="32"/>
          <w:szCs w:val="32"/>
        </w:rPr>
        <w:t>%</w:t>
      </w:r>
      <w:r>
        <w:rPr>
          <w:rFonts w:ascii="宋体" w:eastAsia="宋体" w:hAnsi="宋体" w:hint="eastAsia"/>
          <w:sz w:val="32"/>
          <w:szCs w:val="32"/>
        </w:rPr>
        <w:t>，</w:t>
      </w:r>
      <w:r>
        <w:rPr>
          <w:rFonts w:asciiTheme="minorEastAsia" w:eastAsiaTheme="minorEastAsia" w:hAnsiTheme="minorEastAsia" w:hint="eastAsia"/>
          <w:sz w:val="32"/>
          <w:szCs w:val="32"/>
        </w:rPr>
        <w:t>决算数与年初预算数持平。</w:t>
      </w:r>
    </w:p>
    <w:p w:rsidR="000D4D26" w:rsidRDefault="001125E7">
      <w:pPr>
        <w:pStyle w:val="Default"/>
        <w:numPr>
          <w:ilvl w:val="0"/>
          <w:numId w:val="1"/>
        </w:numPr>
        <w:ind w:firstLineChars="250" w:firstLine="800"/>
        <w:rPr>
          <w:rFonts w:ascii="宋体" w:eastAsia="宋体" w:hAnsi="宋体"/>
          <w:sz w:val="32"/>
          <w:szCs w:val="32"/>
        </w:rPr>
      </w:pPr>
      <w:r>
        <w:rPr>
          <w:rFonts w:ascii="宋体" w:eastAsia="宋体" w:hAnsi="宋体" w:hint="eastAsia"/>
          <w:sz w:val="32"/>
          <w:szCs w:val="32"/>
        </w:rPr>
        <w:t>住房保障支出（类）住房改革支出（款）购房补贴（项）。</w:t>
      </w:r>
    </w:p>
    <w:p w:rsidR="000D4D26" w:rsidRDefault="001125E7">
      <w:pPr>
        <w:pStyle w:val="Default"/>
        <w:ind w:firstLineChars="250" w:firstLine="800"/>
        <w:rPr>
          <w:rFonts w:ascii="宋体" w:eastAsia="宋体" w:hAnsi="宋体"/>
          <w:sz w:val="32"/>
          <w:szCs w:val="32"/>
        </w:rPr>
      </w:pPr>
      <w:r>
        <w:rPr>
          <w:rFonts w:ascii="宋体" w:eastAsia="宋体" w:hAnsi="宋体" w:hint="eastAsia"/>
          <w:sz w:val="32"/>
          <w:szCs w:val="32"/>
        </w:rPr>
        <w:t>年初预算为150万元，支出决算为150万元，完成年初预算的100</w:t>
      </w:r>
      <w:r>
        <w:rPr>
          <w:rFonts w:ascii="宋体" w:eastAsia="宋体" w:hAnsi="宋体"/>
          <w:sz w:val="32"/>
          <w:szCs w:val="32"/>
        </w:rPr>
        <w:t>%</w:t>
      </w:r>
      <w:r>
        <w:rPr>
          <w:rFonts w:ascii="宋体" w:eastAsia="宋体" w:hAnsi="宋体" w:hint="eastAsia"/>
          <w:sz w:val="32"/>
          <w:szCs w:val="32"/>
        </w:rPr>
        <w:t>，</w:t>
      </w:r>
      <w:r>
        <w:rPr>
          <w:rFonts w:asciiTheme="minorEastAsia" w:eastAsiaTheme="minorEastAsia" w:hAnsiTheme="minorEastAsia" w:hint="eastAsia"/>
          <w:sz w:val="32"/>
          <w:szCs w:val="32"/>
        </w:rPr>
        <w:t>决算数与年初预算数持平。</w:t>
      </w:r>
    </w:p>
    <w:p w:rsidR="000D4D26" w:rsidRDefault="001125E7">
      <w:pPr>
        <w:pStyle w:val="Default"/>
        <w:rPr>
          <w:rFonts w:hAnsi="黑体"/>
          <w:b/>
          <w:sz w:val="32"/>
          <w:szCs w:val="32"/>
        </w:rPr>
      </w:pPr>
      <w:r>
        <w:rPr>
          <w:rFonts w:hAnsi="黑体" w:hint="eastAsia"/>
          <w:b/>
          <w:sz w:val="32"/>
          <w:szCs w:val="32"/>
        </w:rPr>
        <w:t>六、一般公共预算财政拨款基本支出决算情况说明</w:t>
      </w:r>
      <w:bookmarkStart w:id="3" w:name="_GoBack"/>
      <w:bookmarkEnd w:id="3"/>
    </w:p>
    <w:p w:rsidR="000D4D26" w:rsidRDefault="001125E7">
      <w:pPr>
        <w:pStyle w:val="Default"/>
        <w:ind w:firstLineChars="200" w:firstLine="640"/>
        <w:rPr>
          <w:rFonts w:ascii="宋体" w:eastAsia="宋体" w:hAnsi="宋体"/>
          <w:i/>
          <w:color w:val="FF0000"/>
          <w:sz w:val="32"/>
          <w:szCs w:val="32"/>
        </w:rPr>
      </w:pPr>
      <w:r>
        <w:rPr>
          <w:rFonts w:ascii="宋体" w:eastAsia="宋体" w:hAnsi="宋体"/>
          <w:sz w:val="32"/>
          <w:szCs w:val="32"/>
        </w:rPr>
        <w:t>2021</w:t>
      </w:r>
      <w:r>
        <w:rPr>
          <w:rFonts w:ascii="宋体" w:eastAsia="宋体" w:hAnsi="宋体" w:hint="eastAsia"/>
          <w:sz w:val="32"/>
          <w:szCs w:val="32"/>
        </w:rPr>
        <w:t>年度财政拨款基本支出11434.02万元，其中：人员经费9,945.62万元，占基本支出的86.98</w:t>
      </w:r>
      <w:r>
        <w:rPr>
          <w:rFonts w:ascii="宋体" w:eastAsia="宋体" w:hAnsi="宋体"/>
          <w:sz w:val="32"/>
          <w:szCs w:val="32"/>
        </w:rPr>
        <w:t>%,</w:t>
      </w:r>
      <w:r>
        <w:rPr>
          <w:rFonts w:ascii="宋体" w:eastAsia="宋体" w:hAnsi="宋体" w:hint="eastAsia"/>
          <w:sz w:val="32"/>
          <w:szCs w:val="32"/>
        </w:rPr>
        <w:t>主要包括</w:t>
      </w:r>
      <w:r>
        <w:rPr>
          <w:rFonts w:asciiTheme="minorEastAsia" w:eastAsiaTheme="minorEastAsia" w:hAnsiTheme="minorEastAsia" w:hint="eastAsia"/>
          <w:sz w:val="32"/>
          <w:szCs w:val="32"/>
        </w:rPr>
        <w:t>基本工资、津贴补贴、奖金、机关事业单位基本养老保险缴费、职业年金缴费、职工基本医疗保险缴费、公务员医疗补助缴费、其他社会保障缴费、住房公积金、其他工资福利支出、离休费、退休费、抚恤金、生活补助、医疗费补助、助学金、奖励金、其他对个人和家庭的补助等</w:t>
      </w:r>
      <w:r>
        <w:rPr>
          <w:rFonts w:ascii="宋体" w:eastAsia="宋体" w:hAnsi="宋体" w:hint="eastAsia"/>
          <w:sz w:val="32"/>
          <w:szCs w:val="32"/>
        </w:rPr>
        <w:t>；公用经费1,488.40万元，占基本支出的13.02</w:t>
      </w:r>
      <w:r>
        <w:rPr>
          <w:rFonts w:ascii="宋体" w:eastAsia="宋体" w:hAnsi="宋体"/>
          <w:sz w:val="32"/>
          <w:szCs w:val="32"/>
        </w:rPr>
        <w:t>%</w:t>
      </w:r>
      <w:r>
        <w:rPr>
          <w:rFonts w:ascii="宋体" w:eastAsia="宋体" w:hAnsi="宋体" w:hint="eastAsia"/>
          <w:sz w:val="32"/>
          <w:szCs w:val="32"/>
        </w:rPr>
        <w:t>，主要包括</w:t>
      </w:r>
      <w:r>
        <w:rPr>
          <w:rFonts w:asciiTheme="minorEastAsia" w:eastAsiaTheme="minorEastAsia" w:hAnsiTheme="minorEastAsia" w:hint="eastAsia"/>
          <w:sz w:val="32"/>
          <w:szCs w:val="32"/>
        </w:rPr>
        <w:t>办公费、印刷费、电费、物业管理费、差旅费、维修(护)费、劳务费、工会经费、福利费、其他交通费用等</w:t>
      </w:r>
      <w:r>
        <w:rPr>
          <w:rFonts w:ascii="宋体" w:eastAsia="宋体" w:hAnsi="宋体" w:hint="eastAsia"/>
          <w:sz w:val="32"/>
          <w:szCs w:val="32"/>
        </w:rPr>
        <w:t>。</w:t>
      </w:r>
    </w:p>
    <w:p w:rsidR="000D4D26" w:rsidRDefault="000D4D26">
      <w:pPr>
        <w:pStyle w:val="Default"/>
        <w:ind w:firstLineChars="200" w:firstLine="640"/>
        <w:rPr>
          <w:rFonts w:ascii="宋体" w:eastAsia="宋体" w:hAnsi="宋体"/>
          <w:i/>
          <w:color w:val="FF0000"/>
          <w:sz w:val="32"/>
          <w:szCs w:val="32"/>
        </w:rPr>
      </w:pPr>
    </w:p>
    <w:p w:rsidR="000D4D26" w:rsidRDefault="001125E7">
      <w:pPr>
        <w:pStyle w:val="Default"/>
        <w:rPr>
          <w:rFonts w:hAnsi="黑体"/>
          <w:b/>
          <w:sz w:val="32"/>
          <w:szCs w:val="32"/>
        </w:rPr>
      </w:pPr>
      <w:r>
        <w:rPr>
          <w:rFonts w:hAnsi="黑体" w:hint="eastAsia"/>
          <w:b/>
          <w:sz w:val="32"/>
          <w:szCs w:val="32"/>
        </w:rPr>
        <w:lastRenderedPageBreak/>
        <w:t>七、一般公共预算财政拨款“三公”经费支出决算情况说明</w:t>
      </w:r>
    </w:p>
    <w:p w:rsidR="000D4D26" w:rsidRDefault="001125E7">
      <w:pPr>
        <w:pStyle w:val="Default"/>
        <w:rPr>
          <w:rFonts w:ascii="宋体" w:eastAsia="宋体" w:hAnsi="宋体"/>
          <w:b/>
          <w:sz w:val="32"/>
          <w:szCs w:val="32"/>
        </w:rPr>
      </w:pPr>
      <w:r>
        <w:rPr>
          <w:rFonts w:ascii="宋体" w:eastAsia="宋体" w:hAnsi="宋体" w:hint="eastAsia"/>
          <w:b/>
          <w:sz w:val="32"/>
          <w:szCs w:val="32"/>
        </w:rPr>
        <w:t>（一）“三公”经费财政拨款支出决算总体情况说明</w:t>
      </w:r>
    </w:p>
    <w:p w:rsidR="000D4D26" w:rsidRDefault="001125E7">
      <w:pPr>
        <w:pStyle w:val="Default"/>
        <w:ind w:firstLineChars="250" w:firstLine="80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年度“三公”经费财政拨款支出预算为24.97万元，支出决算为24.97万元，完成预算的100</w:t>
      </w:r>
      <w:r>
        <w:rPr>
          <w:rFonts w:ascii="宋体" w:eastAsia="宋体" w:hAnsi="宋体"/>
          <w:sz w:val="32"/>
          <w:szCs w:val="32"/>
        </w:rPr>
        <w:t>%</w:t>
      </w:r>
      <w:r>
        <w:rPr>
          <w:rFonts w:ascii="宋体" w:eastAsia="宋体" w:hAnsi="宋体" w:hint="eastAsia"/>
          <w:sz w:val="32"/>
          <w:szCs w:val="32"/>
        </w:rPr>
        <w:t>，其中：</w:t>
      </w:r>
    </w:p>
    <w:p w:rsidR="000D4D26" w:rsidRDefault="001D36FF">
      <w:pPr>
        <w:pStyle w:val="Default"/>
        <w:ind w:firstLineChars="250" w:firstLine="800"/>
        <w:rPr>
          <w:rFonts w:ascii="宋体" w:eastAsia="宋体" w:hAnsi="宋体"/>
          <w:sz w:val="32"/>
          <w:szCs w:val="32"/>
        </w:rPr>
      </w:pPr>
      <w:r>
        <w:rPr>
          <w:rFonts w:ascii="宋体" w:eastAsia="宋体" w:hAnsi="宋体" w:hint="eastAsia"/>
          <w:sz w:val="32"/>
          <w:szCs w:val="32"/>
        </w:rPr>
        <w:t>公务接待批次0次、人次0人，因公出国（境）团组数0个、人次数0人，</w:t>
      </w:r>
      <w:r w:rsidR="001125E7">
        <w:rPr>
          <w:rFonts w:ascii="宋体" w:eastAsia="宋体" w:hAnsi="宋体" w:hint="eastAsia"/>
          <w:sz w:val="32"/>
          <w:szCs w:val="32"/>
        </w:rPr>
        <w:t>公务用车购置费支出预算为24.97万元，支出决算为24.97万元，完成预算的100</w:t>
      </w:r>
      <w:r w:rsidR="001125E7">
        <w:rPr>
          <w:rFonts w:ascii="宋体" w:eastAsia="宋体" w:hAnsi="宋体"/>
          <w:sz w:val="32"/>
          <w:szCs w:val="32"/>
        </w:rPr>
        <w:t>%</w:t>
      </w:r>
      <w:r w:rsidR="001125E7">
        <w:rPr>
          <w:rFonts w:ascii="宋体" w:eastAsia="宋体" w:hAnsi="宋体" w:hint="eastAsia"/>
          <w:sz w:val="32"/>
          <w:szCs w:val="32"/>
        </w:rPr>
        <w:t>，</w:t>
      </w:r>
      <w:r w:rsidR="001125E7">
        <w:rPr>
          <w:rFonts w:asciiTheme="minorEastAsia" w:eastAsiaTheme="minorEastAsia" w:hAnsiTheme="minorEastAsia" w:hint="eastAsia"/>
          <w:sz w:val="32"/>
          <w:szCs w:val="32"/>
        </w:rPr>
        <w:t>决算数与年初预算数持平</w:t>
      </w:r>
      <w:r w:rsidR="001125E7">
        <w:rPr>
          <w:rFonts w:ascii="宋体" w:eastAsia="宋体" w:hAnsi="宋体" w:hint="eastAsia"/>
          <w:sz w:val="32"/>
          <w:szCs w:val="32"/>
        </w:rPr>
        <w:t>，与上年相比增加24.97万元，增长的主要原因是新购置车辆1台，原车辆报废。</w:t>
      </w:r>
    </w:p>
    <w:p w:rsidR="000D4D26" w:rsidRDefault="000D4D26">
      <w:pPr>
        <w:pStyle w:val="Default"/>
        <w:ind w:firstLineChars="200" w:firstLine="640"/>
        <w:rPr>
          <w:rFonts w:ascii="宋体" w:eastAsia="宋体" w:hAnsi="宋体"/>
          <w:sz w:val="32"/>
          <w:szCs w:val="32"/>
        </w:rPr>
      </w:pPr>
    </w:p>
    <w:p w:rsidR="000D4D26" w:rsidRDefault="001125E7">
      <w:pPr>
        <w:pStyle w:val="Default"/>
        <w:rPr>
          <w:rFonts w:ascii="宋体" w:eastAsia="宋体" w:hAnsi="宋体"/>
          <w:b/>
          <w:sz w:val="32"/>
          <w:szCs w:val="32"/>
        </w:rPr>
      </w:pPr>
      <w:r>
        <w:rPr>
          <w:rFonts w:ascii="宋体" w:eastAsia="宋体" w:hAnsi="宋体" w:hint="eastAsia"/>
          <w:b/>
          <w:sz w:val="32"/>
          <w:szCs w:val="32"/>
        </w:rPr>
        <w:t>（二）“三公”经费财政拨款支出决算具体情况说明</w:t>
      </w:r>
    </w:p>
    <w:p w:rsidR="000D4D26" w:rsidRPr="00E06314" w:rsidRDefault="001125E7" w:rsidP="00E06314">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年度“三公”经费财政拨款支出决算中，公务接待费支出决算0万元，占0</w:t>
      </w:r>
      <w:r>
        <w:rPr>
          <w:rFonts w:ascii="宋体" w:eastAsia="宋体" w:hAnsi="宋体"/>
          <w:sz w:val="32"/>
          <w:szCs w:val="32"/>
        </w:rPr>
        <w:t>%,</w:t>
      </w:r>
      <w:r>
        <w:rPr>
          <w:rFonts w:ascii="宋体" w:eastAsia="宋体" w:hAnsi="宋体" w:hint="eastAsia"/>
          <w:sz w:val="32"/>
          <w:szCs w:val="32"/>
        </w:rPr>
        <w:t>因公出国（境）费支出决算0万元，占0</w:t>
      </w:r>
      <w:r>
        <w:rPr>
          <w:rFonts w:ascii="宋体" w:eastAsia="宋体" w:hAnsi="宋体"/>
          <w:sz w:val="32"/>
          <w:szCs w:val="32"/>
        </w:rPr>
        <w:t>%,</w:t>
      </w:r>
      <w:r>
        <w:rPr>
          <w:rFonts w:ascii="宋体" w:eastAsia="宋体" w:hAnsi="宋体" w:hint="eastAsia"/>
          <w:sz w:val="32"/>
          <w:szCs w:val="32"/>
        </w:rPr>
        <w:t>公务用车购置费及运行维护费支出决算24.97万元，占100</w:t>
      </w:r>
      <w:r>
        <w:rPr>
          <w:rFonts w:ascii="宋体" w:eastAsia="宋体" w:hAnsi="宋体"/>
          <w:sz w:val="32"/>
          <w:szCs w:val="32"/>
        </w:rPr>
        <w:t>%</w:t>
      </w:r>
      <w:r>
        <w:rPr>
          <w:rFonts w:ascii="宋体" w:eastAsia="宋体" w:hAnsi="宋体" w:hint="eastAsia"/>
          <w:sz w:val="32"/>
          <w:szCs w:val="32"/>
        </w:rPr>
        <w:t>。其中：</w:t>
      </w:r>
      <w:r w:rsidRPr="00E06314">
        <w:rPr>
          <w:rFonts w:ascii="宋体" w:eastAsia="宋体" w:hAnsi="宋体" w:hint="eastAsia"/>
          <w:sz w:val="32"/>
          <w:szCs w:val="32"/>
        </w:rPr>
        <w:t>公务用车购置费24.97万元，单位本级更新公务用车1辆。公务用车运行维护费0万元。编制预算时，下达的财政拨款经费有限，因此在编制公务接待费和公务用车运行维护费时，没有在财政拨款经费中安排，而是在财政专户管理资金中安排。</w:t>
      </w:r>
    </w:p>
    <w:p w:rsidR="000D4D26" w:rsidRDefault="001125E7">
      <w:pPr>
        <w:pStyle w:val="Default"/>
        <w:rPr>
          <w:rFonts w:hAnsi="黑体"/>
          <w:b/>
          <w:sz w:val="32"/>
          <w:szCs w:val="32"/>
        </w:rPr>
      </w:pPr>
      <w:r>
        <w:rPr>
          <w:rFonts w:hAnsi="黑体" w:hint="eastAsia"/>
          <w:b/>
          <w:sz w:val="32"/>
          <w:szCs w:val="32"/>
        </w:rPr>
        <w:t>八、政府性基金预算收入支出决算情况</w:t>
      </w:r>
    </w:p>
    <w:p w:rsidR="000D4D26" w:rsidRDefault="001125E7">
      <w:pPr>
        <w:pStyle w:val="Default"/>
        <w:ind w:firstLineChars="200" w:firstLine="640"/>
        <w:rPr>
          <w:rFonts w:ascii="宋体" w:eastAsia="宋体" w:hAnsi="宋体"/>
          <w:sz w:val="32"/>
          <w:szCs w:val="32"/>
        </w:rPr>
      </w:pPr>
      <w:r>
        <w:rPr>
          <w:rFonts w:asciiTheme="minorEastAsia" w:eastAsiaTheme="minorEastAsia" w:hAnsiTheme="minorEastAsia" w:cstheme="minorBidi" w:hint="eastAsia"/>
          <w:color w:val="auto"/>
          <w:kern w:val="2"/>
          <w:sz w:val="32"/>
          <w:szCs w:val="32"/>
        </w:rPr>
        <w:t>本单位无政府性基金收支。</w:t>
      </w:r>
    </w:p>
    <w:p w:rsidR="000D4D26" w:rsidRDefault="001125E7">
      <w:pPr>
        <w:pStyle w:val="Default"/>
        <w:rPr>
          <w:rFonts w:hAnsi="黑体"/>
          <w:b/>
          <w:sz w:val="32"/>
          <w:szCs w:val="32"/>
        </w:rPr>
      </w:pPr>
      <w:r>
        <w:rPr>
          <w:rFonts w:hAnsi="黑体" w:hint="eastAsia"/>
          <w:b/>
          <w:sz w:val="32"/>
          <w:szCs w:val="32"/>
        </w:rPr>
        <w:t>九、机关运行经费支出说明</w:t>
      </w:r>
    </w:p>
    <w:p w:rsidR="000D4D26" w:rsidRDefault="001125E7">
      <w:pPr>
        <w:pStyle w:val="Default"/>
        <w:ind w:firstLineChars="200" w:firstLine="640"/>
        <w:rPr>
          <w:rFonts w:ascii="宋体" w:eastAsia="宋体" w:hAnsi="宋体"/>
          <w:sz w:val="32"/>
          <w:szCs w:val="32"/>
        </w:rPr>
      </w:pPr>
      <w:r>
        <w:rPr>
          <w:rFonts w:ascii="宋体" w:eastAsia="宋体" w:hAnsi="宋体" w:hint="eastAsia"/>
          <w:sz w:val="32"/>
          <w:szCs w:val="32"/>
        </w:rPr>
        <w:t>本部门</w:t>
      </w:r>
      <w:r>
        <w:rPr>
          <w:rFonts w:ascii="宋体" w:eastAsia="宋体" w:hAnsi="宋体"/>
          <w:sz w:val="32"/>
          <w:szCs w:val="32"/>
        </w:rPr>
        <w:t>2021</w:t>
      </w:r>
      <w:r>
        <w:rPr>
          <w:rFonts w:ascii="宋体" w:eastAsia="宋体" w:hAnsi="宋体" w:hint="eastAsia"/>
          <w:sz w:val="32"/>
          <w:szCs w:val="32"/>
        </w:rPr>
        <w:t>年度机关运行经费支出1488.4万元，比上年决算数减少78.46万元，降低5.01</w:t>
      </w:r>
      <w:r>
        <w:rPr>
          <w:rFonts w:ascii="宋体" w:eastAsia="宋体" w:hAnsi="宋体"/>
          <w:sz w:val="32"/>
          <w:szCs w:val="32"/>
        </w:rPr>
        <w:t>%</w:t>
      </w:r>
      <w:r>
        <w:rPr>
          <w:rFonts w:ascii="宋体" w:eastAsia="宋体" w:hAnsi="宋体" w:hint="eastAsia"/>
          <w:sz w:val="32"/>
          <w:szCs w:val="32"/>
        </w:rPr>
        <w:t>。主要原因是：严格控制公用经费，经费开支略有减少。</w:t>
      </w:r>
    </w:p>
    <w:p w:rsidR="000D4D26" w:rsidRDefault="001125E7">
      <w:pPr>
        <w:pStyle w:val="Default"/>
        <w:rPr>
          <w:rFonts w:hAnsi="黑体"/>
          <w:b/>
          <w:sz w:val="32"/>
          <w:szCs w:val="32"/>
        </w:rPr>
      </w:pPr>
      <w:r>
        <w:rPr>
          <w:rFonts w:hAnsi="黑体" w:hint="eastAsia"/>
          <w:b/>
          <w:sz w:val="32"/>
          <w:szCs w:val="32"/>
        </w:rPr>
        <w:t>十、一般性支出情况说明</w:t>
      </w:r>
    </w:p>
    <w:p w:rsidR="000D4D26" w:rsidRDefault="001125E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年本部门开支会议费15.34万元，用于召开中国共产党湖南警察学</w:t>
      </w:r>
      <w:r>
        <w:rPr>
          <w:rFonts w:ascii="宋体" w:eastAsia="宋体" w:hAnsi="宋体" w:hint="eastAsia"/>
          <w:sz w:val="32"/>
          <w:szCs w:val="32"/>
        </w:rPr>
        <w:lastRenderedPageBreak/>
        <w:t>院第二次代表大会，人数154人，内容为进一步加强学校党的建设，推动各项事业科学发展；用于召开侦查学专业建设高峰论坛暨国家一流专业（侦查学）规划论证会，人数30人，内容为推进侦查学国家一流专业建设工作；用于召开中国逻辑学会法律逻辑专业委员会第9届全国会员代表大会暨第29次学术研讨会，人数140人，内容为探讨新文科视域下的法律逻辑；用于召开2021年国家级一流本科专业建设点推荐评审会议，人数38人，内容为推荐评审2021年国家级一流本科专业建设点；用于召开2021湖南省政法系统智能化建设交流会，人数150人，内容为探讨湖南省政法系统智能化建设；开支培训费271.98万元，用于开展新警培训，人数72人；实战技能培训，人数88人；业务提升培训，人数3640人。（注：三类会议、培训活动，节庆、晚会、论坛、赛事等活动，请分项列明活动计划及经费预算情况）</w:t>
      </w:r>
    </w:p>
    <w:p w:rsidR="000D4D26" w:rsidRDefault="001125E7">
      <w:pPr>
        <w:pStyle w:val="Default"/>
        <w:rPr>
          <w:rFonts w:hAnsi="黑体"/>
          <w:b/>
          <w:sz w:val="32"/>
          <w:szCs w:val="32"/>
        </w:rPr>
      </w:pPr>
      <w:r>
        <w:rPr>
          <w:rFonts w:hAnsi="黑体" w:hint="eastAsia"/>
          <w:b/>
          <w:sz w:val="32"/>
          <w:szCs w:val="32"/>
        </w:rPr>
        <w:t>十一、政府采购支出说明</w:t>
      </w:r>
    </w:p>
    <w:p w:rsidR="000D4D26" w:rsidRDefault="001125E7">
      <w:pPr>
        <w:pStyle w:val="Default"/>
        <w:ind w:firstLineChars="200" w:firstLine="640"/>
        <w:rPr>
          <w:rFonts w:ascii="宋体" w:eastAsia="宋体" w:hAnsi="宋体"/>
          <w:sz w:val="32"/>
          <w:szCs w:val="32"/>
        </w:rPr>
      </w:pPr>
      <w:r>
        <w:rPr>
          <w:rFonts w:ascii="宋体" w:eastAsia="宋体" w:hAnsi="宋体" w:hint="eastAsia"/>
          <w:sz w:val="32"/>
          <w:szCs w:val="32"/>
        </w:rPr>
        <w:t>本部门</w:t>
      </w:r>
      <w:r>
        <w:rPr>
          <w:rFonts w:ascii="宋体" w:eastAsia="宋体" w:hAnsi="宋体"/>
          <w:sz w:val="32"/>
          <w:szCs w:val="32"/>
        </w:rPr>
        <w:t>2021</w:t>
      </w:r>
      <w:r>
        <w:rPr>
          <w:rFonts w:ascii="宋体" w:eastAsia="宋体" w:hAnsi="宋体" w:hint="eastAsia"/>
          <w:sz w:val="32"/>
          <w:szCs w:val="32"/>
        </w:rPr>
        <w:t>年度政府采购支出总额6155.14万元，其中：政府采购货物支出3088.35万元、政府采购工程支出1611.84万元、政府采购服务支出1454.95万元。授予中小企业合同金额4188.34万元，占政府采购支出总额的68</w:t>
      </w:r>
      <w:r>
        <w:rPr>
          <w:rFonts w:ascii="宋体" w:eastAsia="宋体" w:hAnsi="宋体"/>
          <w:sz w:val="32"/>
          <w:szCs w:val="32"/>
        </w:rPr>
        <w:t>%</w:t>
      </w:r>
      <w:r>
        <w:rPr>
          <w:rFonts w:ascii="宋体" w:eastAsia="宋体" w:hAnsi="宋体" w:hint="eastAsia"/>
          <w:sz w:val="32"/>
          <w:szCs w:val="32"/>
        </w:rPr>
        <w:t>。</w:t>
      </w:r>
    </w:p>
    <w:p w:rsidR="000D4D26" w:rsidRDefault="001125E7">
      <w:pPr>
        <w:pStyle w:val="Default"/>
        <w:rPr>
          <w:rFonts w:hAnsi="黑体"/>
          <w:b/>
          <w:sz w:val="32"/>
          <w:szCs w:val="32"/>
        </w:rPr>
      </w:pPr>
      <w:r>
        <w:rPr>
          <w:rFonts w:hAnsi="黑体" w:hint="eastAsia"/>
          <w:b/>
          <w:sz w:val="32"/>
          <w:szCs w:val="32"/>
        </w:rPr>
        <w:t>十二、国有资产占用情况说明</w:t>
      </w:r>
    </w:p>
    <w:p w:rsidR="000D4D26" w:rsidRDefault="001125E7">
      <w:pPr>
        <w:pStyle w:val="Default"/>
        <w:ind w:firstLineChars="200" w:firstLine="640"/>
        <w:rPr>
          <w:rFonts w:ascii="宋体" w:eastAsia="宋体" w:hAnsi="宋体"/>
          <w:sz w:val="32"/>
          <w:szCs w:val="32"/>
        </w:rPr>
      </w:pPr>
      <w:r>
        <w:rPr>
          <w:rFonts w:ascii="宋体" w:eastAsia="宋体" w:hAnsi="宋体" w:hint="eastAsia"/>
          <w:sz w:val="32"/>
          <w:szCs w:val="32"/>
        </w:rPr>
        <w:t>截至</w:t>
      </w:r>
      <w:r>
        <w:rPr>
          <w:rFonts w:ascii="宋体" w:eastAsia="宋体" w:hAnsi="宋体"/>
          <w:sz w:val="32"/>
          <w:szCs w:val="32"/>
        </w:rPr>
        <w:t>2021</w:t>
      </w:r>
      <w:r>
        <w:rPr>
          <w:rFonts w:ascii="宋体" w:eastAsia="宋体" w:hAnsi="宋体" w:hint="eastAsia"/>
          <w:sz w:val="32"/>
          <w:szCs w:val="32"/>
        </w:rPr>
        <w:t>年</w:t>
      </w:r>
      <w:r>
        <w:rPr>
          <w:rFonts w:ascii="宋体" w:eastAsia="宋体" w:hAnsi="宋体"/>
          <w:sz w:val="32"/>
          <w:szCs w:val="32"/>
        </w:rPr>
        <w:t>12</w:t>
      </w:r>
      <w:r>
        <w:rPr>
          <w:rFonts w:ascii="宋体" w:eastAsia="宋体" w:hAnsi="宋体" w:hint="eastAsia"/>
          <w:sz w:val="32"/>
          <w:szCs w:val="32"/>
        </w:rPr>
        <w:t>月</w:t>
      </w:r>
      <w:r>
        <w:rPr>
          <w:rFonts w:ascii="宋体" w:eastAsia="宋体" w:hAnsi="宋体"/>
          <w:sz w:val="32"/>
          <w:szCs w:val="32"/>
        </w:rPr>
        <w:t>31</w:t>
      </w:r>
      <w:r>
        <w:rPr>
          <w:rFonts w:ascii="宋体" w:eastAsia="宋体" w:hAnsi="宋体" w:hint="eastAsia"/>
          <w:sz w:val="32"/>
          <w:szCs w:val="32"/>
        </w:rPr>
        <w:t>日，</w:t>
      </w:r>
      <w:r w:rsidR="000065C3">
        <w:rPr>
          <w:rFonts w:ascii="宋体" w:eastAsia="宋体" w:hAnsi="宋体" w:hint="eastAsia"/>
          <w:sz w:val="32"/>
          <w:szCs w:val="32"/>
        </w:rPr>
        <w:t>全年购置车辆1辆，</w:t>
      </w:r>
      <w:r>
        <w:rPr>
          <w:rFonts w:ascii="宋体" w:eastAsia="宋体" w:hAnsi="宋体" w:hint="eastAsia"/>
          <w:sz w:val="32"/>
          <w:szCs w:val="32"/>
        </w:rPr>
        <w:t>部门（单位）共有车辆79辆，其中，主要领导干部用车13辆，</w:t>
      </w:r>
      <w:r>
        <w:rPr>
          <w:rFonts w:asciiTheme="minorEastAsia" w:eastAsiaTheme="minorEastAsia" w:hAnsiTheme="minorEastAsia" w:hint="eastAsia"/>
          <w:sz w:val="32"/>
          <w:szCs w:val="32"/>
        </w:rPr>
        <w:t>离退休干部用车1辆、其他用车65辆，其他用于驾考考场训练车辆</w:t>
      </w:r>
      <w:r>
        <w:rPr>
          <w:rFonts w:ascii="宋体" w:eastAsia="宋体" w:hAnsi="宋体" w:hint="eastAsia"/>
          <w:sz w:val="32"/>
          <w:szCs w:val="32"/>
        </w:rPr>
        <w:t>；单位价值</w:t>
      </w:r>
      <w:r>
        <w:rPr>
          <w:rFonts w:ascii="宋体" w:eastAsia="宋体" w:hAnsi="宋体"/>
          <w:sz w:val="32"/>
          <w:szCs w:val="32"/>
        </w:rPr>
        <w:t>50</w:t>
      </w:r>
      <w:r>
        <w:rPr>
          <w:rFonts w:ascii="宋体" w:eastAsia="宋体" w:hAnsi="宋体" w:hint="eastAsia"/>
          <w:sz w:val="32"/>
          <w:szCs w:val="32"/>
        </w:rPr>
        <w:t>万元以上通用设备17台（套）；单位价值</w:t>
      </w:r>
      <w:r>
        <w:rPr>
          <w:rFonts w:ascii="宋体" w:eastAsia="宋体" w:hAnsi="宋体"/>
          <w:sz w:val="32"/>
          <w:szCs w:val="32"/>
        </w:rPr>
        <w:t>100</w:t>
      </w:r>
      <w:r>
        <w:rPr>
          <w:rFonts w:ascii="宋体" w:eastAsia="宋体" w:hAnsi="宋体" w:hint="eastAsia"/>
          <w:sz w:val="32"/>
          <w:szCs w:val="32"/>
        </w:rPr>
        <w:t>万元以上专用设备3台（套）。</w:t>
      </w:r>
    </w:p>
    <w:p w:rsidR="000D4D26" w:rsidRDefault="001125E7">
      <w:pPr>
        <w:pStyle w:val="Default"/>
        <w:rPr>
          <w:rFonts w:hAnsi="黑体"/>
          <w:b/>
          <w:sz w:val="32"/>
          <w:szCs w:val="32"/>
        </w:rPr>
      </w:pPr>
      <w:r>
        <w:rPr>
          <w:rFonts w:hAnsi="黑体" w:hint="eastAsia"/>
          <w:b/>
          <w:sz w:val="32"/>
          <w:szCs w:val="32"/>
        </w:rPr>
        <w:t>十三、</w:t>
      </w:r>
      <w:r>
        <w:rPr>
          <w:rFonts w:hAnsi="黑体"/>
          <w:b/>
          <w:sz w:val="32"/>
          <w:szCs w:val="32"/>
        </w:rPr>
        <w:t>2021</w:t>
      </w:r>
      <w:r>
        <w:rPr>
          <w:rFonts w:hAnsi="黑体" w:hint="eastAsia"/>
          <w:b/>
          <w:sz w:val="32"/>
          <w:szCs w:val="32"/>
        </w:rPr>
        <w:t>年度预算绩效情况说明</w:t>
      </w:r>
    </w:p>
    <w:p w:rsidR="000D4D26" w:rsidRDefault="001125E7">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我院在收到《湖南省财政厅关于开展2021年度部门绩效自评工作的通知》和《湖南省公安厅2021年度预算支出绩效自评工作方案》后迅速组织院</w:t>
      </w:r>
      <w:r>
        <w:rPr>
          <w:rFonts w:asciiTheme="minorEastAsia" w:eastAsiaTheme="minorEastAsia" w:hAnsiTheme="minorEastAsia" w:hint="eastAsia"/>
          <w:sz w:val="32"/>
          <w:szCs w:val="32"/>
        </w:rPr>
        <w:lastRenderedPageBreak/>
        <w:t>属各部门对2021年建设项目开展自评，并形成最后的湖南警察学院单位整体支出绩效自评报告于2022年5月上报公安厅。</w:t>
      </w:r>
    </w:p>
    <w:p w:rsidR="000D4D26" w:rsidRDefault="001125E7">
      <w:pPr>
        <w:pStyle w:val="Default"/>
        <w:ind w:firstLineChars="200" w:firstLine="640"/>
        <w:rPr>
          <w:rFonts w:eastAsiaTheme="minorEastAsia"/>
          <w:sz w:val="72"/>
          <w:szCs w:val="72"/>
        </w:rPr>
      </w:pPr>
      <w:r>
        <w:rPr>
          <w:rFonts w:asciiTheme="minorEastAsia" w:eastAsiaTheme="minorEastAsia" w:hAnsiTheme="minorEastAsia" w:hint="eastAsia"/>
          <w:sz w:val="32"/>
          <w:szCs w:val="32"/>
        </w:rPr>
        <w:t>根据《湖南省教育厅关于开展2021年度教育部门整体支出和专项资金绩效评价工作的通知》，我院对2021年中央对地方转移支付预算执行情况进行了绩效自评，形成了《2021年中央对地方转移支付绩效自评报告》，于2022年3月上报教育厅。对2021年教育综合发展专项资金进行了自评，形成了《2021年教育综合发展专项资金绩效自评报告》，于2022年5月上报教育厅。</w:t>
      </w:r>
    </w:p>
    <w:p w:rsidR="000D4D26" w:rsidRDefault="000D4D26">
      <w:pPr>
        <w:pStyle w:val="a0"/>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rPr>
          <w:sz w:val="72"/>
          <w:szCs w:val="72"/>
        </w:rPr>
      </w:pPr>
    </w:p>
    <w:p w:rsidR="000D4D26" w:rsidRDefault="000D4D26">
      <w:pPr>
        <w:pStyle w:val="Default"/>
        <w:rPr>
          <w:sz w:val="72"/>
          <w:szCs w:val="72"/>
        </w:rPr>
      </w:pPr>
    </w:p>
    <w:p w:rsidR="000D4D26" w:rsidRDefault="000D4D26">
      <w:pPr>
        <w:pStyle w:val="Default"/>
        <w:jc w:val="both"/>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1125E7">
      <w:pPr>
        <w:pStyle w:val="Default"/>
        <w:jc w:val="center"/>
        <w:rPr>
          <w:sz w:val="72"/>
          <w:szCs w:val="72"/>
        </w:rPr>
      </w:pPr>
      <w:r>
        <w:rPr>
          <w:rFonts w:hint="eastAsia"/>
          <w:sz w:val="72"/>
          <w:szCs w:val="72"/>
        </w:rPr>
        <w:t>第四部分</w:t>
      </w:r>
    </w:p>
    <w:p w:rsidR="000D4D26" w:rsidRDefault="000D4D26">
      <w:pPr>
        <w:jc w:val="center"/>
        <w:rPr>
          <w:rFonts w:ascii="黑体" w:eastAsia="黑体" w:cs="黑体"/>
          <w:color w:val="000000"/>
          <w:kern w:val="0"/>
          <w:sz w:val="70"/>
          <w:szCs w:val="70"/>
        </w:rPr>
      </w:pPr>
    </w:p>
    <w:p w:rsidR="000D4D26" w:rsidRDefault="001125E7">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0D4D26" w:rsidRDefault="000D4D26">
      <w:pPr>
        <w:widowControl/>
        <w:jc w:val="left"/>
        <w:rPr>
          <w:rFonts w:ascii="黑体" w:eastAsia="黑体" w:cs="黑体"/>
          <w:color w:val="000000"/>
          <w:kern w:val="0"/>
          <w:sz w:val="70"/>
          <w:szCs w:val="70"/>
        </w:rPr>
      </w:pPr>
    </w:p>
    <w:p w:rsidR="000D4D26" w:rsidRDefault="000D4D26">
      <w:pPr>
        <w:pStyle w:val="a0"/>
        <w:rPr>
          <w:rFonts w:ascii="黑体" w:eastAsia="黑体" w:cs="黑体"/>
          <w:color w:val="000000"/>
          <w:kern w:val="0"/>
          <w:sz w:val="70"/>
          <w:szCs w:val="70"/>
        </w:rPr>
      </w:pPr>
    </w:p>
    <w:p w:rsidR="000D4D26" w:rsidRDefault="000D4D26">
      <w:pPr>
        <w:rPr>
          <w:rFonts w:ascii="黑体" w:eastAsia="黑体" w:cs="黑体"/>
          <w:color w:val="000000"/>
          <w:kern w:val="0"/>
          <w:sz w:val="70"/>
          <w:szCs w:val="70"/>
        </w:rPr>
      </w:pPr>
    </w:p>
    <w:p w:rsidR="000D4D26" w:rsidRDefault="000D4D26">
      <w:pPr>
        <w:pStyle w:val="a7"/>
        <w:widowControl/>
        <w:shd w:val="clear" w:color="auto" w:fill="FFFFFF"/>
        <w:spacing w:beforeAutospacing="0" w:afterAutospacing="0" w:line="450" w:lineRule="atLeast"/>
        <w:textAlignment w:val="center"/>
        <w:rPr>
          <w:rFonts w:ascii="宋体" w:hAnsi="宋体" w:cs="黑体"/>
          <w:color w:val="000000"/>
          <w:sz w:val="32"/>
          <w:szCs w:val="32"/>
        </w:rPr>
      </w:pPr>
    </w:p>
    <w:p w:rsidR="000D4D26" w:rsidRDefault="000D4D26">
      <w:pPr>
        <w:pStyle w:val="a7"/>
        <w:widowControl/>
        <w:shd w:val="clear" w:color="auto" w:fill="FFFFFF"/>
        <w:spacing w:beforeAutospacing="0" w:afterAutospacing="0" w:line="450" w:lineRule="atLeast"/>
        <w:textAlignment w:val="center"/>
        <w:rPr>
          <w:rFonts w:ascii="宋体" w:hAnsi="宋体" w:cs="黑体"/>
          <w:color w:val="000000"/>
          <w:sz w:val="32"/>
          <w:szCs w:val="32"/>
        </w:rPr>
      </w:pPr>
    </w:p>
    <w:p w:rsidR="000D4D26" w:rsidRDefault="000D4D26">
      <w:pPr>
        <w:pStyle w:val="a7"/>
        <w:widowControl/>
        <w:shd w:val="clear" w:color="auto" w:fill="FFFFFF"/>
        <w:spacing w:beforeAutospacing="0" w:afterAutospacing="0" w:line="450" w:lineRule="atLeast"/>
        <w:textAlignment w:val="center"/>
        <w:rPr>
          <w:rFonts w:ascii="宋体" w:hAnsi="宋体" w:cs="黑体"/>
          <w:color w:val="000000"/>
          <w:sz w:val="32"/>
          <w:szCs w:val="32"/>
        </w:rPr>
      </w:pPr>
    </w:p>
    <w:p w:rsidR="000D4D26" w:rsidRDefault="000D4D26">
      <w:pPr>
        <w:pStyle w:val="a7"/>
        <w:widowControl/>
        <w:shd w:val="clear" w:color="auto" w:fill="FFFFFF"/>
        <w:spacing w:beforeAutospacing="0" w:afterAutospacing="0" w:line="450" w:lineRule="atLeast"/>
        <w:textAlignment w:val="center"/>
        <w:rPr>
          <w:rFonts w:ascii="宋体" w:hAnsi="宋体" w:cs="黑体"/>
          <w:color w:val="000000"/>
          <w:sz w:val="32"/>
          <w:szCs w:val="32"/>
        </w:rPr>
      </w:pPr>
    </w:p>
    <w:p w:rsidR="000D4D26" w:rsidRDefault="000D4D26">
      <w:pPr>
        <w:pStyle w:val="a7"/>
        <w:widowControl/>
        <w:shd w:val="clear" w:color="auto" w:fill="FFFFFF"/>
        <w:spacing w:beforeAutospacing="0" w:afterAutospacing="0" w:line="450" w:lineRule="atLeast"/>
        <w:textAlignment w:val="center"/>
        <w:rPr>
          <w:rFonts w:ascii="宋体" w:hAnsi="宋体" w:cs="黑体" w:hint="eastAsia"/>
          <w:color w:val="000000"/>
          <w:sz w:val="32"/>
          <w:szCs w:val="32"/>
        </w:rPr>
      </w:pPr>
    </w:p>
    <w:p w:rsidR="00C73510" w:rsidRDefault="00C73510">
      <w:pPr>
        <w:pStyle w:val="a7"/>
        <w:widowControl/>
        <w:shd w:val="clear" w:color="auto" w:fill="FFFFFF"/>
        <w:spacing w:beforeAutospacing="0" w:afterAutospacing="0" w:line="450" w:lineRule="atLeast"/>
        <w:textAlignment w:val="center"/>
        <w:rPr>
          <w:rFonts w:ascii="宋体" w:hAnsi="宋体" w:cs="黑体"/>
          <w:color w:val="000000"/>
          <w:sz w:val="32"/>
          <w:szCs w:val="32"/>
        </w:rPr>
      </w:pPr>
    </w:p>
    <w:p w:rsidR="000D4D26" w:rsidRDefault="000D4D26">
      <w:pPr>
        <w:pStyle w:val="a7"/>
        <w:widowControl/>
        <w:shd w:val="clear" w:color="auto" w:fill="FFFFFF"/>
        <w:spacing w:beforeAutospacing="0" w:afterAutospacing="0" w:line="450" w:lineRule="atLeast"/>
        <w:textAlignment w:val="center"/>
        <w:rPr>
          <w:rFonts w:ascii="宋体" w:hAnsi="宋体" w:cs="黑体"/>
          <w:color w:val="000000"/>
          <w:sz w:val="32"/>
          <w:szCs w:val="32"/>
        </w:rPr>
      </w:pP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黑体" w:hint="eastAsia"/>
          <w:color w:val="000000"/>
          <w:sz w:val="32"/>
          <w:szCs w:val="32"/>
        </w:rPr>
        <w:lastRenderedPageBreak/>
        <w:t>一、</w:t>
      </w:r>
      <w:r>
        <w:rPr>
          <w:rFonts w:ascii="宋体" w:hAnsi="宋体" w:cs="宋体" w:hint="eastAsia"/>
          <w:color w:val="333333"/>
          <w:sz w:val="28"/>
          <w:szCs w:val="28"/>
          <w:shd w:val="clear" w:color="auto" w:fill="FFFFFF"/>
        </w:rPr>
        <w:t>财政拨款收入:指行政事业单位从同级政府财政部门取得的各类财政拨款。</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二、事业收入:指事业单位开展专业业务活动及辅助活动所取得的收入。</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三、其他收入:指除上述“财政拨款收入”、“事业收入”、“经营收入”等以外的收入。主要是按规定动用的售房收入、科技成果转化收入、存款利息收入等。</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四、年初结转和结余:指以前年度尚未完成、结转到本年按有关规定继续使用的资金。</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五、年末结转和结余:指本年度或以前年度预算安排、因客观条件发生变化无法按原计划实施,需延迟到以后年度按有关规定继续使用的资金。</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六、基本支出:指为保障机构正常运转、完成日常工作任务而发生的人员支出和公用支出。</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七、项目支出:指在基本支出之外为完成特定行政任务和事业发展目标所发生的支出。</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八、经营支出:指事业单位在专业业务活动及其辅助活动之外开展非独立核算经营活动发生的支出。</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0D4D26" w:rsidRDefault="001125E7">
      <w:pPr>
        <w:pStyle w:val="a7"/>
        <w:widowControl/>
        <w:shd w:val="clear" w:color="auto" w:fill="FFFFFF"/>
        <w:spacing w:beforeAutospacing="0" w:afterAutospacing="0" w:line="450" w:lineRule="atLeast"/>
        <w:ind w:firstLine="420"/>
        <w:textAlignment w:val="center"/>
        <w:rPr>
          <w:rFonts w:ascii="宋体" w:hAnsi="宋体" w:cs="宋体"/>
          <w:color w:val="333333"/>
          <w:sz w:val="28"/>
          <w:szCs w:val="28"/>
        </w:rPr>
      </w:pPr>
      <w:r>
        <w:rPr>
          <w:rFonts w:ascii="宋体" w:hAnsi="宋体" w:cs="宋体" w:hint="eastAsia"/>
          <w:color w:val="333333"/>
          <w:sz w:val="28"/>
          <w:szCs w:val="28"/>
          <w:shd w:val="clear" w:color="auto" w:fill="FFFFFF"/>
        </w:rPr>
        <w:t>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0D4D26" w:rsidRDefault="000D4D26">
      <w:pPr>
        <w:widowControl/>
        <w:jc w:val="left"/>
        <w:rPr>
          <w:rFonts w:ascii="宋体" w:eastAsia="黑体" w:hAnsi="宋体" w:cs="黑体"/>
          <w:color w:val="000000"/>
          <w:kern w:val="0"/>
          <w:sz w:val="28"/>
          <w:szCs w:val="3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both"/>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0D4D26">
      <w:pPr>
        <w:pStyle w:val="Default"/>
        <w:jc w:val="center"/>
        <w:rPr>
          <w:sz w:val="72"/>
          <w:szCs w:val="72"/>
        </w:rPr>
      </w:pPr>
    </w:p>
    <w:p w:rsidR="000D4D26" w:rsidRDefault="001125E7">
      <w:pPr>
        <w:pStyle w:val="Default"/>
        <w:jc w:val="center"/>
        <w:rPr>
          <w:sz w:val="72"/>
          <w:szCs w:val="72"/>
        </w:rPr>
      </w:pPr>
      <w:r>
        <w:rPr>
          <w:rFonts w:hint="eastAsia"/>
          <w:sz w:val="72"/>
          <w:szCs w:val="72"/>
        </w:rPr>
        <w:t>第五部分</w:t>
      </w:r>
    </w:p>
    <w:p w:rsidR="000D4D26" w:rsidRDefault="000D4D26">
      <w:pPr>
        <w:jc w:val="center"/>
        <w:rPr>
          <w:rFonts w:ascii="黑体" w:eastAsia="黑体" w:cs="黑体"/>
          <w:color w:val="000000"/>
          <w:kern w:val="0"/>
          <w:sz w:val="70"/>
          <w:szCs w:val="70"/>
        </w:rPr>
      </w:pPr>
    </w:p>
    <w:p w:rsidR="000D4D26" w:rsidRDefault="001125E7">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0D4D26" w:rsidRDefault="001125E7">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D4D26" w:rsidRDefault="001125E7">
      <w:pPr>
        <w:widowControl/>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一、《湖南警察学院2021年绩效自评报告》</w:t>
      </w:r>
    </w:p>
    <w:p w:rsidR="000D4D26" w:rsidRDefault="001125E7">
      <w:pPr>
        <w:widowControl/>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二、《湖南警察学院2021年教育综合发展专项绩效自评》</w:t>
      </w:r>
    </w:p>
    <w:p w:rsidR="000D4D26" w:rsidRDefault="001125E7">
      <w:pPr>
        <w:widowControl/>
        <w:ind w:firstLineChars="200" w:firstLine="640"/>
        <w:jc w:val="left"/>
        <w:rPr>
          <w:rFonts w:asciiTheme="minorEastAsia" w:eastAsiaTheme="minorEastAsia" w:hAnsiTheme="minorEastAsia"/>
          <w:sz w:val="32"/>
          <w:szCs w:val="32"/>
        </w:rPr>
      </w:pPr>
      <w:r>
        <w:rPr>
          <w:rFonts w:asciiTheme="minorEastAsia" w:eastAsiaTheme="minorEastAsia" w:hAnsiTheme="minorEastAsia" w:hint="eastAsia"/>
          <w:sz w:val="32"/>
          <w:szCs w:val="32"/>
        </w:rPr>
        <w:t>三、《湖南警察学院2021年中央对地方转移支付支持地方高校改革发展资金绩效自评报告》</w:t>
      </w:r>
    </w:p>
    <w:p w:rsidR="000D4D26" w:rsidRDefault="001125E7">
      <w:pPr>
        <w:pStyle w:val="a0"/>
        <w:ind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四、《湖南警察学院2021年学生资助补助经费绩效目标自评报告》</w:t>
      </w:r>
    </w:p>
    <w:p w:rsidR="000D4D26" w:rsidRDefault="001125E7">
      <w:pPr>
        <w:ind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五、《湖南警察学院2021年度双一流建设专项资金绩效审计报告》</w:t>
      </w:r>
    </w:p>
    <w:p w:rsidR="000D4D26" w:rsidRDefault="000D4D26">
      <w:pPr>
        <w:jc w:val="center"/>
        <w:rPr>
          <w:rFonts w:ascii="黑体" w:eastAsia="黑体" w:cs="黑体"/>
          <w:color w:val="000000"/>
          <w:kern w:val="0"/>
          <w:sz w:val="70"/>
          <w:szCs w:val="70"/>
        </w:rPr>
      </w:pPr>
    </w:p>
    <w:p w:rsidR="000D4D26" w:rsidRDefault="000D4D26">
      <w:pPr>
        <w:ind w:firstLineChars="200" w:firstLine="640"/>
        <w:jc w:val="left"/>
        <w:rPr>
          <w:rFonts w:ascii="宋体" w:cs="黑体"/>
          <w:color w:val="000000"/>
          <w:kern w:val="0"/>
          <w:sz w:val="32"/>
          <w:szCs w:val="32"/>
        </w:rPr>
      </w:pPr>
    </w:p>
    <w:sectPr w:rsidR="000D4D26" w:rsidSect="000D4D26">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4A7" w:rsidRDefault="004134A7" w:rsidP="001125E7">
      <w:r>
        <w:separator/>
      </w:r>
    </w:p>
  </w:endnote>
  <w:endnote w:type="continuationSeparator" w:id="1">
    <w:p w:rsidR="004134A7" w:rsidRDefault="004134A7" w:rsidP="00112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4A7" w:rsidRDefault="004134A7" w:rsidP="001125E7">
      <w:r>
        <w:separator/>
      </w:r>
    </w:p>
  </w:footnote>
  <w:footnote w:type="continuationSeparator" w:id="1">
    <w:p w:rsidR="004134A7" w:rsidRDefault="004134A7" w:rsidP="001125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63D84"/>
    <w:multiLevelType w:val="singleLevel"/>
    <w:tmpl w:val="22A63D84"/>
    <w:lvl w:ilvl="0">
      <w:start w:val="1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ZlYjQ1MzFmY2QzMDAzZjYzOWFhMmZmYzU3NzhiZGYifQ=="/>
  </w:docVars>
  <w:rsids>
    <w:rsidRoot w:val="004506F9"/>
    <w:rsid w:val="00003764"/>
    <w:rsid w:val="000065C3"/>
    <w:rsid w:val="0002229B"/>
    <w:rsid w:val="000273BD"/>
    <w:rsid w:val="000415B7"/>
    <w:rsid w:val="00041E3F"/>
    <w:rsid w:val="00055DAA"/>
    <w:rsid w:val="00061F7B"/>
    <w:rsid w:val="000658A3"/>
    <w:rsid w:val="00074155"/>
    <w:rsid w:val="000873EF"/>
    <w:rsid w:val="000A3F69"/>
    <w:rsid w:val="000D4D26"/>
    <w:rsid w:val="000E1753"/>
    <w:rsid w:val="00103957"/>
    <w:rsid w:val="001125E7"/>
    <w:rsid w:val="00124A1F"/>
    <w:rsid w:val="00152C6D"/>
    <w:rsid w:val="00162D39"/>
    <w:rsid w:val="001678BD"/>
    <w:rsid w:val="00182373"/>
    <w:rsid w:val="001A67DB"/>
    <w:rsid w:val="001C3C29"/>
    <w:rsid w:val="001D36FF"/>
    <w:rsid w:val="001D51E5"/>
    <w:rsid w:val="001E080D"/>
    <w:rsid w:val="001E53D0"/>
    <w:rsid w:val="001F0C3B"/>
    <w:rsid w:val="00202C14"/>
    <w:rsid w:val="00202C82"/>
    <w:rsid w:val="002075CC"/>
    <w:rsid w:val="00214427"/>
    <w:rsid w:val="00226CB7"/>
    <w:rsid w:val="00237759"/>
    <w:rsid w:val="00264552"/>
    <w:rsid w:val="00264EF9"/>
    <w:rsid w:val="00265724"/>
    <w:rsid w:val="0027426B"/>
    <w:rsid w:val="002E0A30"/>
    <w:rsid w:val="002E246C"/>
    <w:rsid w:val="003130C4"/>
    <w:rsid w:val="00316C4B"/>
    <w:rsid w:val="0032192B"/>
    <w:rsid w:val="003479BD"/>
    <w:rsid w:val="0037197D"/>
    <w:rsid w:val="003768D5"/>
    <w:rsid w:val="00392E04"/>
    <w:rsid w:val="003C4197"/>
    <w:rsid w:val="003C47E6"/>
    <w:rsid w:val="003C4FC2"/>
    <w:rsid w:val="003E2331"/>
    <w:rsid w:val="004134A7"/>
    <w:rsid w:val="00416E61"/>
    <w:rsid w:val="0042790C"/>
    <w:rsid w:val="00436480"/>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071C"/>
    <w:rsid w:val="005A2C8B"/>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079B"/>
    <w:rsid w:val="006C1B53"/>
    <w:rsid w:val="006D7730"/>
    <w:rsid w:val="006E5284"/>
    <w:rsid w:val="006F3EB5"/>
    <w:rsid w:val="00702E34"/>
    <w:rsid w:val="00704395"/>
    <w:rsid w:val="00710FE7"/>
    <w:rsid w:val="00717621"/>
    <w:rsid w:val="00720FF1"/>
    <w:rsid w:val="00727A53"/>
    <w:rsid w:val="007449C3"/>
    <w:rsid w:val="00787B42"/>
    <w:rsid w:val="007C4539"/>
    <w:rsid w:val="007F3657"/>
    <w:rsid w:val="00812ED5"/>
    <w:rsid w:val="008277D9"/>
    <w:rsid w:val="0084478C"/>
    <w:rsid w:val="0086638C"/>
    <w:rsid w:val="008A3E8D"/>
    <w:rsid w:val="008F2B11"/>
    <w:rsid w:val="00900E59"/>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5DF1"/>
    <w:rsid w:val="00B33BEA"/>
    <w:rsid w:val="00B57C9F"/>
    <w:rsid w:val="00B63572"/>
    <w:rsid w:val="00B710A8"/>
    <w:rsid w:val="00B845B3"/>
    <w:rsid w:val="00B85D8B"/>
    <w:rsid w:val="00BB4A40"/>
    <w:rsid w:val="00BD6C3E"/>
    <w:rsid w:val="00BE062E"/>
    <w:rsid w:val="00BE3674"/>
    <w:rsid w:val="00C10681"/>
    <w:rsid w:val="00C3049A"/>
    <w:rsid w:val="00C31B1E"/>
    <w:rsid w:val="00C73510"/>
    <w:rsid w:val="00C77645"/>
    <w:rsid w:val="00CA4360"/>
    <w:rsid w:val="00CE04C3"/>
    <w:rsid w:val="00CE76A0"/>
    <w:rsid w:val="00D05D71"/>
    <w:rsid w:val="00D148C6"/>
    <w:rsid w:val="00D17A8A"/>
    <w:rsid w:val="00D415BA"/>
    <w:rsid w:val="00D63780"/>
    <w:rsid w:val="00D644EE"/>
    <w:rsid w:val="00D75489"/>
    <w:rsid w:val="00DD06FF"/>
    <w:rsid w:val="00DD5FE9"/>
    <w:rsid w:val="00E00C7A"/>
    <w:rsid w:val="00E06314"/>
    <w:rsid w:val="00E209CF"/>
    <w:rsid w:val="00E37D6C"/>
    <w:rsid w:val="00E55B68"/>
    <w:rsid w:val="00E67BE6"/>
    <w:rsid w:val="00E8683C"/>
    <w:rsid w:val="00EA2B72"/>
    <w:rsid w:val="00EF62A0"/>
    <w:rsid w:val="00F74360"/>
    <w:rsid w:val="00FB462F"/>
    <w:rsid w:val="00FC4B8C"/>
    <w:rsid w:val="00FD1C15"/>
    <w:rsid w:val="00FE16FA"/>
    <w:rsid w:val="00FE328A"/>
    <w:rsid w:val="00FE6269"/>
    <w:rsid w:val="00FF5CD6"/>
    <w:rsid w:val="033C3F7B"/>
    <w:rsid w:val="06A63482"/>
    <w:rsid w:val="06D860E7"/>
    <w:rsid w:val="06DE3578"/>
    <w:rsid w:val="08A27029"/>
    <w:rsid w:val="09470C3E"/>
    <w:rsid w:val="0AF81AF7"/>
    <w:rsid w:val="0F451D7D"/>
    <w:rsid w:val="12F9640D"/>
    <w:rsid w:val="13251CAD"/>
    <w:rsid w:val="177A729C"/>
    <w:rsid w:val="183B7B59"/>
    <w:rsid w:val="18A34F45"/>
    <w:rsid w:val="18AC5CCF"/>
    <w:rsid w:val="1A83440D"/>
    <w:rsid w:val="1A8C5DB8"/>
    <w:rsid w:val="1B620131"/>
    <w:rsid w:val="1CF142FA"/>
    <w:rsid w:val="1EAF79F8"/>
    <w:rsid w:val="1F827239"/>
    <w:rsid w:val="241D5B1F"/>
    <w:rsid w:val="2CE61358"/>
    <w:rsid w:val="2FB01656"/>
    <w:rsid w:val="30CF5719"/>
    <w:rsid w:val="32ED4BF0"/>
    <w:rsid w:val="331C331A"/>
    <w:rsid w:val="33424919"/>
    <w:rsid w:val="37EB3C0A"/>
    <w:rsid w:val="38214D20"/>
    <w:rsid w:val="3C0B4937"/>
    <w:rsid w:val="420822F6"/>
    <w:rsid w:val="485A09E8"/>
    <w:rsid w:val="4AAE39BD"/>
    <w:rsid w:val="4B73024B"/>
    <w:rsid w:val="4BDE493D"/>
    <w:rsid w:val="4FEA2784"/>
    <w:rsid w:val="505B789A"/>
    <w:rsid w:val="52A94AC5"/>
    <w:rsid w:val="535A6478"/>
    <w:rsid w:val="53700116"/>
    <w:rsid w:val="548D3B82"/>
    <w:rsid w:val="56020159"/>
    <w:rsid w:val="58095D77"/>
    <w:rsid w:val="5A587572"/>
    <w:rsid w:val="5CED64EC"/>
    <w:rsid w:val="5E320683"/>
    <w:rsid w:val="5EE7485D"/>
    <w:rsid w:val="5F8A1F6B"/>
    <w:rsid w:val="66DC4CE8"/>
    <w:rsid w:val="6797667C"/>
    <w:rsid w:val="686303D0"/>
    <w:rsid w:val="687579C0"/>
    <w:rsid w:val="69512AEE"/>
    <w:rsid w:val="69573757"/>
    <w:rsid w:val="72262D25"/>
    <w:rsid w:val="74877D5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oa heading"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D4D26"/>
    <w:pPr>
      <w:widowControl w:val="0"/>
      <w:jc w:val="both"/>
    </w:pPr>
    <w:rPr>
      <w:rFonts w:ascii="Calibri" w:hAnsi="Calibr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semiHidden/>
    <w:qFormat/>
    <w:rsid w:val="000D4D26"/>
    <w:pPr>
      <w:spacing w:before="120" w:after="200" w:line="276" w:lineRule="auto"/>
    </w:pPr>
    <w:rPr>
      <w:rFonts w:ascii="Arial" w:hAnsi="Arial"/>
      <w:sz w:val="24"/>
      <w:szCs w:val="24"/>
    </w:rPr>
  </w:style>
  <w:style w:type="paragraph" w:styleId="a4">
    <w:name w:val="Balloon Text"/>
    <w:basedOn w:val="a"/>
    <w:link w:val="Char"/>
    <w:uiPriority w:val="99"/>
    <w:semiHidden/>
    <w:rsid w:val="000D4D26"/>
    <w:rPr>
      <w:sz w:val="18"/>
      <w:szCs w:val="18"/>
    </w:rPr>
  </w:style>
  <w:style w:type="paragraph" w:styleId="a5">
    <w:name w:val="footer"/>
    <w:basedOn w:val="a"/>
    <w:link w:val="Char0"/>
    <w:uiPriority w:val="99"/>
    <w:rsid w:val="000D4D26"/>
    <w:pPr>
      <w:tabs>
        <w:tab w:val="center" w:pos="4153"/>
        <w:tab w:val="right" w:pos="8306"/>
      </w:tabs>
      <w:snapToGrid w:val="0"/>
      <w:jc w:val="left"/>
    </w:pPr>
    <w:rPr>
      <w:sz w:val="18"/>
      <w:szCs w:val="18"/>
    </w:rPr>
  </w:style>
  <w:style w:type="paragraph" w:styleId="a6">
    <w:name w:val="header"/>
    <w:basedOn w:val="a"/>
    <w:link w:val="Char1"/>
    <w:uiPriority w:val="99"/>
    <w:rsid w:val="000D4D2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0D4D26"/>
    <w:pPr>
      <w:spacing w:beforeAutospacing="1" w:afterAutospacing="1"/>
      <w:jc w:val="left"/>
    </w:pPr>
    <w:rPr>
      <w:kern w:val="0"/>
      <w:sz w:val="24"/>
    </w:rPr>
  </w:style>
  <w:style w:type="character" w:customStyle="1" w:styleId="Char1">
    <w:name w:val="页眉 Char"/>
    <w:basedOn w:val="a1"/>
    <w:link w:val="a6"/>
    <w:uiPriority w:val="99"/>
    <w:locked/>
    <w:rsid w:val="000D4D26"/>
    <w:rPr>
      <w:rFonts w:cs="Times New Roman"/>
      <w:sz w:val="18"/>
      <w:szCs w:val="18"/>
    </w:rPr>
  </w:style>
  <w:style w:type="character" w:customStyle="1" w:styleId="Char0">
    <w:name w:val="页脚 Char"/>
    <w:basedOn w:val="a1"/>
    <w:link w:val="a5"/>
    <w:uiPriority w:val="99"/>
    <w:locked/>
    <w:rsid w:val="000D4D26"/>
    <w:rPr>
      <w:rFonts w:cs="Times New Roman"/>
      <w:sz w:val="18"/>
      <w:szCs w:val="18"/>
    </w:rPr>
  </w:style>
  <w:style w:type="paragraph" w:customStyle="1" w:styleId="Default">
    <w:name w:val="Default"/>
    <w:uiPriority w:val="99"/>
    <w:rsid w:val="000D4D26"/>
    <w:pPr>
      <w:widowControl w:val="0"/>
      <w:autoSpaceDE w:val="0"/>
      <w:autoSpaceDN w:val="0"/>
      <w:adjustRightInd w:val="0"/>
    </w:pPr>
    <w:rPr>
      <w:rFonts w:ascii="黑体" w:eastAsia="黑体" w:hAnsi="Calibri" w:cs="黑体"/>
      <w:color w:val="000000"/>
      <w:sz w:val="24"/>
      <w:szCs w:val="24"/>
    </w:rPr>
  </w:style>
  <w:style w:type="paragraph" w:styleId="a8">
    <w:name w:val="List Paragraph"/>
    <w:basedOn w:val="a"/>
    <w:uiPriority w:val="99"/>
    <w:qFormat/>
    <w:rsid w:val="000D4D26"/>
    <w:pPr>
      <w:ind w:firstLineChars="200" w:firstLine="420"/>
    </w:pPr>
  </w:style>
  <w:style w:type="character" w:customStyle="1" w:styleId="Char">
    <w:name w:val="批注框文本 Char"/>
    <w:basedOn w:val="a1"/>
    <w:link w:val="a4"/>
    <w:uiPriority w:val="99"/>
    <w:semiHidden/>
    <w:locked/>
    <w:rsid w:val="000D4D26"/>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20</Pages>
  <Words>938</Words>
  <Characters>5347</Characters>
  <Application>Microsoft Office Word</Application>
  <DocSecurity>0</DocSecurity>
  <Lines>44</Lines>
  <Paragraphs>12</Paragraphs>
  <ScaleCrop>false</ScaleCrop>
  <Company>Microsoft</Company>
  <LinksUpToDate>false</LinksUpToDate>
  <CharactersWithSpaces>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2021年度</dc:title>
  <dc:creator>李航 null</dc:creator>
  <cp:lastModifiedBy>Administrator</cp:lastModifiedBy>
  <cp:revision>13</cp:revision>
  <cp:lastPrinted>2023-09-21T02:45:00Z</cp:lastPrinted>
  <dcterms:created xsi:type="dcterms:W3CDTF">2022-09-05T07:19:00Z</dcterms:created>
  <dcterms:modified xsi:type="dcterms:W3CDTF">2023-09-26T03:05:00Z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396167B88482490E8968BC3105A651A3</vt:lpwstr>
  </property>
</Properties>
</file>