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spacing w:line="596" w:lineRule="exact"/>
        <w:rPr>
          <w:rFonts w:eastAsia="黑体"/>
          <w:color w:val="000000" w:themeColor="text1"/>
          <w:sz w:val="32"/>
          <w:szCs w:val="32"/>
          <w14:textFill>
            <w14:solidFill>
              <w14:schemeClr w14:val="tx1"/>
            </w14:solidFill>
          </w14:textFill>
        </w:rPr>
      </w:pPr>
      <w:bookmarkStart w:id="0" w:name="_GoBack"/>
      <w:bookmarkEnd w:id="0"/>
    </w:p>
    <w:p>
      <w:pPr>
        <w:widowControl/>
        <w:overflowPunct w:val="0"/>
        <w:spacing w:line="596" w:lineRule="exact"/>
        <w:jc w:val="center"/>
        <w:rPr>
          <w:rFonts w:hint="eastAsia" w:ascii="方正小标宋简体" w:eastAsia="方正小标宋简体"/>
          <w:bCs/>
          <w:color w:val="000000" w:themeColor="text1"/>
          <w:kern w:val="0"/>
          <w:sz w:val="42"/>
          <w:szCs w:val="42"/>
          <w14:textFill>
            <w14:solidFill>
              <w14:schemeClr w14:val="tx1"/>
            </w14:solidFill>
          </w14:textFill>
        </w:rPr>
      </w:pPr>
      <w:r>
        <w:rPr>
          <w:rFonts w:hint="eastAsia" w:ascii="方正小标宋简体" w:eastAsia="方正小标宋简体"/>
          <w:color w:val="000000" w:themeColor="text1"/>
          <w:kern w:val="0"/>
          <w:sz w:val="42"/>
          <w:szCs w:val="42"/>
          <w14:textFill>
            <w14:solidFill>
              <w14:schemeClr w14:val="tx1"/>
            </w14:solidFill>
          </w14:textFill>
        </w:rPr>
        <w:t>202</w:t>
      </w:r>
      <w:r>
        <w:rPr>
          <w:rFonts w:hint="eastAsia" w:ascii="方正小标宋简体" w:eastAsia="方正小标宋简体"/>
          <w:color w:val="000000" w:themeColor="text1"/>
          <w:kern w:val="0"/>
          <w:sz w:val="42"/>
          <w:szCs w:val="42"/>
          <w:lang w:val="en-US" w:eastAsia="zh-CN"/>
          <w14:textFill>
            <w14:solidFill>
              <w14:schemeClr w14:val="tx1"/>
            </w14:solidFill>
          </w14:textFill>
        </w:rPr>
        <w:t>2</w:t>
      </w:r>
      <w:r>
        <w:rPr>
          <w:rFonts w:hint="eastAsia" w:ascii="方正小标宋简体" w:eastAsia="方正小标宋简体"/>
          <w:color w:val="000000" w:themeColor="text1"/>
          <w:kern w:val="0"/>
          <w:sz w:val="42"/>
          <w:szCs w:val="42"/>
          <w14:textFill>
            <w14:solidFill>
              <w14:schemeClr w14:val="tx1"/>
            </w14:solidFill>
          </w14:textFill>
        </w:rPr>
        <w:t>年省发改委部门预算</w:t>
      </w:r>
    </w:p>
    <w:p>
      <w:pPr>
        <w:widowControl/>
        <w:overflowPunct w:val="0"/>
        <w:spacing w:line="596" w:lineRule="exact"/>
        <w:rPr>
          <w:rFonts w:eastAsia="楷体_GB2312"/>
          <w:bCs/>
          <w:color w:val="000000" w:themeColor="text1"/>
          <w:kern w:val="0"/>
          <w:sz w:val="32"/>
          <w:szCs w:val="32"/>
          <w14:textFill>
            <w14:solidFill>
              <w14:schemeClr w14:val="tx1"/>
            </w14:solidFill>
          </w14:textFill>
        </w:rPr>
      </w:pPr>
    </w:p>
    <w:p>
      <w:pPr>
        <w:widowControl/>
        <w:overflowPunct w:val="0"/>
        <w:spacing w:line="596" w:lineRule="exact"/>
        <w:jc w:val="center"/>
        <w:rPr>
          <w:rFonts w:ascii="黑体" w:hAnsi="黑体" w:eastAsia="黑体"/>
          <w:bCs/>
          <w:color w:val="000000" w:themeColor="text1"/>
          <w:kern w:val="0"/>
          <w:sz w:val="42"/>
          <w:szCs w:val="42"/>
          <w14:textFill>
            <w14:solidFill>
              <w14:schemeClr w14:val="tx1"/>
            </w14:solidFill>
          </w14:textFill>
        </w:rPr>
      </w:pPr>
      <w:r>
        <w:rPr>
          <w:rFonts w:ascii="黑体" w:hAnsi="黑体" w:eastAsia="黑体"/>
          <w:bCs/>
          <w:color w:val="000000" w:themeColor="text1"/>
          <w:kern w:val="0"/>
          <w:sz w:val="42"/>
          <w:szCs w:val="42"/>
          <w14:textFill>
            <w14:solidFill>
              <w14:schemeClr w14:val="tx1"/>
            </w14:solidFill>
          </w14:textFill>
        </w:rPr>
        <w:t>目 录</w:t>
      </w:r>
    </w:p>
    <w:p>
      <w:pPr>
        <w:widowControl/>
        <w:overflowPunct w:val="0"/>
        <w:spacing w:line="596" w:lineRule="exact"/>
        <w:rPr>
          <w:rFonts w:eastAsia="仿宋_GB2312"/>
          <w:bCs/>
          <w:color w:val="000000" w:themeColor="text1"/>
          <w:kern w:val="0"/>
          <w:sz w:val="32"/>
          <w:szCs w:val="32"/>
          <w14:textFill>
            <w14:solidFill>
              <w14:schemeClr w14:val="tx1"/>
            </w14:solidFill>
          </w14:textFill>
        </w:rPr>
      </w:pPr>
    </w:p>
    <w:p>
      <w:pPr>
        <w:widowControl/>
        <w:overflowPunct w:val="0"/>
        <w:spacing w:line="596" w:lineRule="exact"/>
        <w:ind w:firstLine="643" w:firstLineChars="200"/>
        <w:rPr>
          <w:rFonts w:eastAsia="仿宋_GB2312"/>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第一部分 2022年部门预算说明</w:t>
      </w:r>
    </w:p>
    <w:p>
      <w:pPr>
        <w:widowControl/>
        <w:overflowPunct w:val="0"/>
        <w:spacing w:line="596" w:lineRule="exact"/>
        <w:ind w:firstLine="643" w:firstLineChars="200"/>
        <w:rPr>
          <w:rFonts w:eastAsia="仿宋_GB2312"/>
          <w:b/>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第二部分 2022年部门预算表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1、收支总表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2、收入总表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3、支出总表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4、支出预算分类汇总表（按政府预算经济分类）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5、支出预算分类汇总表（按部门预算经济分类）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6、财政拨款收支总表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7、一般公共预算支出表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8、一般公共预算基本支出表-人员经费（工资福利支出）（按政府预算经济分类）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9、一般公共预算基本支出表-人员经费（工资福利支出）（按部门预算经济分类）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10、一般公共预算基本支出表-人员经费（对个人和家庭的补助）（按政府预算经济分类）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11、一般公共预算基本支出表-人员经费（对个人和家庭的补助）（按部门预算经济分类）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12、一般公共预算基本支出表-公用经费（商品和服务支出）（按政府预算经济分类）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13、一般公共预算基本支出表-公用经费（商品和服务支出）（按部门预算经济分类）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14、一般公共预算“三公”经费支出表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15、政府性基金预算支出表</w:t>
      </w:r>
    </w:p>
    <w:p>
      <w:pPr>
        <w:widowControl/>
        <w:overflowPunct w:val="0"/>
        <w:spacing w:line="596" w:lineRule="exact"/>
        <w:ind w:firstLine="608"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pacing w:val="-8"/>
          <w:sz w:val="32"/>
          <w:szCs w:val="32"/>
          <w14:textFill>
            <w14:solidFill>
              <w14:schemeClr w14:val="tx1"/>
            </w14:solidFill>
          </w14:textFill>
        </w:rPr>
        <w:t>16、政府性基金预算支出分类汇总表（按政府预算经济分类）</w:t>
      </w:r>
    </w:p>
    <w:p>
      <w:pPr>
        <w:widowControl/>
        <w:overflowPunct w:val="0"/>
        <w:spacing w:line="596" w:lineRule="exact"/>
        <w:ind w:firstLine="608" w:firstLineChars="200"/>
        <w:rPr>
          <w:rFonts w:eastAsia="仿宋_GB2312"/>
          <w:color w:val="000000" w:themeColor="text1"/>
          <w:spacing w:val="-8"/>
          <w:sz w:val="32"/>
          <w:szCs w:val="32"/>
          <w14:textFill>
            <w14:solidFill>
              <w14:schemeClr w14:val="tx1"/>
            </w14:solidFill>
          </w14:textFill>
        </w:rPr>
      </w:pPr>
      <w:r>
        <w:rPr>
          <w:rFonts w:eastAsia="仿宋_GB2312"/>
          <w:color w:val="000000" w:themeColor="text1"/>
          <w:spacing w:val="-8"/>
          <w:sz w:val="32"/>
          <w:szCs w:val="32"/>
          <w14:textFill>
            <w14:solidFill>
              <w14:schemeClr w14:val="tx1"/>
            </w14:solidFill>
          </w14:textFill>
        </w:rPr>
        <w:t>17、政府性基金预算支出分类汇总表（按部门预算经济分类）</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18、国有资本经营预算支出表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19、财政专户管理资金预算支出表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20、省级专项资金预算汇总表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21、省级专项资金绩效目标表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22、其他项目支出绩效目标表</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23、部门整体支出绩效目标表</w:t>
      </w:r>
    </w:p>
    <w:p>
      <w:pPr>
        <w:widowControl/>
        <w:overflowPunct w:val="0"/>
        <w:spacing w:line="596" w:lineRule="exact"/>
        <w:rPr>
          <w:rFonts w:eastAsia="仿宋_GB2312"/>
          <w:bCs/>
          <w:color w:val="000000" w:themeColor="text1"/>
          <w:kern w:val="0"/>
          <w:sz w:val="32"/>
          <w:szCs w:val="32"/>
          <w14:textFill>
            <w14:solidFill>
              <w14:schemeClr w14:val="tx1"/>
            </w14:solidFill>
          </w14:textFill>
        </w:rPr>
      </w:pPr>
      <w:r>
        <w:rPr>
          <w:rFonts w:eastAsia="仿宋_GB2312"/>
          <w:bCs/>
          <w:color w:val="000000" w:themeColor="text1"/>
          <w:kern w:val="0"/>
          <w:sz w:val="32"/>
          <w:szCs w:val="32"/>
          <w14:textFill>
            <w14:solidFill>
              <w14:schemeClr w14:val="tx1"/>
            </w14:solidFill>
          </w14:textFill>
        </w:rPr>
        <w:br w:type="page"/>
      </w:r>
    </w:p>
    <w:p>
      <w:pPr>
        <w:widowControl/>
        <w:overflowPunct w:val="0"/>
        <w:spacing w:line="596" w:lineRule="exact"/>
        <w:rPr>
          <w:rFonts w:eastAsia="方正小标宋_GBK"/>
          <w:bCs/>
          <w:color w:val="000000" w:themeColor="text1"/>
          <w:kern w:val="0"/>
          <w:sz w:val="32"/>
          <w:szCs w:val="32"/>
          <w14:textFill>
            <w14:solidFill>
              <w14:schemeClr w14:val="tx1"/>
            </w14:solidFill>
          </w14:textFill>
        </w:rPr>
      </w:pPr>
    </w:p>
    <w:p>
      <w:pPr>
        <w:widowControl/>
        <w:overflowPunct w:val="0"/>
        <w:spacing w:line="596" w:lineRule="exact"/>
        <w:jc w:val="center"/>
        <w:rPr>
          <w:rFonts w:ascii="黑体" w:hAnsi="黑体" w:eastAsia="黑体"/>
          <w:bCs/>
          <w:color w:val="000000" w:themeColor="text1"/>
          <w:kern w:val="0"/>
          <w:sz w:val="42"/>
          <w:szCs w:val="42"/>
          <w14:textFill>
            <w14:solidFill>
              <w14:schemeClr w14:val="tx1"/>
            </w14:solidFill>
          </w14:textFill>
        </w:rPr>
      </w:pPr>
      <w:r>
        <w:rPr>
          <w:rFonts w:ascii="黑体" w:hAnsi="黑体" w:eastAsia="黑体"/>
          <w:bCs/>
          <w:color w:val="000000" w:themeColor="text1"/>
          <w:kern w:val="0"/>
          <w:sz w:val="42"/>
          <w:szCs w:val="42"/>
          <w14:textFill>
            <w14:solidFill>
              <w14:schemeClr w14:val="tx1"/>
            </w14:solidFill>
          </w14:textFill>
        </w:rPr>
        <w:t>第一部分 2022年省发改委预算说明</w:t>
      </w:r>
    </w:p>
    <w:p>
      <w:pPr>
        <w:widowControl/>
        <w:overflowPunct w:val="0"/>
        <w:spacing w:line="596" w:lineRule="exact"/>
        <w:rPr>
          <w:rFonts w:eastAsia="仿宋_GB2312"/>
          <w:b/>
          <w:bCs/>
          <w:color w:val="000000" w:themeColor="text1"/>
          <w:kern w:val="0"/>
          <w:sz w:val="32"/>
          <w:szCs w:val="32"/>
          <w14:textFill>
            <w14:solidFill>
              <w14:schemeClr w14:val="tx1"/>
            </w14:solidFill>
          </w14:textFill>
        </w:rPr>
      </w:pPr>
    </w:p>
    <w:p>
      <w:pPr>
        <w:widowControl/>
        <w:overflowPunct w:val="0"/>
        <w:spacing w:line="59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一、部门基本概况</w:t>
      </w:r>
    </w:p>
    <w:p>
      <w:pPr>
        <w:widowControl/>
        <w:overflowPunct w:val="0"/>
        <w:spacing w:line="596" w:lineRule="exact"/>
        <w:ind w:firstLine="643" w:firstLineChars="200"/>
        <w:rPr>
          <w:rFonts w:eastAsia="仿宋_GB2312"/>
          <w:color w:val="000000" w:themeColor="text1"/>
          <w:kern w:val="0"/>
          <w:sz w:val="32"/>
          <w:szCs w:val="32"/>
          <w:lang w:bidi="ar"/>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（一）职能职责。</w:t>
      </w:r>
      <w:r>
        <w:rPr>
          <w:rFonts w:eastAsia="仿宋_GB2312"/>
          <w:color w:val="000000" w:themeColor="text1"/>
          <w:kern w:val="0"/>
          <w:sz w:val="32"/>
          <w:szCs w:val="32"/>
          <w:lang w:bidi="ar"/>
          <w14:textFill>
            <w14:solidFill>
              <w14:schemeClr w14:val="tx1"/>
            </w14:solidFill>
          </w14:textFill>
        </w:rPr>
        <w:t>拟订并组织实施全省国民经济和社会发展战略、中长期规划和年度计划；提出加快建设现代化经济体系、推动高质量发展的总体目标、重大任务以及相关政策；统筹提出全省国民经济和社会发展主要目标，监测预测预警宏观经济和社会发展态势趋势，提出宏观调控政策建议；指导推进和综合协调全省经济体制改革有关工作，提出相关改革建议；提出全省利用外资和境外投资的战略、规划、总量平衡和结构优化的政策；负责投资综合管理，拟订全省固定资产投资总规模、结构调控目标、政策及措施，会同相关部门拟订政府投资项目审批权限和政府核准的固定资产投资项目目录；推进落实区域协调发展战略和重大政策，组织拟订相关区域规划和政策；组织拟订综合性产业政策；推动实施创新驱动发展战略；跟踪研判涉及经济安全、生态安全、资源安全、科技安全、社会安全等各类风险隐患，提出相关工作建议；负责社会发展与国民经济发展的政策衔接，协调有关重大问题；推进实施可持续发展战略，推动生态文明建设和改革，协调生态环境保护与修复、能源资源节约和综合利用等工作；拟订并组织实施有关价格政策，组织制定少数由省级管理的重要商品、服务价格和重要收费标准；监测、分析市场价格形势，组织实施价格总水平控制；牵头推进全省优化营商环境工作；指导和协调全省公共资源交易平台建设，牵头组织监督公共资源交易活动；会同有关部门拟订推进全省经济建设与国防建设协调发展的战略和规划，协调有关重大问题；承担湘西地区开发、优化经济发展环境、推进“一带一路”建设、推动长江经济带发展等省级议事协调机构的有关具体工作；管理省能源局；完成省委、省政府交办的其他工作。</w:t>
      </w:r>
    </w:p>
    <w:p>
      <w:pPr>
        <w:pStyle w:val="4"/>
        <w:widowControl/>
        <w:shd w:val="clear" w:color="auto" w:fill="FFFFFF"/>
        <w:overflowPunct w:val="0"/>
        <w:spacing w:beforeAutospacing="0" w:afterAutospacing="0" w:line="596" w:lineRule="exact"/>
        <w:ind w:firstLine="643" w:firstLineChars="200"/>
        <w:jc w:val="both"/>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（二）机构设置。</w:t>
      </w:r>
      <w:r>
        <w:rPr>
          <w:rFonts w:eastAsia="仿宋_GB2312"/>
          <w:color w:val="000000" w:themeColor="text1"/>
          <w:sz w:val="32"/>
          <w:szCs w:val="32"/>
          <w14:textFill>
            <w14:solidFill>
              <w14:schemeClr w14:val="tx1"/>
            </w14:solidFill>
          </w14:textFill>
        </w:rPr>
        <w:t>内设机构28个职能处室，</w:t>
      </w:r>
      <w:r>
        <w:rPr>
          <w:rFonts w:eastAsia="仿宋_GB2312"/>
          <w:color w:val="000000" w:themeColor="text1"/>
          <w:sz w:val="32"/>
          <w:szCs w:val="32"/>
          <w:shd w:val="clear" w:color="auto" w:fill="FFFFFF"/>
          <w14:textFill>
            <w14:solidFill>
              <w14:schemeClr w14:val="tx1"/>
            </w14:solidFill>
          </w14:textFill>
        </w:rPr>
        <w:t>包括办公室、发展战略和规划处、法规处、国民经济综合处、体制改革综合处、国有资产投资处、经济运行调节处、外资和经济贸易处、地区经济处（长株潭一体化和两型社会推进处）、园区发展处、农村经济处、基础设施发展处、工业处、创新和高技术发展处、资源节约和环境保护处、社会发展处、就业收入分配和服务业处、财政金融和信用建设处、服务价格和收费管理处、商品价格和调控管理处、长江经济带和洞庭湖发展处、湘西地区开发和对口支援处、公共资源交易管理处（省公共资源交易管理委员会办公室）、优化营商环境处、评估督导处、人事处、机关党委、离退休人员管理服务处。委属单位14个：其中3个行政单位，包括湖南省能源局、湖南省价格成本调查队、湖南省国民经济动员办公室。11个事业单位，包括湖南省长株潭一体化发展事务中心、湖南省重点建设项目事务中心、湖南省理工职业技术学院、湖南省发改委机关后勤服务中心、湖南省节能监察中心、湖南省发改委信息中心、湖南省价格认证中心、湖南省价格监测分析中心、湖南省发改委干部培训中心、湖南省发改委宏观经济研究所及湖南省农村经济信息服务中心。</w:t>
      </w:r>
    </w:p>
    <w:p>
      <w:pPr>
        <w:widowControl/>
        <w:overflowPunct w:val="0"/>
        <w:spacing w:line="59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二、部门预算单位构成</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本部门预算为汇总预算，纳入编制范围的预算单位包括：</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1、省发改委本级</w:t>
      </w:r>
    </w:p>
    <w:p>
      <w:pPr>
        <w:pStyle w:val="4"/>
        <w:widowControl/>
        <w:shd w:val="clear" w:color="auto" w:fill="FFFFFF"/>
        <w:overflowPunct w:val="0"/>
        <w:spacing w:beforeAutospacing="0" w:afterAutospacing="0" w:line="596" w:lineRule="exact"/>
        <w:ind w:firstLine="640" w:firstLineChars="200"/>
        <w:jc w:val="both"/>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eastAsia="仿宋_GB2312"/>
          <w:color w:val="000000" w:themeColor="text1"/>
          <w:sz w:val="32"/>
          <w:szCs w:val="32"/>
          <w:shd w:val="clear" w:color="auto" w:fill="FFFFFF"/>
          <w14:textFill>
            <w14:solidFill>
              <w14:schemeClr w14:val="tx1"/>
            </w14:solidFill>
          </w14:textFill>
        </w:rPr>
        <w:t>委属单位包括湖南省价格成本调查队、湖南省理工职业技术学院、湖南省价格认证中心、湖南省价格监测分析中心、湖南省发改委干部培训中心及湖南省农村经济信息服务中心6个单位。</w:t>
      </w:r>
    </w:p>
    <w:p>
      <w:pPr>
        <w:widowControl/>
        <w:overflowPunct w:val="0"/>
        <w:spacing w:line="59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三、部门收支总体情况</w:t>
      </w:r>
    </w:p>
    <w:p>
      <w:pPr>
        <w:widowControl/>
        <w:overflowPunct w:val="0"/>
        <w:spacing w:line="596" w:lineRule="exact"/>
        <w:ind w:firstLine="643" w:firstLineChars="200"/>
        <w:rPr>
          <w:rFonts w:eastAsia="仿宋_GB2312"/>
          <w:b/>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（一）收入预算：</w:t>
      </w:r>
      <w:r>
        <w:rPr>
          <w:rFonts w:eastAsia="仿宋_GB2312"/>
          <w:color w:val="000000" w:themeColor="text1"/>
          <w:sz w:val="32"/>
          <w:szCs w:val="32"/>
          <w14:textFill>
            <w14:solidFill>
              <w14:schemeClr w14:val="tx1"/>
            </w14:solidFill>
          </w14:textFill>
        </w:rPr>
        <w:t>包括一般公共预算、政府性基金、国有资本经营预算等财政拨款收入，以及经营收入、事业收入等单位资金。2022年本部门收入预算28502.11万元，其中，一般公共预算拨款22602.11万元，政府性基金预算拨款 0万元，国有资本经营预算拨款0万元，纳入专户管理的非税收入 3300万元，其他收入2600万元。</w:t>
      </w:r>
      <w:r>
        <w:rPr>
          <w:rFonts w:eastAsia="仿宋_GB2312"/>
          <w:b/>
          <w:color w:val="000000" w:themeColor="text1"/>
          <w:sz w:val="32"/>
          <w:szCs w:val="32"/>
          <w14:textFill>
            <w14:solidFill>
              <w14:schemeClr w14:val="tx1"/>
            </w14:solidFill>
          </w14:textFill>
        </w:rPr>
        <w:t>收入较去年增加3245.6万元，其中：新增碳达峰碳中和专项工作经费2000万元，全省铁路协调经费2600万元纳入到年初预算中，上年结转减少1354.4万元。</w:t>
      </w:r>
    </w:p>
    <w:p>
      <w:pPr>
        <w:widowControl/>
        <w:overflowPunct w:val="0"/>
        <w:spacing w:line="596" w:lineRule="exact"/>
        <w:ind w:firstLine="643" w:firstLineChars="200"/>
        <w:rPr>
          <w:rFonts w:eastAsia="仿宋_GB2312"/>
          <w:b/>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（二）支出预算：</w:t>
      </w:r>
      <w:r>
        <w:rPr>
          <w:rFonts w:eastAsia="仿宋_GB2312"/>
          <w:color w:val="000000" w:themeColor="text1"/>
          <w:sz w:val="32"/>
          <w:szCs w:val="32"/>
          <w14:textFill>
            <w14:solidFill>
              <w14:schemeClr w14:val="tx1"/>
            </w14:solidFill>
          </w14:textFill>
        </w:rPr>
        <w:t>2022年本部门支出预算28502.11万元，其中，一般公共服务15128.01万元，教育支出7782.84万元，文化旅游体育与传媒支出1.28万元，社会保障和就业支出2526.98万元，商业服务业等支出33万元，住房保障支出430万元，其他支出2600万元。</w:t>
      </w:r>
      <w:r>
        <w:rPr>
          <w:rFonts w:eastAsia="仿宋_GB2312"/>
          <w:b/>
          <w:color w:val="000000" w:themeColor="text1"/>
          <w:sz w:val="32"/>
          <w:szCs w:val="32"/>
          <w14:textFill>
            <w14:solidFill>
              <w14:schemeClr w14:val="tx1"/>
            </w14:solidFill>
          </w14:textFill>
        </w:rPr>
        <w:t>支出较去年增加3245.6万元，主要新增了碳达峰碳中和及铁路协调专项支出。</w:t>
      </w:r>
    </w:p>
    <w:p>
      <w:pPr>
        <w:widowControl/>
        <w:overflowPunct w:val="0"/>
        <w:spacing w:line="59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四、一般公共预算拨款支出</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2022年本部门一般公共预算拨款支出预算22602.11万元，其中，一般公共服务支出15128.01万元，占66.93 %；教育支出5064.84万元，占22.4%；文化旅游体育与传媒支出1.28万元，占0.01 %；社会保障和就业支出2254.98万元，占9.98%；商业服务业等支出33万元，占0.15%；住房保障支出120万元，占0.53%。具体安排情况如下：</w:t>
      </w:r>
    </w:p>
    <w:p>
      <w:pPr>
        <w:widowControl/>
        <w:overflowPunct w:val="0"/>
        <w:spacing w:line="596"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（一）基本支出：</w:t>
      </w:r>
      <w:r>
        <w:rPr>
          <w:rFonts w:eastAsia="仿宋_GB2312"/>
          <w:color w:val="000000" w:themeColor="text1"/>
          <w:sz w:val="32"/>
          <w:szCs w:val="32"/>
          <w14:textFill>
            <w14:solidFill>
              <w14:schemeClr w14:val="tx1"/>
            </w14:solidFill>
          </w14:textFill>
        </w:rPr>
        <w:t>2022年本部门基本支出预算数16287.67万元，主要是为保障部门正常运转、完成日常工作任务而发生的各项支出，包括用于基本工资、津贴补贴等人员经费以及办公费、印刷费、水电费、办公设备购置等公用经费。</w:t>
      </w:r>
    </w:p>
    <w:p>
      <w:pPr>
        <w:widowControl/>
        <w:overflowPunct w:val="0"/>
        <w:spacing w:line="596"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（二）项目支出：</w:t>
      </w:r>
      <w:r>
        <w:rPr>
          <w:rFonts w:eastAsia="仿宋_GB2312"/>
          <w:color w:val="000000" w:themeColor="text1"/>
          <w:sz w:val="32"/>
          <w:szCs w:val="32"/>
          <w14:textFill>
            <w14:solidFill>
              <w14:schemeClr w14:val="tx1"/>
            </w14:solidFill>
          </w14:textFill>
        </w:rPr>
        <w:t>2022年本部门项目支出预算6314.44万元，主要是部门为完成特定行政工作任务或事业发展目标而发生的支出，包括有关事业发展专项、专项业务费、基本建设支出等，其中：</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上年结转专项2390.94万元。包括</w:t>
      </w:r>
      <w:r>
        <w:rPr>
          <w:rFonts w:hint="eastAsia" w:ascii="宋体" w:hAnsi="宋体" w:cs="宋体"/>
          <w:color w:val="000000" w:themeColor="text1"/>
          <w:sz w:val="32"/>
          <w:szCs w:val="32"/>
          <w14:textFill>
            <w14:solidFill>
              <w14:schemeClr w14:val="tx1"/>
            </w14:solidFill>
          </w14:textFill>
        </w:rPr>
        <w:t>①</w:t>
      </w:r>
      <w:r>
        <w:rPr>
          <w:rFonts w:eastAsia="仿宋_GB2312"/>
          <w:color w:val="000000" w:themeColor="text1"/>
          <w:sz w:val="32"/>
          <w:szCs w:val="32"/>
          <w14:textFill>
            <w14:solidFill>
              <w14:schemeClr w14:val="tx1"/>
            </w14:solidFill>
          </w14:textFill>
        </w:rPr>
        <w:t>“十四五”规划及信息化建设等1116.57元，主要用于委机关立法、编制“十四五”规划和信息化建设；</w:t>
      </w:r>
      <w:r>
        <w:rPr>
          <w:rFonts w:hint="eastAsia" w:ascii="宋体" w:hAnsi="宋体" w:cs="宋体"/>
          <w:color w:val="000000" w:themeColor="text1"/>
          <w:sz w:val="32"/>
          <w:szCs w:val="32"/>
          <w14:textFill>
            <w14:solidFill>
              <w14:schemeClr w14:val="tx1"/>
            </w14:solidFill>
          </w14:textFill>
        </w:rPr>
        <w:t>②</w:t>
      </w:r>
      <w:r>
        <w:rPr>
          <w:rFonts w:eastAsia="仿宋_GB2312"/>
          <w:color w:val="000000" w:themeColor="text1"/>
          <w:sz w:val="32"/>
          <w:szCs w:val="32"/>
          <w14:textFill>
            <w14:solidFill>
              <w14:schemeClr w14:val="tx1"/>
            </w14:solidFill>
          </w14:textFill>
        </w:rPr>
        <w:t>节能环保127.38万元，主要用于重点用能单位能耗在线监测；</w:t>
      </w:r>
      <w:r>
        <w:rPr>
          <w:rFonts w:hint="eastAsia" w:ascii="宋体" w:hAnsi="宋体" w:cs="宋体"/>
          <w:color w:val="000000" w:themeColor="text1"/>
          <w:sz w:val="32"/>
          <w:szCs w:val="32"/>
          <w14:textFill>
            <w14:solidFill>
              <w14:schemeClr w14:val="tx1"/>
            </w14:solidFill>
          </w14:textFill>
        </w:rPr>
        <w:t>③</w:t>
      </w:r>
      <w:r>
        <w:rPr>
          <w:rFonts w:eastAsia="仿宋_GB2312"/>
          <w:color w:val="000000" w:themeColor="text1"/>
          <w:sz w:val="32"/>
          <w:szCs w:val="32"/>
          <w14:textFill>
            <w14:solidFill>
              <w14:schemeClr w14:val="tx1"/>
            </w14:solidFill>
          </w14:textFill>
        </w:rPr>
        <w:t>湘西开发50万元，主要用于湘西地区开发产业发展；</w:t>
      </w:r>
      <w:r>
        <w:rPr>
          <w:rFonts w:hint="eastAsia" w:ascii="宋体" w:hAnsi="宋体" w:cs="宋体"/>
          <w:color w:val="000000" w:themeColor="text1"/>
          <w:sz w:val="32"/>
          <w:szCs w:val="32"/>
          <w14:textFill>
            <w14:solidFill>
              <w14:schemeClr w14:val="tx1"/>
            </w14:solidFill>
          </w14:textFill>
        </w:rPr>
        <w:t>④</w:t>
      </w:r>
      <w:r>
        <w:rPr>
          <w:rFonts w:eastAsia="仿宋_GB2312"/>
          <w:color w:val="000000" w:themeColor="text1"/>
          <w:sz w:val="32"/>
          <w:szCs w:val="32"/>
          <w14:textFill>
            <w14:solidFill>
              <w14:schemeClr w14:val="tx1"/>
            </w14:solidFill>
          </w14:textFill>
        </w:rPr>
        <w:t>能源专项51.3万元，主要用于农网改造核查；</w:t>
      </w:r>
      <w:r>
        <w:rPr>
          <w:rFonts w:hint="eastAsia" w:ascii="宋体" w:hAnsi="宋体" w:cs="宋体"/>
          <w:color w:val="000000" w:themeColor="text1"/>
          <w:sz w:val="32"/>
          <w:szCs w:val="32"/>
          <w14:textFill>
            <w14:solidFill>
              <w14:schemeClr w14:val="tx1"/>
            </w14:solidFill>
          </w14:textFill>
        </w:rPr>
        <w:t>⑤</w:t>
      </w:r>
      <w:r>
        <w:rPr>
          <w:rFonts w:eastAsia="仿宋_GB2312"/>
          <w:color w:val="000000" w:themeColor="text1"/>
          <w:sz w:val="32"/>
          <w:szCs w:val="32"/>
          <w14:textFill>
            <w14:solidFill>
              <w14:schemeClr w14:val="tx1"/>
            </w14:solidFill>
          </w14:textFill>
        </w:rPr>
        <w:t>其他零星专项105.32万元，主要用于2021年省现代服务业发展、世界银行贷款长江经济带生态环境系统保护修复和绿色发展示范项目、理工职院就业补贴等方面；</w:t>
      </w:r>
      <w:r>
        <w:rPr>
          <w:rFonts w:hint="eastAsia" w:ascii="宋体" w:hAnsi="宋体" w:cs="宋体"/>
          <w:color w:val="000000" w:themeColor="text1"/>
          <w:sz w:val="32"/>
          <w:szCs w:val="32"/>
          <w14:textFill>
            <w14:solidFill>
              <w14:schemeClr w14:val="tx1"/>
            </w14:solidFill>
          </w14:textFill>
        </w:rPr>
        <w:t>⑥</w:t>
      </w:r>
      <w:r>
        <w:rPr>
          <w:rFonts w:eastAsia="仿宋_GB2312"/>
          <w:color w:val="000000" w:themeColor="text1"/>
          <w:sz w:val="32"/>
          <w:szCs w:val="32"/>
          <w14:textFill>
            <w14:solidFill>
              <w14:schemeClr w14:val="tx1"/>
            </w14:solidFill>
          </w14:textFill>
        </w:rPr>
        <w:t>价格专项60.37万元，主要用于成本调查、价格认证和价格监测分析等方面；</w:t>
      </w:r>
      <w:r>
        <w:rPr>
          <w:rFonts w:hint="eastAsia" w:ascii="宋体" w:hAnsi="宋体" w:cs="宋体"/>
          <w:color w:val="000000" w:themeColor="text1"/>
          <w:sz w:val="32"/>
          <w:szCs w:val="32"/>
          <w14:textFill>
            <w14:solidFill>
              <w14:schemeClr w14:val="tx1"/>
            </w14:solidFill>
          </w14:textFill>
        </w:rPr>
        <w:t>⑦</w:t>
      </w:r>
      <w:r>
        <w:rPr>
          <w:rFonts w:eastAsia="仿宋_GB2312"/>
          <w:color w:val="000000" w:themeColor="text1"/>
          <w:sz w:val="32"/>
          <w:szCs w:val="32"/>
          <w14:textFill>
            <w14:solidFill>
              <w14:schemeClr w14:val="tx1"/>
            </w14:solidFill>
          </w14:textFill>
        </w:rPr>
        <w:t>省预算内基本建设380万元，主要用于理工职院公共实训基地建设；</w:t>
      </w:r>
      <w:r>
        <w:rPr>
          <w:rFonts w:hint="eastAsia" w:ascii="宋体" w:hAnsi="宋体" w:cs="宋体"/>
          <w:color w:val="000000" w:themeColor="text1"/>
          <w:sz w:val="32"/>
          <w:szCs w:val="32"/>
          <w14:textFill>
            <w14:solidFill>
              <w14:schemeClr w14:val="tx1"/>
            </w14:solidFill>
          </w14:textFill>
        </w:rPr>
        <w:t>⑧</w:t>
      </w:r>
      <w:r>
        <w:rPr>
          <w:rFonts w:eastAsia="仿宋_GB2312"/>
          <w:color w:val="000000" w:themeColor="text1"/>
          <w:sz w:val="32"/>
          <w:szCs w:val="32"/>
          <w14:textFill>
            <w14:solidFill>
              <w14:schemeClr w14:val="tx1"/>
            </w14:solidFill>
          </w14:textFill>
        </w:rPr>
        <w:t>省级“十四五”基建补短板专项资金500万元，主要用于理工职院校舍维修改造。</w:t>
      </w:r>
    </w:p>
    <w:p>
      <w:pPr>
        <w:widowControl/>
        <w:overflowPunct w:val="0"/>
        <w:spacing w:line="596"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年初预算安排3923.5万元。包括</w:t>
      </w:r>
      <w:r>
        <w:rPr>
          <w:rFonts w:hint="eastAsia" w:ascii="宋体" w:hAnsi="宋体" w:cs="宋体"/>
          <w:color w:val="000000" w:themeColor="text1"/>
          <w:sz w:val="32"/>
          <w:szCs w:val="32"/>
          <w14:textFill>
            <w14:solidFill>
              <w14:schemeClr w14:val="tx1"/>
            </w14:solidFill>
          </w14:textFill>
        </w:rPr>
        <w:t>①</w:t>
      </w:r>
      <w:r>
        <w:rPr>
          <w:rFonts w:eastAsia="仿宋_GB2312"/>
          <w:color w:val="000000" w:themeColor="text1"/>
          <w:sz w:val="32"/>
          <w:szCs w:val="32"/>
          <w14:textFill>
            <w14:solidFill>
              <w14:schemeClr w14:val="tx1"/>
            </w14:solidFill>
          </w14:textFill>
        </w:rPr>
        <w:t>对口支援工作经费650万元，主要用于按省委省政府工作要求对口支援三峡、西藏和新疆；</w:t>
      </w:r>
      <w:r>
        <w:rPr>
          <w:rFonts w:hint="eastAsia" w:ascii="宋体" w:hAnsi="宋体" w:cs="宋体"/>
          <w:color w:val="000000" w:themeColor="text1"/>
          <w:sz w:val="32"/>
          <w:szCs w:val="32"/>
          <w14:textFill>
            <w14:solidFill>
              <w14:schemeClr w14:val="tx1"/>
            </w14:solidFill>
          </w14:textFill>
        </w:rPr>
        <w:t>②</w:t>
      </w:r>
      <w:r>
        <w:rPr>
          <w:rFonts w:eastAsia="仿宋_GB2312"/>
          <w:color w:val="000000" w:themeColor="text1"/>
          <w:sz w:val="32"/>
          <w:szCs w:val="32"/>
          <w14:textFill>
            <w14:solidFill>
              <w14:schemeClr w14:val="tx1"/>
            </w14:solidFill>
          </w14:textFill>
        </w:rPr>
        <w:t>全省国际产能合作专项出国费150万元，主要是落实省委省政府有关“一带一路”的调研、考察、学习任务，持续深耕“一带一路”沿线国家和地区、东盟地区，稳步推进乌干达湖南工业园、埃塞俄比亚湖南工业园等境外合作区建设。</w:t>
      </w:r>
      <w:r>
        <w:rPr>
          <w:rFonts w:hint="eastAsia" w:ascii="宋体" w:hAnsi="宋体" w:cs="宋体"/>
          <w:color w:val="000000" w:themeColor="text1"/>
          <w:sz w:val="32"/>
          <w:szCs w:val="32"/>
          <w14:textFill>
            <w14:solidFill>
              <w14:schemeClr w14:val="tx1"/>
            </w14:solidFill>
          </w14:textFill>
        </w:rPr>
        <w:t>③</w:t>
      </w:r>
      <w:r>
        <w:rPr>
          <w:rFonts w:eastAsia="仿宋_GB2312"/>
          <w:color w:val="000000" w:themeColor="text1"/>
          <w:sz w:val="32"/>
          <w:szCs w:val="32"/>
          <w14:textFill>
            <w14:solidFill>
              <w14:schemeClr w14:val="tx1"/>
            </w14:solidFill>
          </w14:textFill>
        </w:rPr>
        <w:t>能源专项工作经费150万元，主要用于全省农网改造、新能源建设及电厂建设协调工作；</w:t>
      </w:r>
      <w:r>
        <w:rPr>
          <w:rFonts w:hint="eastAsia" w:ascii="宋体" w:hAnsi="宋体" w:cs="宋体"/>
          <w:color w:val="000000" w:themeColor="text1"/>
          <w:sz w:val="32"/>
          <w:szCs w:val="32"/>
          <w14:textFill>
            <w14:solidFill>
              <w14:schemeClr w14:val="tx1"/>
            </w14:solidFill>
          </w14:textFill>
        </w:rPr>
        <w:t>④</w:t>
      </w:r>
      <w:r>
        <w:rPr>
          <w:rFonts w:eastAsia="仿宋_GB2312"/>
          <w:color w:val="000000" w:themeColor="text1"/>
          <w:sz w:val="32"/>
          <w:szCs w:val="32"/>
          <w14:textFill>
            <w14:solidFill>
              <w14:schemeClr w14:val="tx1"/>
            </w14:solidFill>
          </w14:textFill>
        </w:rPr>
        <w:t>双创活动周专项经费170万元，主要用于“大众创业万众创新”活动宣传工作；</w:t>
      </w:r>
      <w:r>
        <w:rPr>
          <w:rFonts w:hint="eastAsia" w:ascii="宋体" w:hAnsi="宋体" w:cs="宋体"/>
          <w:color w:val="000000" w:themeColor="text1"/>
          <w:sz w:val="32"/>
          <w:szCs w:val="32"/>
          <w14:textFill>
            <w14:solidFill>
              <w14:schemeClr w14:val="tx1"/>
            </w14:solidFill>
          </w14:textFill>
        </w:rPr>
        <w:t>⑤</w:t>
      </w:r>
      <w:r>
        <w:rPr>
          <w:rFonts w:eastAsia="仿宋_GB2312"/>
          <w:color w:val="000000" w:themeColor="text1"/>
          <w:sz w:val="32"/>
          <w:szCs w:val="32"/>
          <w14:textFill>
            <w14:solidFill>
              <w14:schemeClr w14:val="tx1"/>
            </w14:solidFill>
          </w14:textFill>
        </w:rPr>
        <w:t>碳达峰碳中和2000万元，主要用于节能评估、能耗“双控”、碳达峰碳中和专项；</w:t>
      </w:r>
      <w:r>
        <w:rPr>
          <w:rFonts w:hint="eastAsia" w:ascii="宋体" w:hAnsi="宋体" w:cs="宋体"/>
          <w:color w:val="000000" w:themeColor="text1"/>
          <w:sz w:val="32"/>
          <w:szCs w:val="32"/>
          <w14:textFill>
            <w14:solidFill>
              <w14:schemeClr w14:val="tx1"/>
            </w14:solidFill>
          </w14:textFill>
        </w:rPr>
        <w:t>⑥</w:t>
      </w:r>
      <w:r>
        <w:rPr>
          <w:rFonts w:eastAsia="仿宋_GB2312"/>
          <w:color w:val="000000" w:themeColor="text1"/>
          <w:sz w:val="32"/>
          <w:szCs w:val="32"/>
          <w14:textFill>
            <w14:solidFill>
              <w14:schemeClr w14:val="tx1"/>
            </w14:solidFill>
          </w14:textFill>
        </w:rPr>
        <w:t>办公及网络设备购置106万元，主要用于办公自动化设备更新、网络设备更新、升级维护及运输设备更新；</w:t>
      </w:r>
      <w:r>
        <w:rPr>
          <w:rFonts w:hint="eastAsia" w:ascii="宋体" w:hAnsi="宋体" w:cs="宋体"/>
          <w:color w:val="000000" w:themeColor="text1"/>
          <w:sz w:val="32"/>
          <w:szCs w:val="32"/>
          <w14:textFill>
            <w14:solidFill>
              <w14:schemeClr w14:val="tx1"/>
            </w14:solidFill>
          </w14:textFill>
        </w:rPr>
        <w:t>⑦</w:t>
      </w:r>
      <w:r>
        <w:rPr>
          <w:rFonts w:eastAsia="仿宋_GB2312"/>
          <w:color w:val="000000" w:themeColor="text1"/>
          <w:sz w:val="32"/>
          <w:szCs w:val="32"/>
          <w14:textFill>
            <w14:solidFill>
              <w14:schemeClr w14:val="tx1"/>
            </w14:solidFill>
          </w14:textFill>
        </w:rPr>
        <w:t>价格调控、物流统计等相关专项141.5万元，主要用于价格检查、调查、认证、监测和物流统计等方面工作；</w:t>
      </w:r>
      <w:r>
        <w:rPr>
          <w:rFonts w:hint="eastAsia" w:ascii="宋体" w:hAnsi="宋体" w:cs="宋体"/>
          <w:color w:val="000000" w:themeColor="text1"/>
          <w:sz w:val="32"/>
          <w:szCs w:val="32"/>
          <w14:textFill>
            <w14:solidFill>
              <w14:schemeClr w14:val="tx1"/>
            </w14:solidFill>
          </w14:textFill>
        </w:rPr>
        <w:t>⑧</w:t>
      </w:r>
      <w:r>
        <w:rPr>
          <w:rFonts w:eastAsia="仿宋_GB2312"/>
          <w:color w:val="000000" w:themeColor="text1"/>
          <w:sz w:val="32"/>
          <w:szCs w:val="32"/>
          <w14:textFill>
            <w14:solidFill>
              <w14:schemeClr w14:val="tx1"/>
            </w14:solidFill>
          </w14:textFill>
        </w:rPr>
        <w:t>理工职院建“双一流”专项310万元，主要用于争创国家级和省级“双一流”学科建设；</w:t>
      </w:r>
      <w:r>
        <w:rPr>
          <w:rFonts w:hint="eastAsia" w:ascii="宋体" w:hAnsi="宋体" w:cs="宋体"/>
          <w:color w:val="000000" w:themeColor="text1"/>
          <w:sz w:val="32"/>
          <w:szCs w:val="32"/>
          <w14:textFill>
            <w14:solidFill>
              <w14:schemeClr w14:val="tx1"/>
            </w14:solidFill>
          </w14:textFill>
        </w:rPr>
        <w:t>⑨</w:t>
      </w:r>
      <w:r>
        <w:rPr>
          <w:rFonts w:eastAsia="仿宋_GB2312"/>
          <w:color w:val="000000" w:themeColor="text1"/>
          <w:sz w:val="32"/>
          <w:szCs w:val="32"/>
          <w14:textFill>
            <w14:solidFill>
              <w14:schemeClr w14:val="tx1"/>
            </w14:solidFill>
          </w14:textFill>
        </w:rPr>
        <w:t>校舍维修246万元，主要用于理工职院校舍维修改造。</w:t>
      </w:r>
    </w:p>
    <w:p>
      <w:pPr>
        <w:widowControl/>
        <w:overflowPunct w:val="0"/>
        <w:spacing w:line="61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五、政府性基金预算支出</w:t>
      </w:r>
    </w:p>
    <w:p>
      <w:pPr>
        <w:widowControl/>
        <w:overflowPunct w:val="0"/>
        <w:spacing w:line="616" w:lineRule="exact"/>
        <w:ind w:firstLine="640" w:firstLineChars="200"/>
        <w:rPr>
          <w:rFonts w:eastAsia="仿宋_GB2312"/>
          <w:b/>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2022年本部门政府性基金支出预算0万元，我委不涉及政府性基金支出。</w:t>
      </w:r>
    </w:p>
    <w:p>
      <w:pPr>
        <w:widowControl/>
        <w:overflowPunct w:val="0"/>
        <w:spacing w:line="61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六、其他重要事项的情况说明</w:t>
      </w:r>
    </w:p>
    <w:p>
      <w:pPr>
        <w:widowControl/>
        <w:overflowPunct w:val="0"/>
        <w:spacing w:line="616"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（一）机关运行经费：</w:t>
      </w:r>
      <w:r>
        <w:rPr>
          <w:rFonts w:eastAsia="仿宋_GB2312"/>
          <w:color w:val="000000" w:themeColor="text1"/>
          <w:sz w:val="32"/>
          <w:szCs w:val="32"/>
          <w14:textFill>
            <w14:solidFill>
              <w14:schemeClr w14:val="tx1"/>
            </w14:solidFill>
          </w14:textFill>
        </w:rPr>
        <w:t>2022年本部门机关本级及委属6家行政事业单位的机关运行经费4135.09万元，比上年预算增加598.79万元，上升16.93%，主要是委机关工作需要，劳务派遣人员增加，劳务费较2021年增加155.6万元；理工职院物业管理范围和人员增加，价格上涨，物业管理费相比2021年增加228.61万元；理工职院动力谷分院教学楼和宿舍租赁，租赁费较2021年增加195万元。</w:t>
      </w:r>
    </w:p>
    <w:p>
      <w:pPr>
        <w:widowControl/>
        <w:overflowPunct w:val="0"/>
        <w:spacing w:line="616"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（二）“三公”经费预算：</w:t>
      </w:r>
      <w:r>
        <w:rPr>
          <w:rFonts w:eastAsia="仿宋_GB2312"/>
          <w:color w:val="000000" w:themeColor="text1"/>
          <w:sz w:val="32"/>
          <w:szCs w:val="32"/>
          <w14:textFill>
            <w14:solidFill>
              <w14:schemeClr w14:val="tx1"/>
            </w14:solidFill>
          </w14:textFill>
        </w:rPr>
        <w:t>2022年本部门机关本级及委属6家行政事业单位“三公”经费预算数为161.68万元，其中，公务接待费22.13万元，公务用车购置及运行费139.55万元（其中，更新公务用车3台购置费76万元，公务用车运行费63.55万元），因公出国（境）费0万元。2022年“三公”经费预算较2021年减少97万元，主要是大力压减“三公”经费，严格控制公务接待费和公车维护费，由于疫情原因缩减因公出国（境）费50万元。</w:t>
      </w:r>
      <w:r>
        <w:rPr>
          <w:rFonts w:eastAsia="仿宋_GB2312"/>
          <w:b/>
          <w:color w:val="000000" w:themeColor="text1"/>
          <w:sz w:val="32"/>
          <w:szCs w:val="32"/>
          <w:shd w:val="clear" w:color="auto" w:fill="FFFFFF"/>
          <w14:textFill>
            <w14:solidFill>
              <w14:schemeClr w14:val="tx1"/>
            </w14:solidFill>
          </w14:textFill>
        </w:rPr>
        <w:t>特别说明：从2018年起，由省委省政府批准全省国际产能合作“一带一路”专项出国经费由我委代管。2022年该专项预算金额为150万元，在此次“三公”经费公开表中未包含此专项。</w:t>
      </w:r>
    </w:p>
    <w:p>
      <w:pPr>
        <w:widowControl/>
        <w:overflowPunct w:val="0"/>
        <w:spacing w:line="616" w:lineRule="exact"/>
        <w:ind w:firstLine="643" w:firstLineChars="200"/>
        <w:rPr>
          <w:rFonts w:eastAsia="仿宋_GB2312"/>
          <w:b/>
          <w:bCs/>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（三）一般性支出情况：</w:t>
      </w:r>
      <w:r>
        <w:rPr>
          <w:rFonts w:eastAsia="仿宋_GB2312"/>
          <w:color w:val="000000" w:themeColor="text1"/>
          <w:sz w:val="32"/>
          <w:szCs w:val="32"/>
          <w14:textFill>
            <w14:solidFill>
              <w14:schemeClr w14:val="tx1"/>
            </w14:solidFill>
          </w14:textFill>
        </w:rPr>
        <w:t>2022年本部门会议费预算90.6万元，拟召开31次左右会议，人数约2830人，内容为全省发改工作会议、省公管委办公室会议、长株潭一体化领导小组和项目推进会议、价格听证会议、驻省、市发改委纪检监察组座谈会（上半年）（下半年）、全省发改外资和经贸半年工作会议、省委经济体制改革社会体制改革专项小组会议、服务业、就业、消费业务系统工作会议、全省价格工作会议、2022年招商引资项目开发培训会议、全省重点项目推进会、省重点建设项目片区推进会（长株潭片区、湘南片区、湘西处区、洞庭湖片区）、重点建设项目信息系统交流座谈会、全省投资工作会议、全省发改系统湘西地区开发工作会议、资环系统工作会议等。培训费预算111.06万元，拟开展36次培训，人数约22830人，内容为2022年法考培训、依法行政培训班、要素市场化配置改革政策培训会、安全生产教育培训、全省发改系统外资和经贸工作培训会、全省物流统计工作培训会、全省发改工业系统业务培训会、服务业专项工作培训会、就业、消费业务系统培训、碳达峰碳中和工作培训、年度资金申报及业务培训会、《湖南省社会信用条例》培训等。</w:t>
      </w:r>
      <w:r>
        <w:rPr>
          <w:rFonts w:eastAsia="仿宋_GB2312"/>
          <w:b/>
          <w:bCs/>
          <w:color w:val="000000" w:themeColor="text1"/>
          <w:sz w:val="32"/>
          <w:szCs w:val="32"/>
          <w14:textFill>
            <w14:solidFill>
              <w14:schemeClr w14:val="tx1"/>
            </w14:solidFill>
          </w14:textFill>
        </w:rPr>
        <w:t>无举办节庆、晚会、论坛、赛事活动</w:t>
      </w:r>
      <w:r>
        <w:rPr>
          <w:rFonts w:eastAsia="仿宋_GB2312"/>
          <w:b/>
          <w:bCs/>
          <w:color w:val="000000" w:themeColor="text1"/>
          <w:kern w:val="0"/>
          <w:sz w:val="32"/>
          <w:szCs w:val="32"/>
          <w14:textFill>
            <w14:solidFill>
              <w14:schemeClr w14:val="tx1"/>
            </w14:solidFill>
          </w14:textFill>
        </w:rPr>
        <w:t>。</w:t>
      </w:r>
    </w:p>
    <w:p>
      <w:pPr>
        <w:widowControl/>
        <w:overflowPunct w:val="0"/>
        <w:spacing w:line="616"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（四）政府采购情况：</w:t>
      </w:r>
      <w:r>
        <w:rPr>
          <w:rFonts w:eastAsia="仿宋_GB2312"/>
          <w:color w:val="000000" w:themeColor="text1"/>
          <w:sz w:val="32"/>
          <w:szCs w:val="32"/>
          <w14:textFill>
            <w14:solidFill>
              <w14:schemeClr w14:val="tx1"/>
            </w14:solidFill>
          </w14:textFill>
        </w:rPr>
        <w:t>2022年本部门政府采购预算总额   2593.90万元，</w:t>
      </w:r>
      <w:r>
        <w:rPr>
          <w:rFonts w:eastAsia="仿宋_GB2312"/>
          <w:color w:val="000000" w:themeColor="text1"/>
          <w:sz w:val="32"/>
          <w:szCs w:val="32"/>
          <w:shd w:val="clear" w:color="auto" w:fill="FFFFFF"/>
          <w14:textFill>
            <w14:solidFill>
              <w14:schemeClr w14:val="tx1"/>
            </w14:solidFill>
          </w14:textFill>
        </w:rPr>
        <w:t>其中，货物类采购预算306万元；工程类采购预算0万元；服务类采购预算2287.9万元（其中政府购买服务2020.2万元）。</w:t>
      </w:r>
    </w:p>
    <w:p>
      <w:pPr>
        <w:widowControl/>
        <w:overflowPunct w:val="0"/>
        <w:spacing w:line="616" w:lineRule="exact"/>
        <w:ind w:firstLine="643" w:firstLineChars="200"/>
        <w:rPr>
          <w:rFonts w:eastAsia="仿宋_GB2312"/>
          <w:bCs/>
          <w:color w:val="000000" w:themeColor="text1"/>
          <w:kern w:val="0"/>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（五）国有资产占用使用及新增资产配置情况：</w:t>
      </w:r>
      <w:r>
        <w:rPr>
          <w:rFonts w:eastAsia="仿宋_GB2312"/>
          <w:color w:val="000000" w:themeColor="text1"/>
          <w:sz w:val="32"/>
          <w:szCs w:val="32"/>
          <w14:textFill>
            <w14:solidFill>
              <w14:schemeClr w14:val="tx1"/>
            </w14:solidFill>
          </w14:textFill>
        </w:rPr>
        <w:t>截至2021年12月底，本部门</w:t>
      </w:r>
      <w:r>
        <w:rPr>
          <w:rFonts w:eastAsia="仿宋_GB2312"/>
          <w:bCs/>
          <w:color w:val="000000" w:themeColor="text1"/>
          <w:kern w:val="0"/>
          <w:sz w:val="32"/>
          <w:szCs w:val="32"/>
          <w14:textFill>
            <w14:solidFill>
              <w14:schemeClr w14:val="tx1"/>
            </w14:solidFill>
          </w14:textFill>
        </w:rPr>
        <w:t>共有公务用车25辆，其中，机要通信用车2辆，应急保障用车 0 辆，执法执勤用车 0 辆，特种专业技术用车7辆，其他按照规定配备的公务用车16辆；单位价值50万元以上通用设备0台，单位价值100万元以上专用设备0台。2022年拟新增配置公务用车3辆。</w:t>
      </w:r>
    </w:p>
    <w:p>
      <w:pPr>
        <w:widowControl/>
        <w:overflowPunct w:val="0"/>
        <w:spacing w:line="616" w:lineRule="exact"/>
        <w:ind w:firstLine="643" w:firstLineChars="200"/>
        <w:rPr>
          <w:rFonts w:eastAsia="仿宋_GB2312"/>
          <w:bCs/>
          <w:color w:val="000000" w:themeColor="text1"/>
          <w:kern w:val="0"/>
          <w:sz w:val="32"/>
          <w:szCs w:val="32"/>
          <w14:textFill>
            <w14:solidFill>
              <w14:schemeClr w14:val="tx1"/>
            </w14:solidFill>
          </w14:textFill>
        </w:rPr>
      </w:pPr>
      <w:r>
        <w:rPr>
          <w:rFonts w:eastAsia="楷体_GB2312"/>
          <w:b/>
          <w:bCs/>
          <w:color w:val="000000" w:themeColor="text1"/>
          <w:kern w:val="0"/>
          <w:sz w:val="32"/>
          <w:szCs w:val="32"/>
          <w:lang w:bidi="ar"/>
          <w14:textFill>
            <w14:solidFill>
              <w14:schemeClr w14:val="tx1"/>
            </w14:solidFill>
          </w14:textFill>
        </w:rPr>
        <w:t>（六）预算绩效目标说明：</w:t>
      </w:r>
      <w:r>
        <w:rPr>
          <w:rFonts w:eastAsia="仿宋_GB2312"/>
          <w:bCs/>
          <w:color w:val="000000" w:themeColor="text1"/>
          <w:kern w:val="0"/>
          <w:sz w:val="32"/>
          <w:szCs w:val="32"/>
          <w14:textFill>
            <w14:solidFill>
              <w14:schemeClr w14:val="tx1"/>
            </w14:solidFill>
          </w14:textFill>
        </w:rPr>
        <w:t>本部门所有支出实行绩效目标管理。纳入2022年部门整体支出绩效目标的金额为</w:t>
      </w:r>
      <w:r>
        <w:rPr>
          <w:rFonts w:eastAsia="仿宋_GB2312"/>
          <w:color w:val="000000" w:themeColor="text1"/>
          <w:sz w:val="32"/>
          <w:szCs w:val="32"/>
          <w14:textFill>
            <w14:solidFill>
              <w14:schemeClr w14:val="tx1"/>
            </w14:solidFill>
          </w14:textFill>
        </w:rPr>
        <w:t>28502.11</w:t>
      </w:r>
      <w:r>
        <w:rPr>
          <w:rFonts w:eastAsia="仿宋_GB2312"/>
          <w:bCs/>
          <w:color w:val="000000" w:themeColor="text1"/>
          <w:kern w:val="0"/>
          <w:sz w:val="32"/>
          <w:szCs w:val="32"/>
          <w14:textFill>
            <w14:solidFill>
              <w14:schemeClr w14:val="tx1"/>
            </w14:solidFill>
          </w14:textFill>
        </w:rPr>
        <w:t>万元，其中，基本支出</w:t>
      </w:r>
      <w:r>
        <w:rPr>
          <w:rFonts w:eastAsia="仿宋_GB2312"/>
          <w:color w:val="000000" w:themeColor="text1"/>
          <w:sz w:val="32"/>
          <w:szCs w:val="32"/>
          <w14:textFill>
            <w14:solidFill>
              <w14:schemeClr w14:val="tx1"/>
            </w14:solidFill>
          </w14:textFill>
        </w:rPr>
        <w:t>19587.67</w:t>
      </w:r>
      <w:r>
        <w:rPr>
          <w:rFonts w:eastAsia="仿宋_GB2312"/>
          <w:bCs/>
          <w:color w:val="000000" w:themeColor="text1"/>
          <w:kern w:val="0"/>
          <w:sz w:val="32"/>
          <w:szCs w:val="32"/>
          <w14:textFill>
            <w14:solidFill>
              <w14:schemeClr w14:val="tx1"/>
            </w14:solidFill>
          </w14:textFill>
        </w:rPr>
        <w:t>万元，项目支出</w:t>
      </w:r>
      <w:r>
        <w:rPr>
          <w:rFonts w:eastAsia="仿宋_GB2312"/>
          <w:color w:val="000000" w:themeColor="text1"/>
          <w:sz w:val="32"/>
          <w:szCs w:val="32"/>
          <w14:textFill>
            <w14:solidFill>
              <w14:schemeClr w14:val="tx1"/>
            </w14:solidFill>
          </w14:textFill>
        </w:rPr>
        <w:t>8914.44</w:t>
      </w:r>
      <w:r>
        <w:rPr>
          <w:rFonts w:eastAsia="仿宋_GB2312"/>
          <w:bCs/>
          <w:color w:val="000000" w:themeColor="text1"/>
          <w:kern w:val="0"/>
          <w:sz w:val="32"/>
          <w:szCs w:val="32"/>
          <w14:textFill>
            <w14:solidFill>
              <w14:schemeClr w14:val="tx1"/>
            </w14:solidFill>
          </w14:textFill>
        </w:rPr>
        <w:t>万元，具体绩效目标详见报表。</w:t>
      </w:r>
    </w:p>
    <w:p>
      <w:pPr>
        <w:widowControl/>
        <w:overflowPunct w:val="0"/>
        <w:spacing w:line="616"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七、名词解释</w:t>
      </w:r>
    </w:p>
    <w:p>
      <w:pPr>
        <w:pStyle w:val="4"/>
        <w:widowControl/>
        <w:shd w:val="clear" w:color="auto" w:fill="FFFFFF"/>
        <w:overflowPunct w:val="0"/>
        <w:spacing w:beforeAutospacing="0" w:afterAutospacing="0" w:line="616" w:lineRule="exact"/>
        <w:ind w:firstLine="643" w:firstLineChars="200"/>
        <w:jc w:val="both"/>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1、机关运行经费：</w:t>
      </w:r>
      <w:r>
        <w:rPr>
          <w:rFonts w:hint="eastAsia" w:ascii="仿宋_GB2312" w:eastAsia="仿宋_GB2312"/>
          <w:color w:val="000000" w:themeColor="text1"/>
          <w:sz w:val="32"/>
          <w:szCs w:val="32"/>
          <w:shd w:val="clear" w:color="auto" w:fill="FFFFFF"/>
          <w14:textFill>
            <w14:solidFill>
              <w14:schemeClr w14:val="tx1"/>
            </w14:solidFill>
          </w14:textFill>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4"/>
        <w:widowControl/>
        <w:shd w:val="clear" w:color="auto" w:fill="FFFFFF"/>
        <w:overflowPunct w:val="0"/>
        <w:spacing w:beforeAutospacing="0" w:afterAutospacing="0" w:line="616" w:lineRule="exact"/>
        <w:ind w:firstLine="643" w:firstLineChars="200"/>
        <w:jc w:val="both"/>
        <w:rPr>
          <w:rFonts w:eastAsia="仿宋_GB2312"/>
          <w:color w:val="000000" w:themeColor="text1"/>
          <w:sz w:val="32"/>
          <w:szCs w:val="32"/>
          <w:shd w:val="clear" w:color="auto" w:fill="FFFFFF"/>
          <w14:textFill>
            <w14:solidFill>
              <w14:schemeClr w14:val="tx1"/>
            </w14:solidFill>
          </w14:textFill>
        </w:rPr>
      </w:pPr>
      <w:r>
        <w:rPr>
          <w:rFonts w:eastAsia="楷体_GB2312"/>
          <w:b/>
          <w:bCs/>
          <w:color w:val="000000" w:themeColor="text1"/>
          <w:sz w:val="32"/>
          <w:szCs w:val="32"/>
          <w14:textFill>
            <w14:solidFill>
              <w14:schemeClr w14:val="tx1"/>
            </w14:solidFill>
          </w14:textFill>
        </w:rPr>
        <w:t>2、“三公”经费：</w:t>
      </w:r>
      <w:r>
        <w:rPr>
          <w:rFonts w:hint="eastAsia" w:ascii="仿宋_GB2312" w:eastAsia="仿宋_GB2312"/>
          <w:color w:val="000000" w:themeColor="text1"/>
          <w:sz w:val="32"/>
          <w:szCs w:val="32"/>
          <w:shd w:val="clear" w:color="auto" w:fill="FFFFFF"/>
          <w14:textFill>
            <w14:solidFill>
              <w14:schemeClr w14:val="tx1"/>
            </w14:solidFill>
          </w14:textFill>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sectPr>
      <w:footerReference r:id="rId3" w:type="default"/>
      <w:footerReference r:id="rId4" w:type="even"/>
      <w:pgSz w:w="11906" w:h="16838"/>
      <w:pgMar w:top="1871" w:right="1531" w:bottom="1531" w:left="1588" w:header="851" w:footer="1304" w:gutter="0"/>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526600"/>
    </w:sdtPr>
    <w:sdtEndPr>
      <w:rPr>
        <w:rFonts w:eastAsia="仿宋_GB2312"/>
        <w:sz w:val="28"/>
        <w:szCs w:val="28"/>
      </w:rPr>
    </w:sdtEndPr>
    <w:sdtContent>
      <w:p>
        <w:pPr>
          <w:pStyle w:val="2"/>
          <w:wordWrap w:val="0"/>
          <w:jc w:val="right"/>
          <w:rPr>
            <w:rFonts w:eastAsia="仿宋_GB2312"/>
            <w:sz w:val="28"/>
            <w:szCs w:val="28"/>
          </w:rPr>
        </w:pPr>
        <w:r>
          <w:rPr>
            <w:rFonts w:eastAsia="仿宋_GB2312"/>
            <w:sz w:val="28"/>
            <w:szCs w:val="28"/>
          </w:rPr>
          <w:t xml:space="preserve">— </w:t>
        </w:r>
        <w:r>
          <w:rPr>
            <w:rFonts w:eastAsia="仿宋_GB2312"/>
            <w:sz w:val="28"/>
            <w:szCs w:val="28"/>
          </w:rPr>
          <w:fldChar w:fldCharType="begin"/>
        </w:r>
        <w:r>
          <w:rPr>
            <w:rFonts w:eastAsia="仿宋_GB2312"/>
            <w:sz w:val="28"/>
            <w:szCs w:val="28"/>
          </w:rPr>
          <w:instrText xml:space="preserve">PAGE   \* MERGEFORMAT</w:instrText>
        </w:r>
        <w:r>
          <w:rPr>
            <w:rFonts w:eastAsia="仿宋_GB2312"/>
            <w:sz w:val="28"/>
            <w:szCs w:val="28"/>
          </w:rPr>
          <w:fldChar w:fldCharType="separate"/>
        </w:r>
        <w:r>
          <w:rPr>
            <w:rFonts w:eastAsia="仿宋_GB2312"/>
            <w:sz w:val="28"/>
            <w:szCs w:val="28"/>
            <w:lang w:val="zh-CN"/>
          </w:rPr>
          <w:t>11</w:t>
        </w:r>
        <w:r>
          <w:rPr>
            <w:rFonts w:eastAsia="仿宋_GB2312"/>
            <w:sz w:val="28"/>
            <w:szCs w:val="28"/>
          </w:rPr>
          <w:fldChar w:fldCharType="end"/>
        </w:r>
        <w:r>
          <w:rPr>
            <w:rFonts w:eastAsia="仿宋_GB2312"/>
            <w:sz w:val="28"/>
            <w:szCs w:val="28"/>
          </w:rPr>
          <w:t xml:space="preserve"> —</w:t>
        </w:r>
        <w:r>
          <w:rPr>
            <w:rFonts w:hint="eastAsia" w:eastAsia="仿宋_GB2312"/>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4640"/>
    </w:sdtPr>
    <w:sdtEndPr>
      <w:rPr>
        <w:rFonts w:eastAsia="仿宋_GB2312"/>
        <w:sz w:val="28"/>
        <w:szCs w:val="28"/>
      </w:rPr>
    </w:sdtEndPr>
    <w:sdtContent>
      <w:p>
        <w:pPr>
          <w:pStyle w:val="2"/>
          <w:wordWrap w:val="0"/>
          <w:ind w:right="720" w:firstLine="360" w:firstLineChars="200"/>
          <w:rPr>
            <w:rFonts w:eastAsia="仿宋_GB2312"/>
            <w:sz w:val="28"/>
            <w:szCs w:val="28"/>
          </w:rPr>
        </w:pPr>
        <w:r>
          <w:rPr>
            <w:rFonts w:eastAsia="仿宋_GB2312"/>
            <w:sz w:val="28"/>
            <w:szCs w:val="28"/>
          </w:rPr>
          <w:t xml:space="preserve">— </w:t>
        </w:r>
        <w:r>
          <w:rPr>
            <w:rFonts w:eastAsia="仿宋_GB2312"/>
            <w:sz w:val="28"/>
            <w:szCs w:val="28"/>
          </w:rPr>
          <w:fldChar w:fldCharType="begin"/>
        </w:r>
        <w:r>
          <w:rPr>
            <w:rFonts w:eastAsia="仿宋_GB2312"/>
            <w:sz w:val="28"/>
            <w:szCs w:val="28"/>
          </w:rPr>
          <w:instrText xml:space="preserve">PAGE   \* MERGEFORMAT</w:instrText>
        </w:r>
        <w:r>
          <w:rPr>
            <w:rFonts w:eastAsia="仿宋_GB2312"/>
            <w:sz w:val="28"/>
            <w:szCs w:val="28"/>
          </w:rPr>
          <w:fldChar w:fldCharType="separate"/>
        </w:r>
        <w:r>
          <w:rPr>
            <w:rFonts w:eastAsia="仿宋_GB2312"/>
            <w:sz w:val="28"/>
            <w:szCs w:val="28"/>
            <w:lang w:val="zh-CN"/>
          </w:rPr>
          <w:t>10</w:t>
        </w:r>
        <w:r>
          <w:rPr>
            <w:rFonts w:eastAsia="仿宋_GB2312"/>
            <w:sz w:val="28"/>
            <w:szCs w:val="28"/>
          </w:rPr>
          <w:fldChar w:fldCharType="end"/>
        </w:r>
        <w:r>
          <w:rPr>
            <w:rFonts w:eastAsia="仿宋_GB2312"/>
            <w:sz w:val="28"/>
            <w:szCs w:val="28"/>
          </w:rPr>
          <w:t xml:space="preserve"> —</w:t>
        </w:r>
        <w:r>
          <w:rPr>
            <w:rFonts w:hint="eastAsia" w:eastAsia="仿宋_GB2312"/>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9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3C"/>
    <w:rsid w:val="0033453C"/>
    <w:rsid w:val="0081102B"/>
    <w:rsid w:val="00BC353A"/>
    <w:rsid w:val="01A86C8C"/>
    <w:rsid w:val="02583D9C"/>
    <w:rsid w:val="03A66181"/>
    <w:rsid w:val="04766FB8"/>
    <w:rsid w:val="063A5AA2"/>
    <w:rsid w:val="0A412B25"/>
    <w:rsid w:val="0C125155"/>
    <w:rsid w:val="0F18228B"/>
    <w:rsid w:val="10D362A2"/>
    <w:rsid w:val="14721283"/>
    <w:rsid w:val="1A894D5E"/>
    <w:rsid w:val="1C01334A"/>
    <w:rsid w:val="1C21507B"/>
    <w:rsid w:val="1CA42061"/>
    <w:rsid w:val="1F905BD4"/>
    <w:rsid w:val="205853BB"/>
    <w:rsid w:val="225D1A23"/>
    <w:rsid w:val="263E3314"/>
    <w:rsid w:val="267D31B4"/>
    <w:rsid w:val="27F97FE5"/>
    <w:rsid w:val="29CF4FD1"/>
    <w:rsid w:val="2BE75EAC"/>
    <w:rsid w:val="2D6647BB"/>
    <w:rsid w:val="327337D4"/>
    <w:rsid w:val="34AD3BE8"/>
    <w:rsid w:val="354255F3"/>
    <w:rsid w:val="36AC7687"/>
    <w:rsid w:val="378F0D43"/>
    <w:rsid w:val="412F6DC2"/>
    <w:rsid w:val="44F33565"/>
    <w:rsid w:val="496118E1"/>
    <w:rsid w:val="497D78CF"/>
    <w:rsid w:val="51D925E1"/>
    <w:rsid w:val="52D97458"/>
    <w:rsid w:val="56071E68"/>
    <w:rsid w:val="5BF16C86"/>
    <w:rsid w:val="5CF15E0F"/>
    <w:rsid w:val="5E6C6A42"/>
    <w:rsid w:val="5F3F630E"/>
    <w:rsid w:val="5F750C2C"/>
    <w:rsid w:val="62A24AB6"/>
    <w:rsid w:val="670F3C0E"/>
    <w:rsid w:val="68E05A7B"/>
    <w:rsid w:val="70D81DFC"/>
    <w:rsid w:val="733C0994"/>
    <w:rsid w:val="73504FC3"/>
    <w:rsid w:val="75154AD1"/>
    <w:rsid w:val="79C442BB"/>
    <w:rsid w:val="7A2A7695"/>
    <w:rsid w:val="7D1C7A5E"/>
    <w:rsid w:val="7D2E25B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2A8B0-957C-4279-9C92-3935C6260C0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783</Words>
  <Characters>4464</Characters>
  <Lines>37</Lines>
  <Paragraphs>10</Paragraphs>
  <ScaleCrop>false</ScaleCrop>
  <LinksUpToDate>false</LinksUpToDate>
  <CharactersWithSpaces>5237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陈宇新</dc:creator>
  <cp:lastModifiedBy>龚芳</cp:lastModifiedBy>
  <cp:lastPrinted>2022-02-15T06:58:00Z</cp:lastPrinted>
  <dcterms:modified xsi:type="dcterms:W3CDTF">2022-02-22T01:37:27Z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