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9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</w:rPr>
        <w:t>中共湖南省委金融委员会办公室</w:t>
      </w:r>
    </w:p>
    <w:p>
      <w:pPr>
        <w:widowControl/>
        <w:shd w:val="clear" w:color="auto" w:fill="FFFFFF"/>
        <w:spacing w:line="579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</w:rPr>
        <w:t>部门预算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方正小标宋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第一部分 </w:t>
      </w:r>
      <w:r>
        <w:rPr>
          <w:rFonts w:hint="default" w:ascii="Times New Roman" w:hAnsi="Times New Roman" w:eastAsia="方正小标宋_GBK" w:cs="Times New Roman"/>
          <w:b/>
          <w:bCs/>
          <w:kern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年部门预算说明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第二部分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年部门预算表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2、收入总表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3、支出总表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4、支出预算分类汇总表（按政府预算经济分类）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5、支出预算分类汇总表（按部门预算经济分类）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6、财政拨款收支总表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7、一般公共预算支出表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8、一般公共预算基本支出表-人员经费（工资福利支出）（按政府预算经济分类）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9、一般公共预算基本支出表-人员经费（工资福利支出）（按部门预算经济分类）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10、一般公共预算基本支出表-人员经费（对个人和家庭的补助）（按政府预算经济分类）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11、一般公共预算基本支出表-人员经费（对个人和家庭的补助）（按部门预算经济分类）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12、一般公共预算基本支出表-公用经费（商品和服务支出）（按政府预算经济分类）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13、一般公共预算基本支出表-公用经费（商品和服务支出）（按部门预算经济分类）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14、一般公共预算“三公”经费支出表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15、政府性基金预算支出表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16、政府性基金预算支出分类汇总表（按政府预算经济分类）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17、政府性基金预算支出分类汇总表（按部门预算经济分类）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18、国有资本经营预算支出表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19、财政专户管理资金预算支出表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20、省级专项资金预算汇总表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21、省级专项资金绩效目标表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22、其他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hd w:val="clear" w:color="auto" w:fill="FFFFFF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spacing w:line="579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spacing w:line="579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</w:rPr>
      </w:pPr>
    </w:p>
    <w:p>
      <w:pPr>
        <w:widowControl/>
        <w:shd w:val="clear" w:color="auto" w:fill="FFFFFF"/>
        <w:spacing w:line="579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</w:rPr>
        <w:t xml:space="preserve">第一部分  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44"/>
          <w:szCs w:val="44"/>
        </w:rPr>
        <w:t>年部门预算说明</w:t>
      </w:r>
    </w:p>
    <w:p>
      <w:pPr>
        <w:widowControl/>
        <w:shd w:val="clear" w:color="auto" w:fill="FFFFFF"/>
        <w:spacing w:line="579" w:lineRule="exact"/>
        <w:rPr>
          <w:rFonts w:hint="default" w:ascii="Times New Roman" w:hAnsi="Times New Roman" w:eastAsia="微软雅黑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Cs w:val="21"/>
        </w:rPr>
        <w:t>　 </w:t>
      </w:r>
    </w:p>
    <w:p>
      <w:pPr>
        <w:widowControl/>
        <w:shd w:val="clear" w:color="auto" w:fill="FFFFFF"/>
        <w:spacing w:line="579" w:lineRule="exact"/>
        <w:rPr>
          <w:rFonts w:hint="default" w:ascii="Times New Roman" w:hAnsi="Times New Roman" w:eastAsia="微软雅黑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微软雅黑" w:cs="Times New Roman"/>
          <w:color w:val="000000" w:themeColor="text1"/>
          <w:kern w:val="0"/>
          <w:szCs w:val="21"/>
        </w:rPr>
        <w:t> 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</w:rPr>
        <w:t> 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</w:rPr>
        <w:t>一、部门基本概况</w:t>
      </w:r>
    </w:p>
    <w:p>
      <w:pPr>
        <w:widowControl/>
        <w:shd w:val="clear" w:color="auto" w:fill="FFFFFF"/>
        <w:spacing w:line="579" w:lineRule="exact"/>
        <w:ind w:firstLine="420"/>
        <w:rPr>
          <w:rFonts w:hint="default" w:ascii="Times New Roman" w:hAnsi="Times New Roman" w:eastAsia="楷体_GB2312" w:cs="Times New Roman"/>
          <w:bCs/>
          <w:color w:val="000000" w:themeColor="text1"/>
          <w:kern w:val="0"/>
          <w:sz w:val="32"/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kern w:val="0"/>
          <w:sz w:val="32"/>
        </w:rPr>
        <w:t>（一）职能职责</w:t>
      </w:r>
    </w:p>
    <w:p>
      <w:pPr>
        <w:widowControl/>
        <w:shd w:val="clear" w:color="auto" w:fill="FFFFFF"/>
        <w:spacing w:line="579" w:lineRule="exact"/>
        <w:ind w:firstLine="420"/>
        <w:rPr>
          <w:rFonts w:hint="default" w:ascii="Times New Roman" w:hAnsi="Times New Roman" w:eastAsia="楷体_GB2312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kern w:val="0"/>
          <w:sz w:val="32"/>
        </w:rPr>
        <w:t>（二）机构设置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9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根据《省委办公厅关于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印发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/>
        </w:rPr>
        <w:t>省委金融办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省委金融工委职能配置内设机构等规定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的通知》，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省委金融办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系财政全额拨款的正厅级行政单位，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下设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个内设机构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分别为综合处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政策研究室（法规处）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协调一处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协调二处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风险防控一处、风险防控二处、组织处、督查指导处、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监管一处、监管二处和机关党委（人事处）。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另设正处级公益一类直属事业单位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省委金融办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信息中心。</w:t>
      </w:r>
    </w:p>
    <w:p>
      <w:pPr>
        <w:widowControl/>
        <w:shd w:val="clear" w:color="auto" w:fill="FFFFFF"/>
        <w:spacing w:line="579" w:lineRule="exact"/>
        <w:rPr>
          <w:rFonts w:hint="default" w:ascii="Times New Roman" w:hAnsi="Times New Roman" w:eastAsia="黑体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　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</w:rPr>
        <w:t>　二、部门预算单位构成</w:t>
      </w:r>
    </w:p>
    <w:p>
      <w:pPr>
        <w:widowControl/>
        <w:shd w:val="clear" w:color="auto" w:fill="FFFFFF"/>
        <w:spacing w:line="579" w:lineRule="exact"/>
        <w:rPr>
          <w:rFonts w:hint="default" w:ascii="Times New Roman" w:hAnsi="Times New Roman" w:eastAsia="仿宋_GB2312" w:cs="Times New Roman"/>
          <w:color w:val="000000" w:themeColor="text1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　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/>
        </w:rPr>
        <w:t>省委金融办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只有本级，没有其他预算单位，因此本部门预算仅含本级预算。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jc w:val="both"/>
        <w:rPr>
          <w:rFonts w:hint="default" w:ascii="Times New Roman" w:hAnsi="Times New Roman" w:eastAsia="微软雅黑" w:cs="Times New Roman"/>
          <w:color w:val="000000" w:themeColor="text1"/>
          <w:sz w:val="21"/>
          <w:szCs w:val="21"/>
        </w:rPr>
      </w:pPr>
      <w:r>
        <w:rPr>
          <w:rFonts w:hint="default" w:ascii="Times New Roman" w:hAnsi="Times New Roman" w:eastAsia="新宋体" w:cs="Times New Roman"/>
          <w:color w:val="000000" w:themeColor="text1"/>
          <w:sz w:val="32"/>
          <w:szCs w:val="32"/>
        </w:rPr>
        <w:t xml:space="preserve">　 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三、部门收支总体情况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ind w:firstLine="630"/>
        <w:jc w:val="both"/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</w:rPr>
        <w:t>（一）收入预算。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包括一般公共预算、政府性基金、国有资本经营预算等财政拨款收入，以及经营收入、事业收入和上年结转结余等单位资金。202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年本部门收入预算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4026.69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万元，其中：本年一般公共预算拨款收入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3852.59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万元，政府性基金预算拨款收入0万元，国有资本经营预算拨款收入0万元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纳入专户管理的非税收入0万元，上年结转结余一般公共预算拨款收入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174.10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万元。收入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较去年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1028.5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主要增加了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减少了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内容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增加新录用公务员人员经费预算174.5万元；二是增加全省金融干部培训经费200万元；三是离退休人员减员核减预算3.5万元；四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减少省地方金融风险监测预警平台项目建设工程款预算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1392万元；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是上年结转结余一般公共预算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较202</w:t>
      </w:r>
      <w:r>
        <w:rPr>
          <w:rFonts w:hint="eastAsia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减少7.5万元。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</w:rPr>
        <w:t xml:space="preserve">  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</w:rPr>
        <w:t>（二）支出预算。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年本部门支出预算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4026.69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其中，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教育支出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314万元、文化旅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游体育与传媒支出305万元、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社会保障和就业支出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411.5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万元、金融支出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2836.19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万元、住房保障支出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支出较去年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1028.5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万元，主要由以下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项组成：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一是减少一般公共服务支出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1.45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</w:rPr>
        <w:t>金融支出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196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7.95万元，主要是减少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省地方金融风险监测预警平台项目建设工程款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1392万元；三是增加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教育支出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314万元；四是增加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文化旅游体育与传媒支出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305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；五是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增加社会保障和就业支出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303.5万元；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住房保障支出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18.4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ind w:firstLine="640" w:firstLineChars="200"/>
        <w:jc w:val="both"/>
        <w:rPr>
          <w:rFonts w:hint="default" w:ascii="Times New Roman" w:hAnsi="Times New Roman" w:eastAsia="微软雅黑" w:cs="Times New Roman"/>
          <w:color w:val="000000" w:themeColor="text1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四、一般公共预算拨款支出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ind w:firstLine="640"/>
        <w:jc w:val="both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年本部门一般公共预算拨款支出预算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4026.69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万元，其中，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教育支出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314万元，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7.80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%；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文化旅游体育与传媒支出305万元，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7.57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%；社会保障和就业支出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411.5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10.22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金融支出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2836.19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70.44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%；住房保障支出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3.97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具体安排情况如下：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　　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</w:rPr>
        <w:t>（一）基本支出。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年本部门基本支出预算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2343.5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58.20%，主要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是保障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正常运转、完成日常工作任务而发生的各项支出，包括用于基本工资、津贴补贴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、对个人和家庭补助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等人员经费以及办公费、印刷费、水电费、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差旅费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等公用经费。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ind w:firstLine="689"/>
        <w:jc w:val="both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</w:rPr>
        <w:t>（二）项目支出。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年本部门项目支出预算数为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1683.19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41.80%，主要是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为完成特定工作任务或事业发展目标而发生的支出，包括业务工作经费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运行维护经费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和事业发展经费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。其中：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金融监管事业发展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818.80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金融干部培训、湖南金融宣传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和省地方金融监测预警平台数据购置及等级测试等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方面；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金融监管业务工作经费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709.35万元，主要用于地方金融风险防范、地方金融风险监管业务工作支出等方面；金融监管系统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运行维护经费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155.04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万元，主要用于省地方金融征信与监管服务平台运行维护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五、政府性基金预算支出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本部门202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年无政府性基金安排的支出。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ind w:firstLine="645"/>
        <w:jc w:val="both"/>
        <w:rPr>
          <w:rFonts w:hint="default" w:ascii="Times New Roman" w:hAnsi="Times New Roman" w:eastAsia="黑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六、其他重要事项的情况说明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　　</w:t>
      </w:r>
      <w:r>
        <w:rPr>
          <w:rStyle w:val="9"/>
          <w:rFonts w:hint="default" w:ascii="Times New Roman" w:hAnsi="Times New Roman" w:eastAsia="楷体_GB2312" w:cs="Times New Roman"/>
          <w:b w:val="0"/>
          <w:color w:val="000000" w:themeColor="text1"/>
          <w:sz w:val="32"/>
          <w:szCs w:val="32"/>
        </w:rPr>
        <w:t>（一）机关运行经费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年本部门机关运行经费预算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385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万元，比202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此项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增幅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5.77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主要是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机构改革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</w:rPr>
        <w:t>后机构编制人数增加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 w:eastAsia="zh-CN"/>
        </w:rPr>
        <w:t>机关运行经费预算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增加了水电费、其他交通费和其他商品服务支出预算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w w:val="98"/>
          <w:sz w:val="32"/>
          <w:szCs w:val="32"/>
          <w:lang w:val="en-US" w:eastAsia="zh-CN"/>
        </w:rPr>
      </w:pPr>
      <w:r>
        <w:rPr>
          <w:rStyle w:val="9"/>
          <w:rFonts w:hint="default" w:ascii="Times New Roman" w:hAnsi="Times New Roman" w:eastAsia="楷体_GB2312" w:cs="Times New Roman"/>
          <w:b w:val="0"/>
          <w:color w:val="000000" w:themeColor="text1"/>
          <w:sz w:val="32"/>
          <w:szCs w:val="32"/>
        </w:rPr>
        <w:t>（二）“三公”经费预算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</w:rPr>
        <w:t>“三公经费”支出预算为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</w:rPr>
        <w:t>万元，其中公务接待费预算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</w:rPr>
        <w:t>万元，公务用车购置及运行维护费预算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lang w:val="en-US" w:eastAsia="zh-CN"/>
        </w:rPr>
        <w:t>51.5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（其中，公务用车购置费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0万元，公务用车运行维护费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21.5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万元）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</w:rPr>
        <w:t>，因公出国（境）费预算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“三公”经费预算较202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持平，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  <w:lang w:eastAsia="zh-CN"/>
        </w:rPr>
        <w:t>主要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为：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公务用车购置及运行维护费预算较上年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17.5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增幅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51.47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%，原因是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2025年办机关新增2辆公务用车预算30万元；二是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公务接待费预算较上年减少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11.5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万元，降幅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82.14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因公出国（境）费预算较上年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，降幅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33.33%，两项经费预算大幅下降，原因是根据预算编制中“三公”经费总量“只减不增”的要求，办机关新增2辆公务用车购车预算从公务接待</w:t>
      </w:r>
      <w:r>
        <w:rPr>
          <w:rFonts w:hint="default" w:ascii="Times New Roman" w:hAnsi="Times New Roman" w:eastAsia="仿宋_GB2312" w:cs="Times New Roman"/>
          <w:color w:val="000000" w:themeColor="text1"/>
          <w:w w:val="98"/>
          <w:sz w:val="32"/>
          <w:szCs w:val="32"/>
        </w:rPr>
        <w:t>费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</w:rPr>
        <w:t>因公出国（境）费预算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lang w:eastAsia="zh-CN"/>
        </w:rPr>
        <w:t>中进行调剂。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ind w:firstLine="63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</w:rPr>
        <w:t>（三）一般性支出情况。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年本部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门会议费预算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20.50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万元，拟召开地方金融组织接入省信用信息共享平台动员会议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、湖南省防范化解金融风险问责工作座谈会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等，预计参会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主要内容是总结推动地方金融组织接入省信用信息共享平台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座谈交流我省防范化解金融风险问责工作机制等。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培训费预算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345.85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拟开展全省金融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干部培训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、中小金融机构风险处置培训班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、上市专题培训、上市公司董监高培训、融资租赁、商业保理公司监管培训、地方金融组织监管培训、非法集资案件风险处置工作培训、全省地方金融系统兼职通讯员培训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等，预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算培训人数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人，主要内容为对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全省金融系统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</w:rPr>
        <w:t>领导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干部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</w:rPr>
        <w:t>、省属金融企业相关部门负责人和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省内上市企业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高层干部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"/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进行业务知识培训。未计划举办节庆、晚会、论坛、赛事等活动。</w:t>
      </w:r>
    </w:p>
    <w:p>
      <w:pPr>
        <w:pStyle w:val="6"/>
        <w:shd w:val="clear" w:color="auto" w:fill="FFFFFF"/>
        <w:spacing w:before="0" w:beforeAutospacing="0" w:after="0" w:afterAutospacing="0" w:line="579" w:lineRule="exact"/>
        <w:jc w:val="both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　　</w:t>
      </w:r>
      <w:r>
        <w:rPr>
          <w:rStyle w:val="9"/>
          <w:rFonts w:hint="default" w:ascii="Times New Roman" w:hAnsi="Times New Roman" w:eastAsia="楷体_GB2312" w:cs="Times New Roman"/>
          <w:b w:val="0"/>
          <w:color w:val="000000" w:themeColor="text1"/>
          <w:sz w:val="32"/>
          <w:szCs w:val="32"/>
        </w:rPr>
        <w:t>（四）政府采购预算。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年本部门政府采购预算总额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1086.5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万元，其中：政府采购货物预算0万元、政府采购工程预算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万元、政府采购服务预算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1086.5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万元。</w:t>
      </w:r>
    </w:p>
    <w:p>
      <w:pPr>
        <w:widowControl/>
        <w:spacing w:line="579" w:lineRule="exact"/>
        <w:ind w:firstLine="660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</w:rPr>
        <w:t>（五）国有资产占用使用及新增资产配置情况。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目前，本部门实际共有车辆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辆，其中：领导干部用车1辆，一般公务用车5辆（包括信息中心1辆），一般执法执勤用车0辆，特种专业技术用车0辆，其他用车0辆。单位价值50万元以上通用设备0台，单位价值100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以上专用设备0台。2025年拟新增配置公务用车2辆，其中：领导干部用车0辆，一般公务用车2辆，一般执法执勤用车0辆，特种专业技术用车0辆，其他用车0辆。单位价值50万元以上通用设备0台，单位价值100万元以上专用设备0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</w:rPr>
        <w:t>（六）预算绩效目标说明。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本部门所有支出实行绩效目标管理。纳入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年部门整体支出绩效目标的金额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3852.59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（不含上年结转经费）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，其中，基本支出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2343.5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项目支出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1509.09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具体绩效目标详见报表。</w:t>
      </w:r>
    </w:p>
    <w:p>
      <w:pPr>
        <w:widowControl/>
        <w:spacing w:line="579" w:lineRule="exact"/>
        <w:ind w:firstLine="66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七、名词解释</w:t>
      </w:r>
    </w:p>
    <w:p>
      <w:pPr>
        <w:widowControl/>
        <w:spacing w:line="579" w:lineRule="exact"/>
        <w:ind w:firstLine="66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579" w:lineRule="exact"/>
        <w:ind w:firstLine="66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pStyle w:val="6"/>
        <w:shd w:val="clear" w:color="auto" w:fill="FFFFFF"/>
        <w:spacing w:before="0" w:beforeAutospacing="0" w:after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</w:rPr>
      </w:pPr>
    </w:p>
    <w:p>
      <w:pPr>
        <w:pStyle w:val="6"/>
        <w:shd w:val="clear" w:color="auto" w:fill="FFFFFF"/>
        <w:spacing w:before="0" w:beforeAutospacing="0" w:after="0" w:afterAutospacing="0" w:line="600" w:lineRule="exact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</w:rPr>
        <w:t xml:space="preserve">第二部分  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kern w:val="0"/>
          <w:sz w:val="36"/>
          <w:szCs w:val="36"/>
        </w:rPr>
        <w:t>年部门预算表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8、一般公共预算基本支出表-人员经费（工资福利支出）（按政府预算经济分类）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9、一般公共预算基本支出表-人员经费（工资福利支出）（按部门预算经济分类）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10、一般公共预算基本支出表-人员经费（对个人和家庭的补助）（按政府预算经济分类）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11、一般公共预算基本支出表-人员经费（对个人和家庭的补助）（按部门预算经济分类）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12、一般公共预算基本支出表-公用经费（商品和服务支出）（按政府预算经济分类）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13、一般公共预算基本支出表-公用经费（商品和服务支出）（按部门预算经济分类）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14、一般公共预算“三公”经费支出表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15、政府性基金预算支出表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16、政府性基金预算支出分类汇总表（按政府预算经济分类）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17、政府性基金预算支出分类汇总表（按部门预算经济分类）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18、国有资本经营预算支出表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19、财政专户管理资金预算支出表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20、省级专项资金预算汇总表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21、省级专项资金绩效目标表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22、其他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23、部门整体支出绩效目标表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630"/>
        <w:rPr>
          <w:rFonts w:hint="default" w:ascii="Times New Roman" w:hAnsi="Times New Roman" w:eastAsia="仿宋_GB2312" w:cs="Times New Roman"/>
          <w:color w:val="000000" w:themeColor="text1"/>
          <w:sz w:val="21"/>
          <w:szCs w:val="21"/>
        </w:rPr>
      </w:pPr>
    </w:p>
    <w:p>
      <w:pPr>
        <w:pStyle w:val="6"/>
        <w:shd w:val="clear" w:color="auto" w:fill="FFFFFF"/>
        <w:spacing w:before="0" w:beforeAutospacing="0" w:after="0" w:afterAutospacing="0" w:line="600" w:lineRule="exact"/>
        <w:ind w:firstLine="480" w:firstLineChars="15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315775"/>
                  <w:docPartObj>
                    <w:docPartGallery w:val="autotext"/>
                  </w:docPartObj>
                </w:sdtPr>
                <w:sdtEndP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sdtEndPr>
                <w:sdtContent>
                  <w:p>
                    <w:pPr>
                      <w:pStyle w:val="5"/>
                      <w:jc w:val="righ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sdtContent>
              </w:sdt>
              <w:p>
                <w:pPr>
                  <w:pStyle w:val="2"/>
                </w:pP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729C"/>
    <w:rsid w:val="000058D0"/>
    <w:rsid w:val="0001104A"/>
    <w:rsid w:val="00021900"/>
    <w:rsid w:val="00023013"/>
    <w:rsid w:val="00024C53"/>
    <w:rsid w:val="0004622E"/>
    <w:rsid w:val="000502FA"/>
    <w:rsid w:val="00056539"/>
    <w:rsid w:val="0005741D"/>
    <w:rsid w:val="0006619A"/>
    <w:rsid w:val="00067D45"/>
    <w:rsid w:val="00085723"/>
    <w:rsid w:val="000A0F73"/>
    <w:rsid w:val="000A1CE3"/>
    <w:rsid w:val="000A7E75"/>
    <w:rsid w:val="000B73FA"/>
    <w:rsid w:val="000B7DA5"/>
    <w:rsid w:val="000F0540"/>
    <w:rsid w:val="00112615"/>
    <w:rsid w:val="00131193"/>
    <w:rsid w:val="0015688D"/>
    <w:rsid w:val="00174BD8"/>
    <w:rsid w:val="0019160C"/>
    <w:rsid w:val="001B717F"/>
    <w:rsid w:val="001C27DE"/>
    <w:rsid w:val="001E3129"/>
    <w:rsid w:val="001F60EE"/>
    <w:rsid w:val="00200DDA"/>
    <w:rsid w:val="00201E97"/>
    <w:rsid w:val="00202D88"/>
    <w:rsid w:val="0021048D"/>
    <w:rsid w:val="00211646"/>
    <w:rsid w:val="00215D40"/>
    <w:rsid w:val="00222100"/>
    <w:rsid w:val="00243838"/>
    <w:rsid w:val="0026216E"/>
    <w:rsid w:val="002811D6"/>
    <w:rsid w:val="00294640"/>
    <w:rsid w:val="002B798C"/>
    <w:rsid w:val="002C1D2C"/>
    <w:rsid w:val="002C4CBA"/>
    <w:rsid w:val="002D581D"/>
    <w:rsid w:val="002F1A0B"/>
    <w:rsid w:val="003230FA"/>
    <w:rsid w:val="0032403B"/>
    <w:rsid w:val="003244BA"/>
    <w:rsid w:val="00351F04"/>
    <w:rsid w:val="00375448"/>
    <w:rsid w:val="0039729C"/>
    <w:rsid w:val="003A101E"/>
    <w:rsid w:val="003A4A4F"/>
    <w:rsid w:val="003B068E"/>
    <w:rsid w:val="003B2E46"/>
    <w:rsid w:val="003C0FAE"/>
    <w:rsid w:val="003D065D"/>
    <w:rsid w:val="003D1137"/>
    <w:rsid w:val="003E7FB2"/>
    <w:rsid w:val="004047BF"/>
    <w:rsid w:val="004110CD"/>
    <w:rsid w:val="004219C0"/>
    <w:rsid w:val="00432E10"/>
    <w:rsid w:val="00465460"/>
    <w:rsid w:val="00491AE2"/>
    <w:rsid w:val="004A5EC8"/>
    <w:rsid w:val="004B55E1"/>
    <w:rsid w:val="004E02CF"/>
    <w:rsid w:val="004F5596"/>
    <w:rsid w:val="0050266D"/>
    <w:rsid w:val="00502D43"/>
    <w:rsid w:val="0050701A"/>
    <w:rsid w:val="00515199"/>
    <w:rsid w:val="0052508B"/>
    <w:rsid w:val="00544041"/>
    <w:rsid w:val="00547532"/>
    <w:rsid w:val="00596A40"/>
    <w:rsid w:val="005B1F0E"/>
    <w:rsid w:val="005D1250"/>
    <w:rsid w:val="005E70C7"/>
    <w:rsid w:val="005F29A9"/>
    <w:rsid w:val="00620DD0"/>
    <w:rsid w:val="00627A9E"/>
    <w:rsid w:val="00632E4A"/>
    <w:rsid w:val="0063471F"/>
    <w:rsid w:val="00643A74"/>
    <w:rsid w:val="006650DF"/>
    <w:rsid w:val="0067098A"/>
    <w:rsid w:val="00672449"/>
    <w:rsid w:val="00675EB2"/>
    <w:rsid w:val="006844E8"/>
    <w:rsid w:val="006A5266"/>
    <w:rsid w:val="006A5391"/>
    <w:rsid w:val="006A63DA"/>
    <w:rsid w:val="006B4517"/>
    <w:rsid w:val="006C32D6"/>
    <w:rsid w:val="006D407A"/>
    <w:rsid w:val="006E61A4"/>
    <w:rsid w:val="00704EBD"/>
    <w:rsid w:val="0072136A"/>
    <w:rsid w:val="00731917"/>
    <w:rsid w:val="007626C8"/>
    <w:rsid w:val="00777E70"/>
    <w:rsid w:val="00782529"/>
    <w:rsid w:val="007C0AD3"/>
    <w:rsid w:val="007D320B"/>
    <w:rsid w:val="007D6472"/>
    <w:rsid w:val="007E1464"/>
    <w:rsid w:val="007E2439"/>
    <w:rsid w:val="007F0BC8"/>
    <w:rsid w:val="007F767E"/>
    <w:rsid w:val="0084385C"/>
    <w:rsid w:val="00855985"/>
    <w:rsid w:val="00887133"/>
    <w:rsid w:val="008940AC"/>
    <w:rsid w:val="008B2B08"/>
    <w:rsid w:val="008C4152"/>
    <w:rsid w:val="008D2162"/>
    <w:rsid w:val="00916366"/>
    <w:rsid w:val="00917909"/>
    <w:rsid w:val="00925366"/>
    <w:rsid w:val="00941611"/>
    <w:rsid w:val="0097468B"/>
    <w:rsid w:val="009A05F0"/>
    <w:rsid w:val="009D047D"/>
    <w:rsid w:val="009E3C63"/>
    <w:rsid w:val="009F1ED3"/>
    <w:rsid w:val="00A0592B"/>
    <w:rsid w:val="00A4200F"/>
    <w:rsid w:val="00A436B2"/>
    <w:rsid w:val="00A76FB9"/>
    <w:rsid w:val="00A83827"/>
    <w:rsid w:val="00A85C6D"/>
    <w:rsid w:val="00A86760"/>
    <w:rsid w:val="00A86F38"/>
    <w:rsid w:val="00A93189"/>
    <w:rsid w:val="00AB6D1B"/>
    <w:rsid w:val="00AB76DC"/>
    <w:rsid w:val="00AC40FB"/>
    <w:rsid w:val="00AD3748"/>
    <w:rsid w:val="00AD4B78"/>
    <w:rsid w:val="00AD52AE"/>
    <w:rsid w:val="00AD7599"/>
    <w:rsid w:val="00AF57E3"/>
    <w:rsid w:val="00B01A9C"/>
    <w:rsid w:val="00B031EC"/>
    <w:rsid w:val="00B047FA"/>
    <w:rsid w:val="00B11B6F"/>
    <w:rsid w:val="00B1671E"/>
    <w:rsid w:val="00B2494D"/>
    <w:rsid w:val="00B25AB1"/>
    <w:rsid w:val="00B32B25"/>
    <w:rsid w:val="00B337D9"/>
    <w:rsid w:val="00B41C8B"/>
    <w:rsid w:val="00B45614"/>
    <w:rsid w:val="00B50C49"/>
    <w:rsid w:val="00B63653"/>
    <w:rsid w:val="00B76725"/>
    <w:rsid w:val="00B77EC1"/>
    <w:rsid w:val="00B842B6"/>
    <w:rsid w:val="00B913C5"/>
    <w:rsid w:val="00BB1F8B"/>
    <w:rsid w:val="00BB2AEB"/>
    <w:rsid w:val="00BC1A78"/>
    <w:rsid w:val="00BD3212"/>
    <w:rsid w:val="00BE028D"/>
    <w:rsid w:val="00BE46AA"/>
    <w:rsid w:val="00BF147A"/>
    <w:rsid w:val="00C0582C"/>
    <w:rsid w:val="00C10F8C"/>
    <w:rsid w:val="00C11E2F"/>
    <w:rsid w:val="00C16BF1"/>
    <w:rsid w:val="00C213DE"/>
    <w:rsid w:val="00C434CD"/>
    <w:rsid w:val="00C47E3A"/>
    <w:rsid w:val="00C53D05"/>
    <w:rsid w:val="00C6059F"/>
    <w:rsid w:val="00C87FB9"/>
    <w:rsid w:val="00C97AE3"/>
    <w:rsid w:val="00CA06CA"/>
    <w:rsid w:val="00CA4352"/>
    <w:rsid w:val="00CA5779"/>
    <w:rsid w:val="00CA6257"/>
    <w:rsid w:val="00CB77CC"/>
    <w:rsid w:val="00CC0EA4"/>
    <w:rsid w:val="00CC509B"/>
    <w:rsid w:val="00CD0E2D"/>
    <w:rsid w:val="00CD1C8F"/>
    <w:rsid w:val="00CD5BA7"/>
    <w:rsid w:val="00CF1D70"/>
    <w:rsid w:val="00CF596B"/>
    <w:rsid w:val="00D0653E"/>
    <w:rsid w:val="00D16FDE"/>
    <w:rsid w:val="00D17714"/>
    <w:rsid w:val="00D22371"/>
    <w:rsid w:val="00D44CBD"/>
    <w:rsid w:val="00D549EA"/>
    <w:rsid w:val="00D8644F"/>
    <w:rsid w:val="00DC66CB"/>
    <w:rsid w:val="00DD43BD"/>
    <w:rsid w:val="00DE0929"/>
    <w:rsid w:val="00DF351B"/>
    <w:rsid w:val="00E02DCB"/>
    <w:rsid w:val="00E2297A"/>
    <w:rsid w:val="00E3135E"/>
    <w:rsid w:val="00E577E8"/>
    <w:rsid w:val="00E60571"/>
    <w:rsid w:val="00E63993"/>
    <w:rsid w:val="00E66AB3"/>
    <w:rsid w:val="00E94939"/>
    <w:rsid w:val="00EC59C9"/>
    <w:rsid w:val="00EE16CB"/>
    <w:rsid w:val="00EF41EE"/>
    <w:rsid w:val="00EF7E2E"/>
    <w:rsid w:val="00F00C45"/>
    <w:rsid w:val="00F12584"/>
    <w:rsid w:val="00F23937"/>
    <w:rsid w:val="00F2795C"/>
    <w:rsid w:val="00F43536"/>
    <w:rsid w:val="00F526E3"/>
    <w:rsid w:val="00F65459"/>
    <w:rsid w:val="00F77F76"/>
    <w:rsid w:val="00F91EE4"/>
    <w:rsid w:val="00FC0336"/>
    <w:rsid w:val="00FC3654"/>
    <w:rsid w:val="00FC5BC6"/>
    <w:rsid w:val="00FE31F0"/>
    <w:rsid w:val="00FF1152"/>
    <w:rsid w:val="1A7E2297"/>
    <w:rsid w:val="1B25833B"/>
    <w:rsid w:val="1DFF1821"/>
    <w:rsid w:val="1F7FF5DC"/>
    <w:rsid w:val="1FFE9628"/>
    <w:rsid w:val="2EF57C54"/>
    <w:rsid w:val="2F8FD56C"/>
    <w:rsid w:val="2FEFA984"/>
    <w:rsid w:val="354C1FB7"/>
    <w:rsid w:val="36C9B379"/>
    <w:rsid w:val="36FB9BCE"/>
    <w:rsid w:val="3776432B"/>
    <w:rsid w:val="37F7F6DA"/>
    <w:rsid w:val="3BD70645"/>
    <w:rsid w:val="3BFCCB05"/>
    <w:rsid w:val="3DCF8A3F"/>
    <w:rsid w:val="3F67EFB2"/>
    <w:rsid w:val="3F7F48DC"/>
    <w:rsid w:val="3FF737AD"/>
    <w:rsid w:val="478C4CE1"/>
    <w:rsid w:val="4FD7BB30"/>
    <w:rsid w:val="516A068D"/>
    <w:rsid w:val="57FF5BAA"/>
    <w:rsid w:val="5AF77316"/>
    <w:rsid w:val="5B9719F9"/>
    <w:rsid w:val="5BFBC364"/>
    <w:rsid w:val="5BFFBF80"/>
    <w:rsid w:val="5BFFC8FA"/>
    <w:rsid w:val="5DBF499D"/>
    <w:rsid w:val="5EFF12B2"/>
    <w:rsid w:val="5F1BC2E0"/>
    <w:rsid w:val="5F6BEE79"/>
    <w:rsid w:val="5FBED9E6"/>
    <w:rsid w:val="5FEC3540"/>
    <w:rsid w:val="5FFD62BE"/>
    <w:rsid w:val="5FFFA899"/>
    <w:rsid w:val="5FFFAB0F"/>
    <w:rsid w:val="636B99BA"/>
    <w:rsid w:val="67BFAF4C"/>
    <w:rsid w:val="6BFB0931"/>
    <w:rsid w:val="6DAF338C"/>
    <w:rsid w:val="6E5BCC45"/>
    <w:rsid w:val="6EF63A2C"/>
    <w:rsid w:val="6FABA64E"/>
    <w:rsid w:val="6FF78D32"/>
    <w:rsid w:val="6FFF7681"/>
    <w:rsid w:val="6FFFC83A"/>
    <w:rsid w:val="7379AAFB"/>
    <w:rsid w:val="73D7B89B"/>
    <w:rsid w:val="75F80D42"/>
    <w:rsid w:val="77BE7F1C"/>
    <w:rsid w:val="77DD0FEC"/>
    <w:rsid w:val="77FE3E62"/>
    <w:rsid w:val="79BB81BF"/>
    <w:rsid w:val="79FBAB8C"/>
    <w:rsid w:val="79FFBE05"/>
    <w:rsid w:val="7A47ACBF"/>
    <w:rsid w:val="7B3FDC0B"/>
    <w:rsid w:val="7BCF7EA5"/>
    <w:rsid w:val="7CDF2723"/>
    <w:rsid w:val="7D173A49"/>
    <w:rsid w:val="7DBBFFF6"/>
    <w:rsid w:val="7DEF4762"/>
    <w:rsid w:val="7DFB984B"/>
    <w:rsid w:val="7E27F178"/>
    <w:rsid w:val="7E7B68C5"/>
    <w:rsid w:val="7EB5521E"/>
    <w:rsid w:val="7F8F5481"/>
    <w:rsid w:val="7F8FF465"/>
    <w:rsid w:val="7FB5A4C1"/>
    <w:rsid w:val="7FBAE4E4"/>
    <w:rsid w:val="7FC7DCB3"/>
    <w:rsid w:val="7FDCF017"/>
    <w:rsid w:val="7FE6EA72"/>
    <w:rsid w:val="7FEE5119"/>
    <w:rsid w:val="7FF772A3"/>
    <w:rsid w:val="8DEE1662"/>
    <w:rsid w:val="A1F9DC98"/>
    <w:rsid w:val="A3FF6629"/>
    <w:rsid w:val="A99FF0B3"/>
    <w:rsid w:val="A9FFBD35"/>
    <w:rsid w:val="B7D6A0CE"/>
    <w:rsid w:val="B7D71F3D"/>
    <w:rsid w:val="BBFD169B"/>
    <w:rsid w:val="BD566B21"/>
    <w:rsid w:val="BDFEA01E"/>
    <w:rsid w:val="BEBF16D1"/>
    <w:rsid w:val="BEFF5997"/>
    <w:rsid w:val="BF6B43F2"/>
    <w:rsid w:val="BFBF89E5"/>
    <w:rsid w:val="BFD7751C"/>
    <w:rsid w:val="BFE8B955"/>
    <w:rsid w:val="BFFFF8D1"/>
    <w:rsid w:val="D57DC63D"/>
    <w:rsid w:val="D7FF0F9D"/>
    <w:rsid w:val="DBFBEE41"/>
    <w:rsid w:val="DD666918"/>
    <w:rsid w:val="DD7BAB71"/>
    <w:rsid w:val="DEDF0B3A"/>
    <w:rsid w:val="DEEBA274"/>
    <w:rsid w:val="DF7D6D97"/>
    <w:rsid w:val="E3ED3013"/>
    <w:rsid w:val="EBF5C5AF"/>
    <w:rsid w:val="ECF2AE97"/>
    <w:rsid w:val="ED6D624A"/>
    <w:rsid w:val="EDBD1BD0"/>
    <w:rsid w:val="EDDE1D17"/>
    <w:rsid w:val="EE6F25C6"/>
    <w:rsid w:val="EEFF638F"/>
    <w:rsid w:val="EF7BD05D"/>
    <w:rsid w:val="EFF649D2"/>
    <w:rsid w:val="EFFB1B6B"/>
    <w:rsid w:val="EFFE1D1B"/>
    <w:rsid w:val="EFFF2AF6"/>
    <w:rsid w:val="F1FFE285"/>
    <w:rsid w:val="F2FF6F23"/>
    <w:rsid w:val="F3BFF9DE"/>
    <w:rsid w:val="F3FD57FF"/>
    <w:rsid w:val="F4BF11B0"/>
    <w:rsid w:val="F5BF2C4D"/>
    <w:rsid w:val="F5D9752E"/>
    <w:rsid w:val="F5E725B5"/>
    <w:rsid w:val="F661E8ED"/>
    <w:rsid w:val="F74C8532"/>
    <w:rsid w:val="F7BB7652"/>
    <w:rsid w:val="F7D72D57"/>
    <w:rsid w:val="F7F5D891"/>
    <w:rsid w:val="F7FFAB2C"/>
    <w:rsid w:val="F9B5A038"/>
    <w:rsid w:val="F9EF5A2E"/>
    <w:rsid w:val="FAFD523A"/>
    <w:rsid w:val="FB9D34AC"/>
    <w:rsid w:val="FBD43293"/>
    <w:rsid w:val="FD19E49A"/>
    <w:rsid w:val="FD7C8A9B"/>
    <w:rsid w:val="FD7F005B"/>
    <w:rsid w:val="FDAFAD04"/>
    <w:rsid w:val="FDD96292"/>
    <w:rsid w:val="FE8D7886"/>
    <w:rsid w:val="FECDF669"/>
    <w:rsid w:val="FF7BDA17"/>
    <w:rsid w:val="FF8D4A01"/>
    <w:rsid w:val="FFC30863"/>
    <w:rsid w:val="FFEA707F"/>
    <w:rsid w:val="FFF77C15"/>
    <w:rsid w:val="FFFBBA3D"/>
    <w:rsid w:val="FFFDD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685</Words>
  <Characters>3911</Characters>
  <Lines>32</Lines>
  <Paragraphs>9</Paragraphs>
  <TotalTime>13</TotalTime>
  <ScaleCrop>false</ScaleCrop>
  <LinksUpToDate>false</LinksUpToDate>
  <CharactersWithSpaces>4587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2018-06-02T03:24:00Z</dcterms:created>
  <dc:creator>admin</dc:creator>
  <cp:lastModifiedBy>阳君仪</cp:lastModifiedBy>
  <cp:lastPrinted>2025-02-20T16:20:00Z</cp:lastPrinted>
  <dcterms:modified xsi:type="dcterms:W3CDTF">2025-02-24T09:27:04Z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