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A284C">
      <w:pPr>
        <w:spacing w:line="40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680720</wp:posOffset>
                </wp:positionV>
                <wp:extent cx="5616575" cy="0"/>
                <wp:effectExtent l="0" t="12700" r="6985" b="17780"/>
                <wp:wrapNone/>
                <wp:docPr id="1" name="直线 2"/>
                <wp:cNvGraphicFramePr/>
                <a:graphic xmlns:a="http://schemas.openxmlformats.org/drawingml/2006/main">
                  <a:graphicData uri="http://schemas.microsoft.com/office/word/2010/wordprocessingShape">
                    <wps:wsp>
                      <wps:cNvCnPr/>
                      <wps:spPr>
                        <a:xfrm>
                          <a:off x="0" y="0"/>
                          <a:ext cx="561657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53.6pt;height:0pt;width:442.25pt;z-index:251660288;mso-width-relative:page;mso-height-relative:page;" filled="f" stroked="t" coordsize="21600,21600" o:gfxdata="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Qzh14&#10;1QAAAAgBAAAPAAAAAAAAAAEAIAAAACIAAABkcnMvZG93bnJldi54bWxQSwECFAAUAAAACACHTuJA&#10;wAKIyusBAADcAwAADgAAAAAAAAABACAAAAAkAQAAZHJzL2Uyb0RvYy54bWxQSwUGAAAAAAYABgBZ&#10;AQAAgQUAAAAA&#10;">
                <v:fill on="f" focussize="0,0"/>
                <v:stroke weight="2pt" color="#FF0000" joinstyle="round"/>
                <v:imagedata o:title=""/>
                <o:lock v:ext="edit" aspectratio="f"/>
              </v:line>
            </w:pict>
          </mc:Fallback>
        </mc:AlternateContent>
      </w:r>
    </w:p>
    <w:p w14:paraId="7C989B5A">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湘财</w:t>
      </w:r>
      <w:r>
        <w:rPr>
          <w:rFonts w:hint="default" w:ascii="Times New Roman" w:hAnsi="Times New Roman" w:eastAsia="仿宋_GB2312" w:cs="Times New Roman"/>
          <w:sz w:val="32"/>
          <w:szCs w:val="32"/>
          <w:lang w:eastAsia="zh-CN"/>
        </w:rPr>
        <w:t>行罚</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6"/>
          <w:sz w:val="32"/>
          <w:szCs w:val="32"/>
        </w:rPr>
        <w:t>20</w:t>
      </w:r>
      <w:r>
        <w:rPr>
          <w:rFonts w:hint="default" w:ascii="Times New Roman" w:hAnsi="Times New Roman" w:eastAsia="仿宋_GB2312" w:cs="Times New Roman"/>
          <w:spacing w:val="-6"/>
          <w:sz w:val="32"/>
          <w:szCs w:val="32"/>
          <w:lang w:val="en-US" w:eastAsia="zh-CN"/>
        </w:rPr>
        <w:t>26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号</w:t>
      </w:r>
    </w:p>
    <w:p w14:paraId="76F045F1">
      <w:pPr>
        <w:spacing w:afterLines="0" w:line="600" w:lineRule="exact"/>
        <w:rPr>
          <w:rFonts w:hint="default" w:ascii="Times New Roman" w:hAnsi="Times New Roman" w:eastAsia="方正小标宋简体" w:cs="Times New Roman"/>
        </w:rPr>
      </w:pPr>
    </w:p>
    <w:p w14:paraId="2FD71A3C">
      <w:pPr>
        <w:spacing w:afterLines="0" w:line="600" w:lineRule="exact"/>
        <w:jc w:val="center"/>
        <w:rPr>
          <w:rFonts w:hint="default" w:ascii="Times New Roman" w:hAnsi="Times New Roman" w:eastAsia="方正小标宋简体" w:cs="Times New Roman"/>
          <w:kern w:val="0"/>
          <w:sz w:val="44"/>
          <w:lang w:eastAsia="zh-CN"/>
        </w:rPr>
      </w:pPr>
      <w:r>
        <w:rPr>
          <w:rFonts w:hint="default" w:ascii="Times New Roman" w:hAnsi="Times New Roman" w:eastAsia="方正小标宋简体" w:cs="Times New Roman"/>
          <w:kern w:val="0"/>
          <w:sz w:val="44"/>
          <w:lang w:eastAsia="zh-CN"/>
        </w:rPr>
        <w:t>行政处罚决定书</w:t>
      </w:r>
    </w:p>
    <w:p w14:paraId="24E6F89F">
      <w:pPr>
        <w:spacing w:afterLines="0" w:line="600" w:lineRule="exact"/>
        <w:jc w:val="center"/>
        <w:rPr>
          <w:rFonts w:hint="default" w:ascii="Times New Roman" w:hAnsi="Times New Roman" w:eastAsia="仿宋_GB2312" w:cs="Times New Roman"/>
          <w:kern w:val="0"/>
          <w:sz w:val="32"/>
          <w:szCs w:val="32"/>
        </w:rPr>
      </w:pPr>
    </w:p>
    <w:p w14:paraId="5CB90AB9">
      <w:pPr>
        <w:keepNext w:val="0"/>
        <w:keepLines w:val="0"/>
        <w:pageBreakBefore w:val="0"/>
        <w:kinsoku/>
        <w:wordWrap/>
        <w:overflowPunct w:val="0"/>
        <w:topLinePunct w:val="0"/>
        <w:autoSpaceDE/>
        <w:autoSpaceDN/>
        <w:bidi w:val="0"/>
        <w:adjustRightInd/>
        <w:spacing w:beforeLines="0" w:afterLines="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当事人：</w:t>
      </w:r>
      <w:r>
        <w:rPr>
          <w:rFonts w:hint="default" w:ascii="Times New Roman" w:hAnsi="Times New Roman" w:eastAsia="仿宋_GB2312" w:cs="Times New Roman"/>
          <w:sz w:val="32"/>
          <w:szCs w:val="32"/>
          <w:lang w:eastAsia="zh-CN"/>
        </w:rPr>
        <w:t>刘志辉</w:t>
      </w:r>
    </w:p>
    <w:p w14:paraId="108F8A4A">
      <w:pPr>
        <w:keepNext w:val="0"/>
        <w:keepLines w:val="0"/>
        <w:pageBreakBefore w:val="0"/>
        <w:kinsoku/>
        <w:wordWrap/>
        <w:overflowPunct w:val="0"/>
        <w:topLinePunct w:val="0"/>
        <w:autoSpaceDE/>
        <w:autoSpaceDN/>
        <w:bidi w:val="0"/>
        <w:adjustRightInd/>
        <w:spacing w:beforeLines="0" w:afterLines="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地址：</w:t>
      </w:r>
      <w:r>
        <w:rPr>
          <w:rFonts w:hint="eastAsia" w:ascii="Times New Roman" w:hAnsi="Times New Roman" w:eastAsia="仿宋_GB2312" w:cs="Times New Roman"/>
          <w:sz w:val="32"/>
          <w:szCs w:val="32"/>
          <w:lang w:val="en-US" w:eastAsia="zh-CN"/>
        </w:rPr>
        <w:t>xx</w:t>
      </w:r>
    </w:p>
    <w:p w14:paraId="40250DD7">
      <w:pPr>
        <w:overflowPunct w:val="0"/>
        <w:spacing w:beforeLines="0" w:afterLines="0" w:line="560" w:lineRule="exact"/>
        <w:ind w:firstLine="640" w:firstLineChars="200"/>
        <w:rPr>
          <w:rFonts w:hint="default" w:ascii="Times New Roman" w:hAnsi="Times New Roman" w:eastAsia="仿宋_GB2312" w:cs="Times New Roman"/>
          <w:kern w:val="0"/>
          <w:sz w:val="32"/>
          <w:szCs w:val="32"/>
        </w:rPr>
      </w:pPr>
    </w:p>
    <w:p w14:paraId="06009B65">
      <w:pPr>
        <w:numPr>
          <w:ilvl w:val="0"/>
          <w:numId w:val="0"/>
        </w:numPr>
        <w:overflowPunct/>
        <w:spacing w:line="580" w:lineRule="exact"/>
        <w:ind w:firstLine="640" w:firstLineChars="200"/>
        <w:rPr>
          <w:rFonts w:hint="default" w:ascii="Times New Roman" w:hAnsi="Times New Roman" w:eastAsia="仿宋_GB2312" w:cs="Times New Roman"/>
          <w:sz w:val="32"/>
          <w:szCs w:val="32"/>
          <w:highlight w:val="none"/>
          <w:lang w:val="en-GB"/>
        </w:rPr>
      </w:pPr>
      <w:r>
        <w:rPr>
          <w:rFonts w:hint="default" w:ascii="Times New Roman" w:hAnsi="Times New Roman" w:eastAsia="仿宋_GB2312" w:cs="Times New Roman"/>
          <w:b w:val="0"/>
          <w:bCs w:val="0"/>
          <w:sz w:val="32"/>
          <w:szCs w:val="32"/>
          <w:highlight w:val="none"/>
          <w:lang w:val="en-US" w:eastAsia="zh-CN"/>
        </w:rPr>
        <w:t>根据《湖南省财政厅关于组织开展全省2025年度会计和评估监督检查工作的通知》（湘财监〔2025〕7号），我厅派出检查组于，对你签字并盖章的湘三益A专审字（2024）0309号审计报告进行了检查</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pacing w:val="0"/>
          <w:sz w:val="32"/>
          <w:szCs w:val="32"/>
          <w:highlight w:val="none"/>
          <w:lang w:val="en-GB"/>
        </w:rPr>
        <w:t>检查过程中</w:t>
      </w:r>
      <w:r>
        <w:rPr>
          <w:rFonts w:hint="eastAsia" w:ascii="Times New Roman" w:hAnsi="Times New Roman" w:eastAsia="仿宋_GB2312" w:cs="Times New Roman"/>
          <w:spacing w:val="0"/>
          <w:sz w:val="32"/>
          <w:szCs w:val="32"/>
          <w:highlight w:val="none"/>
          <w:lang w:val="en-US" w:eastAsia="zh-CN"/>
        </w:rPr>
        <w:t>发现</w:t>
      </w:r>
      <w:r>
        <w:rPr>
          <w:rFonts w:hint="default" w:ascii="Times New Roman" w:hAnsi="Times New Roman" w:eastAsia="仿宋_GB2312" w:cs="Times New Roman"/>
          <w:spacing w:val="0"/>
          <w:sz w:val="32"/>
          <w:szCs w:val="32"/>
          <w:highlight w:val="none"/>
          <w:lang w:val="en-GB"/>
        </w:rPr>
        <w:t>的问题和作出的处罚决定如下：</w:t>
      </w:r>
      <w:bookmarkStart w:id="1" w:name="_GoBack"/>
      <w:bookmarkEnd w:id="1"/>
    </w:p>
    <w:p w14:paraId="109E89F7">
      <w:pPr>
        <w:numPr>
          <w:ilvl w:val="0"/>
          <w:numId w:val="0"/>
        </w:numPr>
        <w:overflowPunct w:val="0"/>
        <w:spacing w:beforeLines="0" w:afterLines="0" w:line="560" w:lineRule="exact"/>
        <w:ind w:firstLine="640" w:firstLineChars="200"/>
        <w:rPr>
          <w:rFonts w:hint="default" w:ascii="Times New Roman" w:hAnsi="Times New Roman" w:eastAsia="楷体" w:cs="Times New Roman"/>
          <w:b/>
          <w:sz w:val="32"/>
          <w:szCs w:val="32"/>
          <w:highlight w:val="none"/>
          <w:lang w:eastAsia="zh-CN"/>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检查中发现的问题</w:t>
      </w:r>
    </w:p>
    <w:p w14:paraId="7A581EA7">
      <w:pPr>
        <w:keepNext w:val="0"/>
        <w:keepLines w:val="0"/>
        <w:pageBreakBefore w:val="0"/>
        <w:widowControl w:val="0"/>
        <w:kinsoku/>
        <w:wordWrap/>
        <w:overflowPunct w:val="0"/>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b/>
          <w:sz w:val="32"/>
          <w:szCs w:val="32"/>
          <w:highlight w:val="none"/>
          <w:lang w:eastAsia="zh-CN"/>
        </w:rPr>
        <w:t>未履行必要的审计程序，未获取充分适当的审计证据</w:t>
      </w:r>
      <w:bookmarkStart w:id="0" w:name="_Hlk84945264"/>
    </w:p>
    <w:p w14:paraId="1C8A527F">
      <w:pPr>
        <w:keepNext w:val="0"/>
        <w:keepLines w:val="0"/>
        <w:pageBreakBefore w:val="0"/>
        <w:widowControl w:val="0"/>
        <w:kinsoku/>
        <w:wordWrap/>
        <w:overflowPunct w:val="0"/>
        <w:topLinePunct w:val="0"/>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bCs w:val="0"/>
          <w:sz w:val="32"/>
          <w:szCs w:val="32"/>
          <w:highlight w:val="none"/>
        </w:rPr>
        <w:t>你</w:t>
      </w:r>
      <w:r>
        <w:rPr>
          <w:rFonts w:hint="default" w:ascii="Times New Roman" w:hAnsi="Times New Roman" w:eastAsia="仿宋_GB2312" w:cs="Times New Roman"/>
          <w:b/>
          <w:bCs w:val="0"/>
          <w:sz w:val="32"/>
          <w:szCs w:val="32"/>
          <w:highlight w:val="none"/>
          <w:lang w:eastAsia="zh-CN"/>
        </w:rPr>
        <w:t>签字并盖章的对</w:t>
      </w:r>
      <w:r>
        <w:rPr>
          <w:rFonts w:hint="eastAsia" w:ascii="Times New Roman" w:hAnsi="Times New Roman" w:eastAsia="仿宋_GB2312" w:cs="Times New Roman"/>
          <w:b/>
          <w:bCs w:val="0"/>
          <w:sz w:val="32"/>
          <w:szCs w:val="32"/>
          <w:highlight w:val="none"/>
          <w:lang w:val="en-US" w:eastAsia="zh-CN"/>
        </w:rPr>
        <w:t>xx</w:t>
      </w:r>
      <w:r>
        <w:rPr>
          <w:rFonts w:hint="default" w:ascii="Times New Roman" w:hAnsi="Times New Roman" w:eastAsia="仿宋_GB2312" w:cs="Times New Roman"/>
          <w:b/>
          <w:bCs w:val="0"/>
          <w:sz w:val="32"/>
          <w:szCs w:val="32"/>
          <w:highlight w:val="none"/>
        </w:rPr>
        <w:t>公司2023年度高新专项审计出具的三益A专审字（2024）0309 号审计报告</w:t>
      </w:r>
      <w:r>
        <w:rPr>
          <w:rFonts w:hint="eastAsia" w:ascii="Times New Roman" w:hAnsi="Times New Roman" w:eastAsia="仿宋_GB2312" w:cs="Times New Roman"/>
          <w:b/>
          <w:bCs w:val="0"/>
          <w:sz w:val="32"/>
          <w:szCs w:val="32"/>
          <w:highlight w:val="none"/>
          <w:lang w:val="en-US" w:eastAsia="zh-CN"/>
        </w:rPr>
        <w:t>(</w:t>
      </w:r>
      <w:r>
        <w:rPr>
          <w:rFonts w:hint="default" w:ascii="Times New Roman" w:hAnsi="Times New Roman" w:eastAsia="仿宋_GB2312" w:cs="Times New Roman"/>
          <w:b/>
          <w:bCs/>
          <w:i w:val="0"/>
          <w:iCs w:val="0"/>
          <w:sz w:val="32"/>
          <w:szCs w:val="32"/>
          <w:lang w:val="en-US" w:eastAsia="zh-CN"/>
        </w:rPr>
        <w:t>审计收费</w:t>
      </w:r>
      <w:r>
        <w:rPr>
          <w:rFonts w:hint="eastAsia" w:ascii="Times New Roman" w:hAnsi="Times New Roman" w:eastAsia="仿宋_GB2312" w:cs="Times New Roman"/>
          <w:b/>
          <w:bCs/>
          <w:i w:val="0"/>
          <w:iCs w:val="0"/>
          <w:sz w:val="32"/>
          <w:szCs w:val="32"/>
          <w:lang w:val="en-US" w:eastAsia="zh-CN"/>
        </w:rPr>
        <w:t>0.65</w:t>
      </w:r>
      <w:r>
        <w:rPr>
          <w:rFonts w:hint="default" w:ascii="Times New Roman" w:hAnsi="Times New Roman" w:eastAsia="仿宋_GB2312" w:cs="Times New Roman"/>
          <w:b/>
          <w:bCs/>
          <w:i w:val="0"/>
          <w:iCs w:val="0"/>
          <w:sz w:val="32"/>
          <w:szCs w:val="32"/>
          <w:lang w:val="en-US" w:eastAsia="zh-CN"/>
        </w:rPr>
        <w:t>万元</w:t>
      </w:r>
      <w:r>
        <w:rPr>
          <w:rFonts w:hint="eastAsia" w:ascii="Times New Roman" w:hAnsi="Times New Roman" w:eastAsia="仿宋_GB2312" w:cs="Times New Roman"/>
          <w:b/>
          <w:bCs w:val="0"/>
          <w:sz w:val="32"/>
          <w:szCs w:val="32"/>
          <w:highlight w:val="none"/>
          <w:lang w:val="en-US" w:eastAsia="zh-CN"/>
        </w:rPr>
        <w:t>)</w:t>
      </w:r>
      <w:r>
        <w:rPr>
          <w:rFonts w:hint="default" w:ascii="Times New Roman" w:hAnsi="Times New Roman" w:eastAsia="仿宋_GB2312" w:cs="Times New Roman"/>
          <w:b/>
          <w:bCs w:val="0"/>
          <w:sz w:val="32"/>
          <w:szCs w:val="32"/>
          <w:highlight w:val="none"/>
          <w:lang w:eastAsia="zh-CN"/>
        </w:rPr>
        <w:t>，</w:t>
      </w:r>
      <w:r>
        <w:rPr>
          <w:rFonts w:hint="default" w:ascii="Times New Roman" w:hAnsi="Times New Roman" w:eastAsia="仿宋_GB2312" w:cs="Times New Roman"/>
          <w:b/>
          <w:bCs w:val="0"/>
          <w:sz w:val="32"/>
          <w:szCs w:val="32"/>
          <w:highlight w:val="none"/>
        </w:rPr>
        <w:t>存在以下问题：</w:t>
      </w:r>
    </w:p>
    <w:p w14:paraId="6615F251">
      <w:pPr>
        <w:keepNext w:val="0"/>
        <w:keepLines w:val="0"/>
        <w:pageBreakBefore w:val="0"/>
        <w:widowControl w:val="0"/>
        <w:kinsoku/>
        <w:wordWrap/>
        <w:overflowPunct w:val="0"/>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rPr>
        <w:t>（1）</w:t>
      </w:r>
      <w:bookmarkEnd w:id="0"/>
      <w:r>
        <w:rPr>
          <w:rFonts w:hint="default" w:ascii="Times New Roman" w:hAnsi="Times New Roman" w:eastAsia="仿宋_GB2312" w:cs="Times New Roman"/>
          <w:bCs/>
          <w:sz w:val="32"/>
          <w:szCs w:val="32"/>
          <w:highlight w:val="none"/>
          <w:lang w:eastAsia="zh-CN"/>
        </w:rPr>
        <w:t>未实施相关程序测试高新技术产品的确认标识，确认申报企业是否混淆高新技术产品收入与非高新技术产品收入的界限，是否虚增高新技术产品收入。</w:t>
      </w:r>
    </w:p>
    <w:p w14:paraId="61A7823D">
      <w:pPr>
        <w:keepNext w:val="0"/>
        <w:keepLines w:val="0"/>
        <w:pageBreakBefore w:val="0"/>
        <w:widowControl w:val="0"/>
        <w:kinsoku/>
        <w:wordWrap/>
        <w:overflowPunct w:val="0"/>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（2）未了解研究开发业务流程。</w:t>
      </w:r>
    </w:p>
    <w:p w14:paraId="4239B2CD">
      <w:pPr>
        <w:keepNext w:val="0"/>
        <w:keepLines w:val="0"/>
        <w:pageBreakBefore w:val="0"/>
        <w:widowControl w:val="0"/>
        <w:kinsoku/>
        <w:wordWrap/>
        <w:overflowPunct w:val="0"/>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（3）未检查研发人员的认定是否符合《高新技术企业认定管理工作指引》的相关规定，未检查是否存在将非研发人员工资薪金列入研究开发费用的情况。</w:t>
      </w:r>
    </w:p>
    <w:p w14:paraId="04AF4EC7">
      <w:pPr>
        <w:keepNext w:val="0"/>
        <w:keepLines w:val="0"/>
        <w:pageBreakBefore w:val="0"/>
        <w:widowControl w:val="0"/>
        <w:kinsoku/>
        <w:wordWrap/>
        <w:overflowPunct w:val="0"/>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（4）未检查研发费用中的折旧费用是否属于为执行研究开发活动而购置的仪器和设备。</w:t>
      </w:r>
    </w:p>
    <w:p w14:paraId="040148D4">
      <w:pPr>
        <w:keepNext w:val="0"/>
        <w:keepLines w:val="0"/>
        <w:pageBreakBefore w:val="0"/>
        <w:widowControl w:val="0"/>
        <w:kinsoku/>
        <w:wordWrap/>
        <w:overflowPunct w:val="0"/>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lang w:eastAsia="zh-CN"/>
        </w:rPr>
        <w:t>（5）未选择高新技术收入的主要客户、本期收入增幅较大的客户或其他异常客户，对本期高新技术产品收入的业务内容及其金额进行函证。</w:t>
      </w:r>
    </w:p>
    <w:p w14:paraId="0D6164B4">
      <w:pPr>
        <w:keepNext w:val="0"/>
        <w:keepLines w:val="0"/>
        <w:pageBreakBefore w:val="0"/>
        <w:widowControl w:val="0"/>
        <w:kinsoku/>
        <w:wordWrap/>
        <w:overflowPunct w:val="0"/>
        <w:topLinePunct w:val="0"/>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rPr>
        <w:t>上述问题，违反了</w:t>
      </w:r>
      <w:r>
        <w:rPr>
          <w:rFonts w:hint="default" w:ascii="Times New Roman" w:hAnsi="Times New Roman" w:eastAsia="仿宋_GB2312" w:cs="Times New Roman"/>
          <w:bCs/>
          <w:sz w:val="32"/>
          <w:szCs w:val="32"/>
          <w:highlight w:val="none"/>
          <w:lang w:eastAsia="zh-CN"/>
        </w:rPr>
        <w:t>以下法律法规有关规定：</w:t>
      </w:r>
    </w:p>
    <w:p w14:paraId="77324FE4">
      <w:pPr>
        <w:overflowPunct w:val="0"/>
        <w:spacing w:beforeLines="0" w:afterLines="0" w:line="560" w:lineRule="exact"/>
        <w:ind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1.《中华人民共和国注册会计师法》第二十一条“注册会计师执行审计业务，必须按照执业准则、规则确定的工作程序出具报告”；</w:t>
      </w:r>
    </w:p>
    <w:p w14:paraId="1804507A">
      <w:pPr>
        <w:overflowPunct w:val="0"/>
        <w:spacing w:beforeLines="0" w:afterLines="0" w:line="560" w:lineRule="exact"/>
        <w:ind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2.《会计师事务所执业许可和监督管理办法》（财政部令第97号）第六十条“会计师事务所和注册会计师必须按照执业准则、规则的要求，在实施必要的审计程序后，以经过核实的审计证据为依据，形成审计意见，出具审计报告，不得有下列行为：（一）在未履行必要的审计程序，未获取充分适当的审计证据的情况下出具审计报告……”；</w:t>
      </w:r>
    </w:p>
    <w:p w14:paraId="375F7F44">
      <w:pPr>
        <w:overflowPunct w:val="0"/>
        <w:spacing w:beforeLines="0" w:afterLines="0" w:line="560" w:lineRule="exact"/>
        <w:ind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3.《中国注册会计师审计准则第1131号——审计工作底稿》第八条“注册会计师的目标是，编制审计工作底稿以便：（一）提供充分、适当的记录，作为出具审计报告的基础；（二）提供证据，证明注册会计师已按照审计准则和相关法律法规的规定计划和执行了审计工作”；</w:t>
      </w:r>
    </w:p>
    <w:p w14:paraId="2F15DB8C">
      <w:pPr>
        <w:overflowPunct w:val="0"/>
        <w:spacing w:beforeLines="0" w:afterLines="0" w:line="560" w:lineRule="exact"/>
        <w:ind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4.《中国注册会计师审计准则第1301号——审计证据》第十条“注册会计师应当根据具体情况设计和实施恰当的审计程序，以获取充分、适当的审计证据”等。</w:t>
      </w:r>
    </w:p>
    <w:p w14:paraId="158B42FC">
      <w:pPr>
        <w:overflowPunct w:val="0"/>
        <w:spacing w:beforeLines="0" w:afterLines="0" w:line="560" w:lineRule="exact"/>
        <w:ind w:firstLine="640"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以上事实，有你及你所在的长沙三益中凯会计师事务所（普通合伙）签署的审计报告及工作底稿，以及你签字确认的财政检查工作底稿等资料作为证据。</w:t>
      </w:r>
    </w:p>
    <w:p w14:paraId="2E2B3D70">
      <w:pPr>
        <w:overflowPunct w:val="0"/>
        <w:spacing w:beforeLines="0" w:afterLines="0"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sz w:val="32"/>
          <w:szCs w:val="32"/>
        </w:rPr>
        <w:t>二、作出的处罚决定和处罚依据</w:t>
      </w:r>
    </w:p>
    <w:p w14:paraId="2D60A630">
      <w:pPr>
        <w:overflowPunct w:val="0"/>
        <w:spacing w:beforeLines="0" w:afterLines="0"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中华人民共和国注册会计师法》第三十九条第二款“注册会计师违反本法第二十条、第二十一条规定的，由省级以上人民政府财政部门给予警告；情节严重的，可以由省级以上人民政府财政部门暂停其执行业务或者吊销注册会计师证书”，《会计师事务所执业许可和监督管理办法》（财政部令第97号）第七十条第一款“注册会计师违反本办法第六十条第一项至第四项规定的，由省级以上财政部门给予警告；情节严重的，可以由省级以上人民政府财政部门暂停其执行业务1个月至1年或者吊销注册会计师证书”，以及《湖南省财政厅行政处罚裁量权基准（2022年版）》“三、注册会计师和会计师事务所监督类”第9项规定，你的违法行为属于从轻处罚阶次，我厅对你作出以下处罚：警告。同时，责令你立即整改。</w:t>
      </w:r>
    </w:p>
    <w:p w14:paraId="0418C92A">
      <w:pPr>
        <w:overflowPunct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如不服本决定，你可自收到本决定书之日起60日内，依法向湖南省人民政府申请行政复议；或者在收到本决定书之日起6个月内，依法向长沙铁路运输法院提起行政诉讼。复议和诉讼期间，上述决定不停止执行。</w:t>
      </w:r>
    </w:p>
    <w:p w14:paraId="4C6ECC31">
      <w:pPr>
        <w:tabs>
          <w:tab w:val="left" w:pos="4970"/>
        </w:tabs>
        <w:overflowPunct w:val="0"/>
        <w:spacing w:beforeLines="0" w:afterLines="0" w:line="560" w:lineRule="exact"/>
        <w:ind w:firstLine="640" w:firstLineChars="200"/>
        <w:rPr>
          <w:rFonts w:hint="default" w:ascii="Times New Roman" w:hAnsi="Times New Roman" w:eastAsia="仿宋_GB2312" w:cs="Times New Roman"/>
          <w:sz w:val="32"/>
          <w:szCs w:val="32"/>
        </w:rPr>
      </w:pPr>
    </w:p>
    <w:p w14:paraId="04F0431C">
      <w:pPr>
        <w:tabs>
          <w:tab w:val="left" w:pos="1620"/>
        </w:tabs>
        <w:spacing w:afterLines="0" w:line="600" w:lineRule="exact"/>
        <w:ind w:firstLine="720" w:firstLineChars="22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p>
    <w:p w14:paraId="08EB81ED">
      <w:pPr>
        <w:spacing w:afterLines="0" w:line="600" w:lineRule="exact"/>
        <w:ind w:firstLine="5440" w:firstLineChars="17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湖南省财政厅</w:t>
      </w:r>
    </w:p>
    <w:p w14:paraId="2419C94F">
      <w:pPr>
        <w:spacing w:afterLines="0" w:line="600" w:lineRule="exact"/>
        <w:rPr>
          <w:rFonts w:hint="default" w:ascii="Times New Roman" w:hAnsi="Times New Roman" w:eastAsia="黑体" w:cs="Times New Roman"/>
          <w:szCs w:val="28"/>
        </w:rPr>
      </w:pP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 xml:space="preserve">   20</w:t>
      </w:r>
      <w:r>
        <w:rPr>
          <w:rFonts w:hint="default" w:ascii="Times New Roman" w:hAnsi="Times New Roman" w:eastAsia="仿宋_GB2312" w:cs="Times New Roman"/>
          <w:kern w:val="0"/>
          <w:sz w:val="32"/>
          <w:szCs w:val="32"/>
          <w:lang w:val="en-US" w:eastAsia="zh-CN"/>
        </w:rPr>
        <w:t>26</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18</w:t>
      </w:r>
      <w:r>
        <w:rPr>
          <w:rFonts w:hint="default" w:ascii="Times New Roman" w:hAnsi="Times New Roman" w:eastAsia="仿宋_GB2312" w:cs="Times New Roman"/>
          <w:kern w:val="0"/>
          <w:sz w:val="32"/>
          <w:szCs w:val="32"/>
        </w:rPr>
        <w:t>日</w:t>
      </w:r>
    </w:p>
    <w:sectPr>
      <w:headerReference r:id="rId3" w:type="default"/>
      <w:footerReference r:id="rId4" w:type="default"/>
      <w:pgSz w:w="11905" w:h="16837"/>
      <w:pgMar w:top="1417" w:right="1588" w:bottom="1417" w:left="1588" w:header="720" w:footer="1304" w:gutter="0"/>
      <w:pgNumType w:fmt="numberInDash" w:start="1"/>
      <w:cols w:space="720" w:num="1"/>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78CA77-69BC-4917-97BD-BABD46839B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2" w:fontKey="{EBE474F7-311D-4E94-8759-0895A8B5CA1D}"/>
  </w:font>
  <w:font w:name="方正小标宋简体">
    <w:panose1 w:val="02000000000000000000"/>
    <w:charset w:val="86"/>
    <w:family w:val="auto"/>
    <w:pitch w:val="default"/>
    <w:sig w:usb0="00000001" w:usb1="08000000" w:usb2="00000000" w:usb3="00000000" w:csb0="00040000" w:csb1="00000000"/>
    <w:embedRegular r:id="rId3" w:fontKey="{743BC3B7-FAD6-45A8-91E5-794D49F9E3EA}"/>
  </w:font>
  <w:font w:name="楷体">
    <w:panose1 w:val="02010609060101010101"/>
    <w:charset w:val="86"/>
    <w:family w:val="modern"/>
    <w:pitch w:val="default"/>
    <w:sig w:usb0="800002BF" w:usb1="38CF7CFA" w:usb2="00000016" w:usb3="00000000" w:csb0="00040001" w:csb1="00000000"/>
    <w:embedRegular r:id="rId4" w:fontKey="{95B4E3DA-C0F3-4AF9-8929-08F948FD7284}"/>
  </w:font>
  <w:font w:name="楷体_GB2312">
    <w:altName w:val="楷体"/>
    <w:panose1 w:val="02010609030101010101"/>
    <w:charset w:val="86"/>
    <w:family w:val="auto"/>
    <w:pitch w:val="default"/>
    <w:sig w:usb0="00000000" w:usb1="00000000" w:usb2="00000000" w:usb3="00000000" w:csb0="00040000" w:csb1="00000000"/>
    <w:embedRegular r:id="rId5" w:fontKey="{5C2FDBD9-FE9A-400D-BB52-13CF940474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216E7">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E5B70">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6E5B70">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8A58">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3FD"/>
    <w:rsid w:val="00022BE4"/>
    <w:rsid w:val="00202BEF"/>
    <w:rsid w:val="00421C52"/>
    <w:rsid w:val="00616469"/>
    <w:rsid w:val="00743289"/>
    <w:rsid w:val="007C5DE1"/>
    <w:rsid w:val="00850CC5"/>
    <w:rsid w:val="00943C1A"/>
    <w:rsid w:val="009A4B9C"/>
    <w:rsid w:val="00B373B8"/>
    <w:rsid w:val="00C95FD1"/>
    <w:rsid w:val="00EF0EC9"/>
    <w:rsid w:val="00FE2FFA"/>
    <w:rsid w:val="03FBAFC0"/>
    <w:rsid w:val="091B6413"/>
    <w:rsid w:val="0ECE5009"/>
    <w:rsid w:val="0F9ED13D"/>
    <w:rsid w:val="17902441"/>
    <w:rsid w:val="1D953E2E"/>
    <w:rsid w:val="1FBDD49B"/>
    <w:rsid w:val="235D8A67"/>
    <w:rsid w:val="237EEF4F"/>
    <w:rsid w:val="28C73728"/>
    <w:rsid w:val="297B44A0"/>
    <w:rsid w:val="2BFB179D"/>
    <w:rsid w:val="2EF78978"/>
    <w:rsid w:val="2FB33E8B"/>
    <w:rsid w:val="30C131E4"/>
    <w:rsid w:val="332D60AD"/>
    <w:rsid w:val="379F118A"/>
    <w:rsid w:val="37BF32ED"/>
    <w:rsid w:val="37DE8A42"/>
    <w:rsid w:val="37FB919E"/>
    <w:rsid w:val="3A1329FE"/>
    <w:rsid w:val="3A755CFC"/>
    <w:rsid w:val="3C7FDD42"/>
    <w:rsid w:val="3F4F55B9"/>
    <w:rsid w:val="3FFB743B"/>
    <w:rsid w:val="3FFF9A04"/>
    <w:rsid w:val="42AC2BF9"/>
    <w:rsid w:val="46BE471C"/>
    <w:rsid w:val="49AE76EE"/>
    <w:rsid w:val="4E7B17BF"/>
    <w:rsid w:val="53C04D73"/>
    <w:rsid w:val="56856B80"/>
    <w:rsid w:val="5D3E69F4"/>
    <w:rsid w:val="67EE84D9"/>
    <w:rsid w:val="6DFF548E"/>
    <w:rsid w:val="6EAD789C"/>
    <w:rsid w:val="6EED7B2E"/>
    <w:rsid w:val="6F6EDA7B"/>
    <w:rsid w:val="6F7FAA66"/>
    <w:rsid w:val="72FF515C"/>
    <w:rsid w:val="75014C74"/>
    <w:rsid w:val="771FA8AE"/>
    <w:rsid w:val="77EB52B9"/>
    <w:rsid w:val="77FF121A"/>
    <w:rsid w:val="789001FB"/>
    <w:rsid w:val="79EDCD82"/>
    <w:rsid w:val="7A6A74AA"/>
    <w:rsid w:val="7AF7DC9F"/>
    <w:rsid w:val="7B783970"/>
    <w:rsid w:val="7BFF4754"/>
    <w:rsid w:val="7BFFC862"/>
    <w:rsid w:val="7DFFB6DD"/>
    <w:rsid w:val="7E1E3A28"/>
    <w:rsid w:val="7EA76105"/>
    <w:rsid w:val="7EAF127F"/>
    <w:rsid w:val="7EF91CB2"/>
    <w:rsid w:val="7F77B76A"/>
    <w:rsid w:val="7FAD54FA"/>
    <w:rsid w:val="7FBB3373"/>
    <w:rsid w:val="7FBBECB6"/>
    <w:rsid w:val="7FEB0C9A"/>
    <w:rsid w:val="7FF57F25"/>
    <w:rsid w:val="7FF7001B"/>
    <w:rsid w:val="7FFE28CE"/>
    <w:rsid w:val="7FFEBF36"/>
    <w:rsid w:val="7FFF29A5"/>
    <w:rsid w:val="AA9B7663"/>
    <w:rsid w:val="AE958D95"/>
    <w:rsid w:val="BFDF94CD"/>
    <w:rsid w:val="C5DBA1D0"/>
    <w:rsid w:val="C7FF2B9B"/>
    <w:rsid w:val="CFDD9A64"/>
    <w:rsid w:val="D5CF6DB8"/>
    <w:rsid w:val="D5E5EE6D"/>
    <w:rsid w:val="D6BD6AF7"/>
    <w:rsid w:val="D73F8AF6"/>
    <w:rsid w:val="DAC703CD"/>
    <w:rsid w:val="DAEE449E"/>
    <w:rsid w:val="DE9A497A"/>
    <w:rsid w:val="DF7F720D"/>
    <w:rsid w:val="E7F61C35"/>
    <w:rsid w:val="EEB2052A"/>
    <w:rsid w:val="EFFEAABB"/>
    <w:rsid w:val="F7B621CB"/>
    <w:rsid w:val="F7FB7D5A"/>
    <w:rsid w:val="FB1F834D"/>
    <w:rsid w:val="FB571B35"/>
    <w:rsid w:val="FB7FFA6C"/>
    <w:rsid w:val="FCFE625E"/>
    <w:rsid w:val="FD37452F"/>
    <w:rsid w:val="FD3B243D"/>
    <w:rsid w:val="FD9FD6AB"/>
    <w:rsid w:val="FDB478CB"/>
    <w:rsid w:val="FDFA94A4"/>
    <w:rsid w:val="FE3D5A4D"/>
    <w:rsid w:val="FE538EBC"/>
    <w:rsid w:val="FFD7A887"/>
    <w:rsid w:val="FFFD99B9"/>
    <w:rsid w:val="FFFE5F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jc w:val="both"/>
    </w:pPr>
    <w:rPr>
      <w:rFonts w:ascii="Times New Roman" w:hAnsi="Times New Roman" w:cs="Times New Roman"/>
      <w:kern w:val="2"/>
      <w:sz w:val="21"/>
    </w:rPr>
  </w:style>
  <w:style w:type="paragraph" w:styleId="3">
    <w:name w:val="Body Text"/>
    <w:basedOn w:val="1"/>
    <w:qFormat/>
    <w:uiPriority w:val="0"/>
    <w:pPr>
      <w:spacing w:after="120" w:afterLines="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widowControl w:val="0"/>
      <w:jc w:val="both"/>
    </w:pPr>
    <w:rPr>
      <w:rFonts w:ascii="仿宋" w:hAnsi="仿宋" w:eastAsia="宋体" w:cs="Times New Roman"/>
      <w:kern w:val="0"/>
      <w:sz w:val="28"/>
      <w:szCs w:val="24"/>
      <w:lang w:val="en-US" w:eastAsia="zh-CN" w:bidi="ar-SA"/>
    </w:rPr>
  </w:style>
  <w:style w:type="paragraph" w:styleId="7">
    <w:name w:val="footnote text"/>
    <w:basedOn w:val="1"/>
    <w:qFormat/>
    <w:uiPriority w:val="0"/>
    <w:pPr>
      <w:widowControl/>
      <w:pBdr>
        <w:top w:val="none" w:color="auto" w:sz="0" w:space="0"/>
        <w:left w:val="none" w:color="auto" w:sz="0" w:space="0"/>
        <w:bottom w:val="none" w:color="auto" w:sz="0" w:space="0"/>
        <w:right w:val="none" w:color="auto" w:sz="0" w:space="0"/>
        <w:between w:val="none" w:color="auto" w:sz="0" w:space="0"/>
      </w:pBdr>
      <w:snapToGrid w:val="0"/>
      <w:ind w:firstLine="200" w:firstLineChars="200"/>
      <w:jc w:val="left"/>
    </w:pPr>
    <w:rPr>
      <w:rFonts w:ascii="Calibri" w:hAnsi="Calibri" w:eastAsia="宋体" w:cs="Times New Roman"/>
      <w:kern w:val="2"/>
      <w:sz w:val="18"/>
      <w:szCs w:val="18"/>
    </w:rPr>
  </w:style>
  <w:style w:type="character" w:styleId="10">
    <w:name w:val="page number"/>
    <w:basedOn w:val="9"/>
    <w:qFormat/>
    <w:uiPriority w:val="0"/>
  </w:style>
  <w:style w:type="paragraph" w:customStyle="1" w:styleId="11">
    <w:name w:val="表格内容"/>
    <w:basedOn w:val="3"/>
    <w:qFormat/>
    <w:uiPriority w:val="0"/>
    <w:pPr>
      <w:suppressLineNumbers/>
      <w:suppressAutoHyphens/>
      <w:jc w:val="left"/>
    </w:pPr>
    <w:rPr>
      <w:rFonts w:cs="Tahoma"/>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1565</Words>
  <Characters>1633</Characters>
  <Lines>3</Lines>
  <Paragraphs>1</Paragraphs>
  <TotalTime>0</TotalTime>
  <ScaleCrop>false</ScaleCrop>
  <LinksUpToDate>false</LinksUpToDate>
  <CharactersWithSpaces>1667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2024-05-09T00:50:00Z</dcterms:created>
  <dc:creator>User</dc:creator>
  <cp:lastModifiedBy>Administrator</cp:lastModifiedBy>
  <dcterms:modified xsi:type="dcterms:W3CDTF">2026-04-28T02:41:29Z</dcterms:modified>
  <dc:title>湖南省财政厅发文（指标、函）稿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AE220E3E711F37CC7C79E56903F19DDB</vt:lpwstr>
  </property>
  <property fmtid="{D5CDD505-2E9C-101B-9397-08002B2CF9AE}" pid="3" name="KSOProductBuildVer">
    <vt:lpwstr>2052-12.1.0.25865</vt:lpwstr>
  </property>
  <property fmtid="{D5CDD505-2E9C-101B-9397-08002B2CF9AE}" pid="4" name="KSOTemplateDocerSaveRecord">
    <vt:lpwstr>eyJoZGlkIjoiOGY0YzY3OWUxZjczMmFjMzU2ZTI3YTllNWIyNGY2NWQiLCJ1c2VySWQiOiI0NDU5MDMxODYifQ==</vt:lpwstr>
  </property>
</Properties>
</file>