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F4C7D">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680720</wp:posOffset>
                </wp:positionV>
                <wp:extent cx="5616575" cy="0"/>
                <wp:effectExtent l="0" t="12700" r="3175" b="15875"/>
                <wp:wrapNone/>
                <wp:docPr id="2" name="直接连接符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3.6pt;height:0pt;width:442.25pt;z-index:251660288;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M4deNUAAAAIAQAADwAAAAAAAAABACAAAAAiAAAAZHJzL2Rvd25yZXYueG1sUEsB&#10;AhQAFAAAAAgAh07iQB4sA6b4AQAA5QMAAA4AAAAAAAAAAQAgAAAAJAEAAGRycy9lMm9Eb2MueG1s&#10;UEsFBgAAAAAGAAYAWQEAAI4FAAAAAA==&#10;">
                <v:fill on="f" focussize="0,0"/>
                <v:stroke weight="2pt" color="#FF0000" joinstyle="round"/>
                <v:imagedata o:title=""/>
                <o:lock v:ext="edit" aspectratio="f"/>
              </v:line>
            </w:pict>
          </mc:Fallback>
        </mc:AlternateContent>
      </w:r>
    </w:p>
    <w:p w14:paraId="79657E32">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w:t>
      </w:r>
      <w:r>
        <w:rPr>
          <w:rFonts w:hint="eastAsia"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号</w:t>
      </w:r>
    </w:p>
    <w:p w14:paraId="2A8EC2B2">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 w:eastAsia="zh-CN"/>
        </w:rPr>
      </w:pPr>
    </w:p>
    <w:p w14:paraId="69EFC253">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US" w:eastAsia="zh-CN"/>
        </w:rPr>
      </w:pPr>
    </w:p>
    <w:p w14:paraId="755D56B0">
      <w:pPr>
        <w:keepNext w:val="0"/>
        <w:keepLines w:val="0"/>
        <w:pageBreakBefore w:val="0"/>
        <w:widowControl w:val="0"/>
        <w:suppressLineNumbers w:val="0"/>
        <w:kinsoku/>
        <w:wordWrap/>
        <w:overflowPunct w:val="0"/>
        <w:topLinePunct w:val="0"/>
        <w:autoSpaceDN/>
        <w:bidi w:val="0"/>
        <w:adjustRightInd/>
        <w:snapToGrid/>
        <w:spacing w:beforeLines="0" w:afterLines="0" w:line="6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行政处罚决定书</w:t>
      </w:r>
    </w:p>
    <w:p w14:paraId="0F2945B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textAlignment w:val="auto"/>
        <w:rPr>
          <w:rFonts w:hint="default" w:ascii="Times New Roman" w:hAnsi="Times New Roman" w:eastAsia="仿宋_GB2312" w:cs="Times New Roman"/>
          <w:b w:val="0"/>
          <w:bCs w:val="0"/>
          <w:sz w:val="32"/>
          <w:szCs w:val="32"/>
          <w:lang w:val="en-US" w:eastAsia="zh-CN"/>
        </w:rPr>
      </w:pPr>
    </w:p>
    <w:p w14:paraId="4DB03621">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 w:eastAsia="zh-CN"/>
        </w:rPr>
        <w:t>当事人：龙再云</w:t>
      </w:r>
    </w:p>
    <w:p w14:paraId="7261F82C">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eastAsia="zh-CN"/>
        </w:rPr>
        <w:t>地址：</w:t>
      </w:r>
      <w:r>
        <w:rPr>
          <w:rFonts w:hint="eastAsia" w:eastAsia="仿宋_GB2312" w:cs="Times New Roman"/>
          <w:b w:val="0"/>
          <w:bCs w:val="0"/>
          <w:sz w:val="32"/>
          <w:szCs w:val="32"/>
          <w:lang w:val="en-US" w:eastAsia="zh-CN"/>
        </w:rPr>
        <w:t>xx</w:t>
      </w:r>
    </w:p>
    <w:p w14:paraId="730A0873">
      <w:pPr>
        <w:numPr>
          <w:ilvl w:val="0"/>
          <w:numId w:val="0"/>
        </w:numPr>
        <w:overflowPunct/>
        <w:spacing w:line="580" w:lineRule="exact"/>
        <w:ind w:firstLine="640" w:firstLineChars="200"/>
        <w:rPr>
          <w:rFonts w:hint="default" w:ascii="Times New Roman" w:hAnsi="Times New Roman" w:eastAsia="仿宋_GB2312" w:cs="Times New Roman"/>
          <w:sz w:val="32"/>
          <w:szCs w:val="32"/>
          <w:highlight w:val="none"/>
          <w:lang w:val="en-GB"/>
        </w:rPr>
      </w:pPr>
      <w:r>
        <w:rPr>
          <w:rFonts w:hint="default" w:ascii="Times New Roman" w:hAnsi="Times New Roman" w:eastAsia="仿宋_GB2312" w:cs="Times New Roman"/>
          <w:b w:val="0"/>
          <w:bCs w:val="0"/>
          <w:sz w:val="32"/>
          <w:szCs w:val="32"/>
          <w:lang w:val="en-US" w:eastAsia="zh-CN"/>
        </w:rPr>
        <w:t>根据《湖南省财政厅关于组织开展全省2025年度会计和评估监督检查工作的通知》（湘财监〔2025〕7号），我厅派出检查组，对你签字并盖章的湘恒圆审字（2024）第01-01号</w:t>
      </w:r>
      <w:r>
        <w:rPr>
          <w:rFonts w:hint="default" w:eastAsia="仿宋_GB2312" w:cs="Times New Roman"/>
          <w:b w:val="0"/>
          <w:bCs w:val="0"/>
          <w:sz w:val="32"/>
          <w:szCs w:val="32"/>
          <w:lang w:val="en-US" w:eastAsia="zh-CN"/>
        </w:rPr>
        <w:t>、第03-05号、第03-12号等3份</w:t>
      </w:r>
      <w:r>
        <w:rPr>
          <w:rFonts w:hint="default" w:ascii="Times New Roman" w:hAnsi="Times New Roman" w:eastAsia="仿宋_GB2312" w:cs="Times New Roman"/>
          <w:b w:val="0"/>
          <w:bCs w:val="0"/>
          <w:sz w:val="32"/>
          <w:szCs w:val="32"/>
          <w:lang w:val="en-US" w:eastAsia="zh-CN"/>
        </w:rPr>
        <w:t>审计报告</w:t>
      </w:r>
      <w:r>
        <w:rPr>
          <w:rFonts w:hint="default" w:eastAsia="仿宋_GB2312" w:cs="Times New Roman"/>
          <w:b w:val="0"/>
          <w:bCs w:val="0"/>
          <w:sz w:val="32"/>
          <w:szCs w:val="32"/>
          <w:lang w:val="en-US" w:eastAsia="zh-CN"/>
        </w:rPr>
        <w:t>进行了检查。</w:t>
      </w:r>
      <w:r>
        <w:rPr>
          <w:rFonts w:hint="default" w:ascii="Times New Roman" w:hAnsi="Times New Roman" w:eastAsia="仿宋_GB2312" w:cs="Times New Roman"/>
          <w:spacing w:val="0"/>
          <w:sz w:val="32"/>
          <w:szCs w:val="32"/>
          <w:highlight w:val="none"/>
          <w:lang w:val="en-GB"/>
        </w:rPr>
        <w:t>检查过程中</w:t>
      </w:r>
      <w:r>
        <w:rPr>
          <w:rFonts w:hint="eastAsia" w:ascii="Times New Roman" w:hAnsi="Times New Roman" w:eastAsia="仿宋_GB2312" w:cs="Times New Roman"/>
          <w:spacing w:val="0"/>
          <w:sz w:val="32"/>
          <w:szCs w:val="32"/>
          <w:highlight w:val="none"/>
          <w:lang w:val="en-US" w:eastAsia="zh-CN"/>
        </w:rPr>
        <w:t>发现</w:t>
      </w:r>
      <w:r>
        <w:rPr>
          <w:rFonts w:hint="default" w:ascii="Times New Roman" w:hAnsi="Times New Roman" w:eastAsia="仿宋_GB2312" w:cs="Times New Roman"/>
          <w:spacing w:val="0"/>
          <w:sz w:val="32"/>
          <w:szCs w:val="32"/>
          <w:highlight w:val="none"/>
          <w:lang w:val="en-GB"/>
        </w:rPr>
        <w:t>的问题和作出的处罚决定如下：</w:t>
      </w:r>
    </w:p>
    <w:p w14:paraId="6EBF4326">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default" w:eastAsia="黑体" w:cs="Times New Roman"/>
          <w:b w:val="0"/>
          <w:bCs w:val="0"/>
          <w:sz w:val="32"/>
          <w:szCs w:val="32"/>
          <w:lang w:val="en-US" w:eastAsia="zh-CN"/>
        </w:rPr>
        <w:t>检查中发现的问题</w:t>
      </w:r>
    </w:p>
    <w:p w14:paraId="5E31FA80">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未履行必要的审计程序，未获取充分适当的审计证据。</w:t>
      </w:r>
    </w:p>
    <w:p w14:paraId="38BCAF27">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仿宋_GB2312" w:cs="Times New Roman"/>
          <w:b/>
          <w:bCs/>
          <w:i w:val="0"/>
          <w:iCs w:val="0"/>
          <w:sz w:val="32"/>
          <w:szCs w:val="32"/>
          <w:lang w:val="en-US" w:eastAsia="zh-CN"/>
        </w:rPr>
      </w:pPr>
      <w:r>
        <w:rPr>
          <w:rFonts w:hint="default" w:ascii="Times New Roman" w:hAnsi="Times New Roman" w:eastAsia="仿宋_GB2312" w:cs="Times New Roman"/>
          <w:b/>
          <w:bCs/>
          <w:i w:val="0"/>
          <w:iCs w:val="0"/>
          <w:sz w:val="32"/>
          <w:szCs w:val="32"/>
          <w:lang w:val="en-US" w:eastAsia="zh-CN"/>
        </w:rPr>
        <w:t>1.你</w:t>
      </w:r>
      <w:r>
        <w:rPr>
          <w:rFonts w:hint="default" w:eastAsia="仿宋_GB2312" w:cs="Times New Roman"/>
          <w:b/>
          <w:bCs/>
          <w:i w:val="0"/>
          <w:iCs w:val="0"/>
          <w:sz w:val="32"/>
          <w:szCs w:val="32"/>
          <w:lang w:val="en" w:eastAsia="zh-CN"/>
        </w:rPr>
        <w:t>签字并盖章的对</w:t>
      </w:r>
      <w:r>
        <w:rPr>
          <w:rFonts w:hint="eastAsia" w:eastAsia="仿宋_GB2312" w:cs="Times New Roman"/>
          <w:b/>
          <w:bCs/>
          <w:i w:val="0"/>
          <w:iCs w:val="0"/>
          <w:sz w:val="32"/>
          <w:szCs w:val="32"/>
          <w:lang w:val="en-US" w:eastAsia="zh-CN"/>
        </w:rPr>
        <w:t>xx</w:t>
      </w:r>
      <w:r>
        <w:rPr>
          <w:rFonts w:hint="default" w:ascii="Times New Roman" w:hAnsi="Times New Roman" w:eastAsia="仿宋_GB2312" w:cs="Times New Roman"/>
          <w:b/>
          <w:bCs/>
          <w:i w:val="0"/>
          <w:iCs w:val="0"/>
          <w:sz w:val="32"/>
          <w:szCs w:val="32"/>
          <w:lang w:val="en-US" w:eastAsia="zh-CN"/>
        </w:rPr>
        <w:t>公司2023年度财务报表审计出具的湘恒圆审字（2024）第01-01号审计报告（审计收费1万元），存在以下问题：</w:t>
      </w:r>
    </w:p>
    <w:p w14:paraId="7E027AFA">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未对银行存款、短期借款实施函证程序，未检查短期借款增加的会计凭证、借款单，</w:t>
      </w:r>
      <w:r>
        <w:rPr>
          <w:rFonts w:hint="default" w:ascii="Times New Roman" w:hAnsi="Times New Roman" w:eastAsia="仿宋_GB2312" w:cs="Times New Roman"/>
          <w:bCs/>
          <w:sz w:val="32"/>
          <w:szCs w:val="32"/>
        </w:rPr>
        <w:t>未根据科目设计并实施进一步审计程序。</w:t>
      </w:r>
    </w:p>
    <w:p w14:paraId="0713FB3A">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应收账款、预付账款、其他应收款、应付账款、其他应付款未函证，也未实施函证替代程序。</w:t>
      </w:r>
    </w:p>
    <w:p w14:paraId="16AE4914">
      <w:pPr>
        <w:keepNext w:val="0"/>
        <w:keepLines w:val="0"/>
        <w:pageBreakBefore w:val="0"/>
        <w:widowControl w:val="0"/>
        <w:numPr>
          <w:ilvl w:val="0"/>
          <w:numId w:val="1"/>
        </w:numPr>
        <w:tabs>
          <w:tab w:val="left" w:pos="0"/>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营业收入、营业成本、销售费用只有审定表，</w:t>
      </w:r>
      <w:r>
        <w:rPr>
          <w:rFonts w:hint="default" w:ascii="Times New Roman" w:hAnsi="Times New Roman" w:eastAsia="仿宋_GB2312" w:cs="Times New Roman"/>
          <w:bCs/>
          <w:sz w:val="32"/>
          <w:szCs w:val="32"/>
        </w:rPr>
        <w:t>未根据科目设计并实施进一步审计程序。</w:t>
      </w:r>
    </w:p>
    <w:p w14:paraId="3A33C011">
      <w:pPr>
        <w:keepNext w:val="0"/>
        <w:keepLines w:val="0"/>
        <w:pageBreakBefore w:val="0"/>
        <w:widowControl w:val="0"/>
        <w:numPr>
          <w:ilvl w:val="0"/>
          <w:numId w:val="1"/>
        </w:numPr>
        <w:tabs>
          <w:tab w:val="left" w:pos="0"/>
          <w:tab w:val="left" w:pos="908"/>
        </w:tabs>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未见现金流量表审计工作底稿。</w:t>
      </w:r>
    </w:p>
    <w:p w14:paraId="530EF25B">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2.你</w:t>
      </w:r>
      <w:r>
        <w:rPr>
          <w:rFonts w:hint="default" w:eastAsia="仿宋_GB2312" w:cs="Times New Roman"/>
          <w:b/>
          <w:bCs/>
          <w:sz w:val="32"/>
          <w:szCs w:val="32"/>
          <w:lang w:val="en" w:eastAsia="zh-CN"/>
        </w:rPr>
        <w:t>签字并盖章的对</w:t>
      </w:r>
      <w:r>
        <w:rPr>
          <w:rFonts w:hint="eastAsia" w:eastAsia="仿宋_GB2312" w:cs="Times New Roman"/>
          <w:b/>
          <w:bCs/>
          <w:sz w:val="32"/>
          <w:szCs w:val="32"/>
          <w:lang w:val="en-US" w:eastAsia="zh-CN"/>
        </w:rPr>
        <w:t>xx</w:t>
      </w:r>
      <w:r>
        <w:rPr>
          <w:rFonts w:hint="default" w:ascii="Times New Roman" w:hAnsi="Times New Roman" w:eastAsia="仿宋_GB2312" w:cs="Times New Roman"/>
          <w:b/>
          <w:bCs/>
          <w:sz w:val="32"/>
          <w:szCs w:val="32"/>
          <w:lang w:val="en-US" w:eastAsia="zh-CN"/>
        </w:rPr>
        <w:t>公司2023年度财务报表审计出具的湘恒圆审字（2024）第03-05号审计报告（审计收费0.15万元），存在以下问题：</w:t>
      </w:r>
    </w:p>
    <w:p w14:paraId="0A5478CC">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（1）未对银行存款实施函证程序，仅获取了被审计单位银行存款对账单复印件，</w:t>
      </w:r>
      <w:r>
        <w:rPr>
          <w:rFonts w:hint="default" w:ascii="Times New Roman" w:hAnsi="Times New Roman" w:eastAsia="仿宋_GB2312" w:cs="Times New Roman"/>
          <w:bCs/>
          <w:sz w:val="32"/>
          <w:szCs w:val="32"/>
        </w:rPr>
        <w:t>未根据科目设计并实施进一步审计程序</w:t>
      </w:r>
      <w:r>
        <w:rPr>
          <w:rFonts w:hint="default" w:ascii="Times New Roman" w:hAnsi="Times New Roman" w:eastAsia="仿宋_GB2312" w:cs="Times New Roman"/>
          <w:bCs/>
          <w:sz w:val="32"/>
          <w:szCs w:val="32"/>
          <w:lang w:eastAsia="zh-CN"/>
        </w:rPr>
        <w:t>。</w:t>
      </w:r>
    </w:p>
    <w:p w14:paraId="69D3D434">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（2）其他应收款未函证，未根据科目设计并实施进一步审计程序。</w:t>
      </w:r>
    </w:p>
    <w:p w14:paraId="235B7808">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（3）长期股权投资、长期待摊费用、预收账款未见底稿。</w:t>
      </w:r>
    </w:p>
    <w:p w14:paraId="18487532">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（4）营业收入和营业成本只有明细表，未根据科目设计并实施进一步审计程序。</w:t>
      </w:r>
    </w:p>
    <w:p w14:paraId="40CBD230">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3.你</w:t>
      </w:r>
      <w:r>
        <w:rPr>
          <w:rFonts w:hint="default" w:eastAsia="仿宋_GB2312" w:cs="Times New Roman"/>
          <w:b/>
          <w:bCs/>
          <w:sz w:val="32"/>
          <w:szCs w:val="32"/>
          <w:lang w:val="en" w:eastAsia="zh-CN"/>
        </w:rPr>
        <w:t>签字并盖章的对</w:t>
      </w:r>
      <w:r>
        <w:rPr>
          <w:rFonts w:hint="eastAsia" w:eastAsia="仿宋_GB2312" w:cs="Times New Roman"/>
          <w:b/>
          <w:bCs/>
          <w:sz w:val="32"/>
          <w:szCs w:val="32"/>
          <w:lang w:val="en-US" w:eastAsia="zh-CN"/>
        </w:rPr>
        <w:t>xx</w:t>
      </w:r>
      <w:r>
        <w:rPr>
          <w:rFonts w:hint="default" w:ascii="Times New Roman" w:hAnsi="Times New Roman" w:eastAsia="仿宋_GB2312" w:cs="Times New Roman"/>
          <w:b/>
          <w:bCs/>
          <w:sz w:val="32"/>
          <w:szCs w:val="32"/>
          <w:lang w:val="en-US" w:eastAsia="zh-CN"/>
        </w:rPr>
        <w:t>公司2023年度财务报表审计出具的湘恒圆审字（2024）第03-12号审计报告（审计收费0.4万元），存在以下问题：</w:t>
      </w:r>
    </w:p>
    <w:p w14:paraId="49A14673">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（1）未对银行存款、短期借款实施函证程序，未检查借款合同和借款凭证，未根据科目设计并实施进一步审计程序。</w:t>
      </w:r>
    </w:p>
    <w:p w14:paraId="545FACB2">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（2）应收账款、预付账款、其他应收款、应付账款、其他应付款只有明细表，未函证，也未根据科目设计并实施进一步审计程序。</w:t>
      </w:r>
    </w:p>
    <w:p w14:paraId="4A822E79">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（3）存货和应交税费只有审定表和明细表，未根据科目设计并实施进一步审计程序。</w:t>
      </w:r>
    </w:p>
    <w:p w14:paraId="39805217">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（4）营业收入和营业成本只有明细表，未根据科目设计并实施进一步审计程序。</w:t>
      </w:r>
    </w:p>
    <w:p w14:paraId="768486E6">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（5）管理费用只有审定表，未根据科目设计并实施进一步审计程序。</w:t>
      </w:r>
    </w:p>
    <w:p w14:paraId="72C3568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上述问题，违反了以下法律法规有关规定：</w:t>
      </w:r>
    </w:p>
    <w:p w14:paraId="3400198B">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1.《中华人民共和国注册会计师法》第二十一条“注册会计师执行审计业务，必须按照执业准则、规则确定的工作程序出具报告”、第三十一条“本法第十八条至第二十一条的规定，适用于会计师事务所”；</w:t>
      </w:r>
    </w:p>
    <w:p w14:paraId="2EE8E205">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会计师事务所执业许可和监督管理办法》（财政部令第97号）第六十条第一项“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p>
    <w:p w14:paraId="543DE0E3">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中国注册会计师审计准则第1131号——审计工作底稿》第八条“注册会计师的目标是，编制审计工作底稿以便：（一）提供充分、适当的记录，作为出具审计报告的基础；（二）提供证据，证明注册会计师已按照审计准则和相关法律</w:t>
      </w:r>
      <w:r>
        <w:rPr>
          <w:rFonts w:hint="default" w:eastAsia="仿宋_GB2312" w:cs="Times New Roman"/>
          <w:b w:val="0"/>
          <w:bCs w:val="0"/>
          <w:sz w:val="32"/>
          <w:szCs w:val="32"/>
          <w:lang w:val="en-US" w:eastAsia="zh-CN"/>
        </w:rPr>
        <w:t>法规</w:t>
      </w:r>
      <w:r>
        <w:rPr>
          <w:rFonts w:hint="default" w:ascii="Times New Roman" w:hAnsi="Times New Roman" w:eastAsia="仿宋_GB2312" w:cs="Times New Roman"/>
          <w:b w:val="0"/>
          <w:bCs w:val="0"/>
          <w:sz w:val="32"/>
          <w:szCs w:val="32"/>
          <w:lang w:val="en-US" w:eastAsia="zh-CN"/>
        </w:rPr>
        <w:t>的规定计划和执行了审计工作”；</w:t>
      </w:r>
    </w:p>
    <w:p w14:paraId="48675C81">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4.《中国注册会计师审计准则第1301号——审计证据》第十条“注册会计师应当根据具体情况设计和实施恰当的审计程序，以获取充分、适当的审计证据”；</w:t>
      </w:r>
    </w:p>
    <w:p w14:paraId="1D715B60">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中国注册会计师审计准则第1312号——函证》第十二条“注册会计师应当对银行存款（包括零余额账户和在本期内注销的账户）、借款及与金融机构往来的其他重要信息实施函证程序，除非有充分证据表明某一银行存款、借款及与金融机构往来的其他重要信息对财务报表不重要且与之相关的重大错报风险很低。如果不对这些项目实施函证程序，注册会计师应当在审计工作底稿中说明理由”、第十三条“注册会计师应当对应收账款实施函证程序，除非有充分证据表明应收账款对财务报表不重要，或函证很可能无效。如果认为函证很可能无效，注册会计师应当实施替代审计程序，获取相关、可靠的审计证据。如果不对应收账款函证，注册会计师应当在审计工作底稿中说明理由”等。</w:t>
      </w:r>
    </w:p>
    <w:p w14:paraId="2038C26F">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以上事实，有你及你所在的湖南恒圆会计师事务所合伙企业（普通合伙）签署的审计报告及工作底稿，以及你签字确认的财政检查工作底稿等资料作为证据。</w:t>
      </w:r>
    </w:p>
    <w:p w14:paraId="7346018C">
      <w:pPr>
        <w:keepNext w:val="0"/>
        <w:keepLines w:val="0"/>
        <w:pageBreakBefore w:val="0"/>
        <w:widowControl w:val="0"/>
        <w:numPr>
          <w:ilvl w:val="0"/>
          <w:numId w:val="2"/>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作出的处罚决定和处罚</w:t>
      </w:r>
      <w:r>
        <w:rPr>
          <w:rFonts w:hint="default" w:eastAsia="黑体" w:cs="Times New Roman"/>
          <w:b w:val="0"/>
          <w:bCs w:val="0"/>
          <w:sz w:val="32"/>
          <w:szCs w:val="32"/>
          <w:lang w:val="en-US" w:eastAsia="zh-CN"/>
        </w:rPr>
        <w:t>依据</w:t>
      </w:r>
    </w:p>
    <w:p w14:paraId="59FCF611">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中华人民共和国注册会计师法》第三十九条第二款“注册会计师违反本法第二十条、第二十一条规定的，由省级以上人民政府财政部门给予警告；情节严重的，可以由省级以上人民政府财政部门暂停其执行业务或者吊销注册会计师证书”，《会计师事务所执业许可和监督管理办法》（财政部令第97号）第七十条第一款“注册会计师违反本办法第六十条第一项至第四项规定的，由省级以上财政部门给予警告；情节严重的，可以由省级以上人民政府财政部门暂停其执行业务1个月至1年或者吊销注册会计师证书”，以及《湖南省财政厅行政处罚裁量权基准（2022年版）》“三、注册会计师和会计师事务所监督类”第9项规定，你的违法行为属于一般处罚阶次，我厅对你作出以下处罚：警告，暂停执业1个月。同时，责令你立即整改。</w:t>
      </w:r>
    </w:p>
    <w:p w14:paraId="63461F98">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如不服本决定，你可自收到本决定书之日起60日内，依法向湖南省人民政府申请行政复议；或者在收到本决定书之日起6个月内，依法向长沙铁路运输法院提起行政诉讼。复议和诉讼期间，上述决定不停止执行。</w:t>
      </w:r>
    </w:p>
    <w:p w14:paraId="50BBC084">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5139D583">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right"/>
        <w:textAlignment w:val="auto"/>
        <w:rPr>
          <w:rFonts w:hint="default" w:ascii="Times New Roman" w:hAnsi="Times New Roman" w:eastAsia="仿宋_GB2312" w:cs="Times New Roman"/>
          <w:sz w:val="32"/>
          <w:szCs w:val="32"/>
          <w:lang w:val="en-US" w:eastAsia="zh-CN"/>
        </w:rPr>
      </w:pPr>
    </w:p>
    <w:p w14:paraId="16FCA7CE">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湖南省财政厅</w:t>
      </w:r>
    </w:p>
    <w:p w14:paraId="03D8C888">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w:t>
      </w:r>
      <w:r>
        <w:rPr>
          <w:rFonts w:hint="default"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bookmarkStart w:id="0" w:name="_GoBack"/>
      <w:bookmarkEnd w:id="0"/>
    </w:p>
    <w:sectPr>
      <w:footerReference r:id="rId5" w:type="first"/>
      <w:headerReference r:id="rId3" w:type="default"/>
      <w:footerReference r:id="rId4" w:type="default"/>
      <w:pgSz w:w="11905" w:h="16837"/>
      <w:pgMar w:top="1417" w:right="1587" w:bottom="1417" w:left="1587" w:header="567" w:footer="1304" w:gutter="0"/>
      <w:pgNumType w:fmt="numberInDash" w:start="1"/>
      <w:cols w:space="0" w:num="1"/>
      <w:titlePg/>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A27F80-8A91-4FF0-A6F9-EE3A10CD3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9D2E951F-5FD2-4A01-B7B0-B44A7602C00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426311A-830D-4C2D-9905-0F4D2C470B97}"/>
  </w:font>
  <w:font w:name="楷体_GB2312">
    <w:altName w:val="楷体"/>
    <w:panose1 w:val="02010609030101010101"/>
    <w:charset w:val="86"/>
    <w:family w:val="auto"/>
    <w:pitch w:val="default"/>
    <w:sig w:usb0="00000000" w:usb1="00000000" w:usb2="00000000" w:usb3="00000000" w:csb0="00040000" w:csb1="00000000"/>
    <w:embedRegular r:id="rId4" w:fontKey="{08440B44-1039-4A22-9378-6C7883C0E2C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EE13">
    <w:pPr>
      <w:pStyle w:val="4"/>
      <w:ind w:right="420" w:firstLine="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21B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721BC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B5E0">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517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FF8F9"/>
    <w:multiLevelType w:val="singleLevel"/>
    <w:tmpl w:val="C77FF8F9"/>
    <w:lvl w:ilvl="0" w:tentative="0">
      <w:start w:val="1"/>
      <w:numFmt w:val="decimal"/>
      <w:suff w:val="nothing"/>
      <w:lvlText w:val="（%1）"/>
      <w:lvlJc w:val="left"/>
      <w:pPr>
        <w:ind w:left="640" w:leftChars="0" w:firstLine="0" w:firstLineChars="0"/>
      </w:pPr>
    </w:lvl>
  </w:abstractNum>
  <w:abstractNum w:abstractNumId="1">
    <w:nsid w:val="CDFFEE3E"/>
    <w:multiLevelType w:val="singleLevel"/>
    <w:tmpl w:val="CDFFEE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jUxNzczYmNlMjZhZTNlZGIzY2Y1MDlhNWYzOWIifQ=="/>
  </w:docVars>
  <w:rsids>
    <w:rsidRoot w:val="00172A27"/>
    <w:rsid w:val="002A474B"/>
    <w:rsid w:val="00435DE7"/>
    <w:rsid w:val="004B59E2"/>
    <w:rsid w:val="00526CEE"/>
    <w:rsid w:val="00553719"/>
    <w:rsid w:val="00641B34"/>
    <w:rsid w:val="0067237F"/>
    <w:rsid w:val="00724687"/>
    <w:rsid w:val="007341FD"/>
    <w:rsid w:val="00742F0C"/>
    <w:rsid w:val="00745F11"/>
    <w:rsid w:val="00787363"/>
    <w:rsid w:val="009C4B7E"/>
    <w:rsid w:val="00A35B23"/>
    <w:rsid w:val="00A90A98"/>
    <w:rsid w:val="00AF38B9"/>
    <w:rsid w:val="00B04543"/>
    <w:rsid w:val="00B33729"/>
    <w:rsid w:val="00C11B00"/>
    <w:rsid w:val="00DD55B7"/>
    <w:rsid w:val="00FA007A"/>
    <w:rsid w:val="04BD3C2F"/>
    <w:rsid w:val="0E911F53"/>
    <w:rsid w:val="1FCFB35E"/>
    <w:rsid w:val="1FF71830"/>
    <w:rsid w:val="2577AF36"/>
    <w:rsid w:val="2DF92345"/>
    <w:rsid w:val="2FFFCC48"/>
    <w:rsid w:val="31EDDE97"/>
    <w:rsid w:val="38AF30F2"/>
    <w:rsid w:val="3B7EE3D1"/>
    <w:rsid w:val="3F3BA3D0"/>
    <w:rsid w:val="3F5FEE41"/>
    <w:rsid w:val="3FBBD984"/>
    <w:rsid w:val="420F4A55"/>
    <w:rsid w:val="4AFD10B5"/>
    <w:rsid w:val="4E761B8A"/>
    <w:rsid w:val="556B4CEA"/>
    <w:rsid w:val="5AA771F9"/>
    <w:rsid w:val="5BDFCA2F"/>
    <w:rsid w:val="5F65D03B"/>
    <w:rsid w:val="5F77676E"/>
    <w:rsid w:val="5FE5DC4D"/>
    <w:rsid w:val="5FEF1679"/>
    <w:rsid w:val="5FEF84F8"/>
    <w:rsid w:val="5FFFAC5A"/>
    <w:rsid w:val="64D32209"/>
    <w:rsid w:val="67E162F3"/>
    <w:rsid w:val="67F537D5"/>
    <w:rsid w:val="6B6FFD20"/>
    <w:rsid w:val="6B7C131D"/>
    <w:rsid w:val="6BF74E9A"/>
    <w:rsid w:val="6DFFFA68"/>
    <w:rsid w:val="6E3F6315"/>
    <w:rsid w:val="6F0FB3D9"/>
    <w:rsid w:val="6F833E48"/>
    <w:rsid w:val="6FAFEF5E"/>
    <w:rsid w:val="6FFBBFE3"/>
    <w:rsid w:val="71E7D7FD"/>
    <w:rsid w:val="71FF4EDC"/>
    <w:rsid w:val="735EF7FF"/>
    <w:rsid w:val="73DB4C14"/>
    <w:rsid w:val="75CBA84A"/>
    <w:rsid w:val="75CD67C7"/>
    <w:rsid w:val="75E33B05"/>
    <w:rsid w:val="75EFDE50"/>
    <w:rsid w:val="76BB09AD"/>
    <w:rsid w:val="76E9EA1D"/>
    <w:rsid w:val="773EF5DA"/>
    <w:rsid w:val="7BEE4E65"/>
    <w:rsid w:val="7CFF9619"/>
    <w:rsid w:val="7DB6C9DD"/>
    <w:rsid w:val="7DDF12B6"/>
    <w:rsid w:val="7E7FBAA8"/>
    <w:rsid w:val="7EC7833D"/>
    <w:rsid w:val="7EFBFFE2"/>
    <w:rsid w:val="7F1FAA9D"/>
    <w:rsid w:val="7F5D542D"/>
    <w:rsid w:val="7F7ADD30"/>
    <w:rsid w:val="7F7B3133"/>
    <w:rsid w:val="7FB10F79"/>
    <w:rsid w:val="7FF34C2A"/>
    <w:rsid w:val="7FF6D70A"/>
    <w:rsid w:val="7FF7B26A"/>
    <w:rsid w:val="7FFBB814"/>
    <w:rsid w:val="7FFF8494"/>
    <w:rsid w:val="87FB0F9F"/>
    <w:rsid w:val="9DEE1ACF"/>
    <w:rsid w:val="9DF86CCF"/>
    <w:rsid w:val="9EFE5F9D"/>
    <w:rsid w:val="A5DF495F"/>
    <w:rsid w:val="AD75D05D"/>
    <w:rsid w:val="ADDAA7C3"/>
    <w:rsid w:val="AE973E9C"/>
    <w:rsid w:val="AF8F899B"/>
    <w:rsid w:val="AFFFE788"/>
    <w:rsid w:val="B2BF9FE6"/>
    <w:rsid w:val="B7964001"/>
    <w:rsid w:val="B9BF1244"/>
    <w:rsid w:val="BA5F3879"/>
    <w:rsid w:val="BBD73CCE"/>
    <w:rsid w:val="BDF65EF4"/>
    <w:rsid w:val="BE3FFFB9"/>
    <w:rsid w:val="BF7F77E3"/>
    <w:rsid w:val="C5FB49E5"/>
    <w:rsid w:val="CFAA5F4C"/>
    <w:rsid w:val="CFFB377F"/>
    <w:rsid w:val="D39E0913"/>
    <w:rsid w:val="D3F966EF"/>
    <w:rsid w:val="D3FB1336"/>
    <w:rsid w:val="D93FF73B"/>
    <w:rsid w:val="DAFFA96B"/>
    <w:rsid w:val="DB74D880"/>
    <w:rsid w:val="DDFD20E4"/>
    <w:rsid w:val="DDFF865F"/>
    <w:rsid w:val="DECD1069"/>
    <w:rsid w:val="DEFF5A4D"/>
    <w:rsid w:val="DF3E20D3"/>
    <w:rsid w:val="DF3FBFA7"/>
    <w:rsid w:val="DFFF473A"/>
    <w:rsid w:val="E6FFC817"/>
    <w:rsid w:val="EED38E37"/>
    <w:rsid w:val="EEFFC464"/>
    <w:rsid w:val="EF3B3453"/>
    <w:rsid w:val="EF7F26F3"/>
    <w:rsid w:val="EFA979A2"/>
    <w:rsid w:val="EFA9895A"/>
    <w:rsid w:val="EFB7C0F8"/>
    <w:rsid w:val="EFDFC74A"/>
    <w:rsid w:val="EFFFD3F5"/>
    <w:rsid w:val="F45E17C1"/>
    <w:rsid w:val="F5F37904"/>
    <w:rsid w:val="F676806E"/>
    <w:rsid w:val="F7EE7E9F"/>
    <w:rsid w:val="FAF85DB6"/>
    <w:rsid w:val="FB99E2D2"/>
    <w:rsid w:val="FD34080E"/>
    <w:rsid w:val="FD3F9234"/>
    <w:rsid w:val="FDBF9EB5"/>
    <w:rsid w:val="FDFB63B1"/>
    <w:rsid w:val="FEF64DD4"/>
    <w:rsid w:val="FF1F1211"/>
    <w:rsid w:val="FF5F5CFC"/>
    <w:rsid w:val="FFAF9864"/>
    <w:rsid w:val="FFAFA9F1"/>
    <w:rsid w:val="FFBB91C9"/>
    <w:rsid w:val="FFBE9094"/>
    <w:rsid w:val="FFDB3F94"/>
    <w:rsid w:val="FFDF883B"/>
    <w:rsid w:val="FFE6D085"/>
    <w:rsid w:val="FFEBCEE1"/>
    <w:rsid w:val="FFF95DE7"/>
    <w:rsid w:val="FFFD7959"/>
    <w:rsid w:val="FFFD7EF9"/>
    <w:rsid w:val="FFFFC4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表格内容"/>
    <w:basedOn w:val="2"/>
    <w:qFormat/>
    <w:uiPriority w:val="0"/>
    <w:pPr>
      <w:suppressLineNumbers/>
      <w:suppressAutoHyphens/>
      <w:jc w:val="left"/>
    </w:pPr>
    <w:rPr>
      <w:rFonts w:cs="Tahoma"/>
      <w:kern w:val="0"/>
      <w:sz w:val="24"/>
    </w:rPr>
  </w:style>
  <w:style w:type="character" w:customStyle="1" w:styleId="14">
    <w:name w:val="批注框文本 Char"/>
    <w:link w:val="3"/>
    <w:qFormat/>
    <w:uiPriority w:val="0"/>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2125</Words>
  <Characters>2227</Characters>
  <Lines>21</Lines>
  <Paragraphs>6</Paragraphs>
  <TotalTime>1</TotalTime>
  <ScaleCrop>false</ScaleCrop>
  <LinksUpToDate>false</LinksUpToDate>
  <CharactersWithSpaces>2268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2018-01-18T07:14:00Z</dcterms:created>
  <dc:creator>Administrator</dc:creator>
  <cp:lastModifiedBy>Administrator</cp:lastModifiedBy>
  <cp:lastPrinted>2025-09-12T18:17:00Z</cp:lastPrinted>
  <dcterms:modified xsi:type="dcterms:W3CDTF">2026-04-28T02:45:12Z</dcterms:modified>
  <dc:title>湖南省财政厅发文（指标、函）稿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C31184E104B65A0EAA7DE569D0B0AF09</vt:lpwstr>
  </property>
  <property fmtid="{D5CDD505-2E9C-101B-9397-08002B2CF9AE}" pid="4" name="KSOTemplateDocerSaveRecord">
    <vt:lpwstr>eyJoZGlkIjoiOGY0YzY3OWUxZjczMmFjMzU2ZTI3YTllNWIyNGY2NWQiLCJ1c2VySWQiOiI0NDU5MDMxODYifQ==</vt:lpwstr>
  </property>
</Properties>
</file>