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2D512">
      <w:pPr>
        <w:spacing w:line="400" w:lineRule="exact"/>
        <w:rPr>
          <w:rFonts w:hint="default" w:ascii="Times New Roman" w:hAnsi="Times New Roman" w:cs="Times New Roman"/>
        </w:rPr>
      </w:pPr>
      <w:bookmarkStart w:id="1" w:name="_GoBack"/>
      <w:bookmarkEnd w:id="1"/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5616575" cy="0"/>
                <wp:effectExtent l="0" t="12700" r="9525" b="1270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53.6pt;height:0pt;width:442.25pt;z-index:251660288;mso-width-relative:page;mso-height-relative:page;" filled="f" stroked="t" coordsize="21600,21600" o:gfxdata="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Qzh14&#10;1QAAAAgBAAAPAAAAAAAAAAEAIAAAACIAAABkcnMvZG93bnJldi54bWxQSwECFAAUAAAACACHTuJA&#10;wAKIyusBAADcAwAADgAAAAAAAAABACAAAAAkAQAAZHJzL2Uyb0RvYy54bWxQSwUGAAAAAAYABgBZ&#10;AQAAg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13D5A77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湘财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44EF308F">
      <w:pPr>
        <w:spacing w:line="600" w:lineRule="exact"/>
        <w:rPr>
          <w:rFonts w:hint="default" w:ascii="Times New Roman" w:hAnsi="Times New Roman" w:cs="Times New Roman"/>
        </w:rPr>
      </w:pPr>
    </w:p>
    <w:p w14:paraId="547E63C1">
      <w:pPr>
        <w:spacing w:line="600" w:lineRule="exact"/>
        <w:rPr>
          <w:rFonts w:hint="default" w:ascii="Times New Roman" w:hAnsi="Times New Roman" w:cs="Times New Roman"/>
        </w:rPr>
      </w:pPr>
    </w:p>
    <w:p w14:paraId="5F3EDD8A">
      <w:pPr>
        <w:keepNext w:val="0"/>
        <w:keepLines w:val="0"/>
        <w:pageBreakBefore w:val="0"/>
        <w:kinsoku/>
        <w:wordWrap/>
        <w:autoSpaceDE/>
        <w:bidi w:val="0"/>
        <w:spacing w:afterLines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lang w:eastAsia="zh-CN"/>
        </w:rPr>
        <w:t>行政处罚决定书</w:t>
      </w:r>
    </w:p>
    <w:p w14:paraId="7AEA023F">
      <w:pPr>
        <w:keepNext w:val="0"/>
        <w:keepLines w:val="0"/>
        <w:pageBreakBefore w:val="0"/>
        <w:kinsoku/>
        <w:wordWrap/>
        <w:autoSpaceDE/>
        <w:bidi w:val="0"/>
        <w:spacing w:afterLines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2707A84">
      <w:pPr>
        <w:pStyle w:val="12"/>
        <w:keepNext w:val="0"/>
        <w:keepLines w:val="0"/>
        <w:pageBreakBefore w:val="0"/>
        <w:kinsoku/>
        <w:wordWrap/>
        <w:topLinePunct/>
        <w:autoSpaceDE/>
        <w:autoSpaceDN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当事人：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李银</w:t>
      </w:r>
    </w:p>
    <w:p w14:paraId="39B0942C">
      <w:pPr>
        <w:pStyle w:val="3"/>
        <w:keepNext w:val="0"/>
        <w:keepLines w:val="0"/>
        <w:pageBreakBefore w:val="0"/>
        <w:kinsoku/>
        <w:wordWrap/>
        <w:overflowPunct w:val="0"/>
        <w:autoSpaceDE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</w:p>
    <w:p w14:paraId="765F63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32"/>
          <w:lang w:val="en-GB"/>
        </w:rPr>
      </w:pPr>
    </w:p>
    <w:p w14:paraId="63CDD4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GB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根据《湖南省财政厅关于组织开展全省2025年度会计和评估监督检查工作的通知》（湘财监〔2025〕7号），我厅派出检查组，</w:t>
      </w:r>
      <w:r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你签字并盖章的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湘欣兰德资评报字（2024）第015号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/>
        </w:rPr>
        <w:t>第018号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资产评估报告进行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检查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GB"/>
        </w:rPr>
        <w:t>检查过程中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发现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GB"/>
        </w:rPr>
        <w:t>的问题和作出的处罚决定如下：</w:t>
      </w:r>
    </w:p>
    <w:p w14:paraId="5513C8A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检查中发现的问题</w:t>
      </w:r>
    </w:p>
    <w:p w14:paraId="50E46757">
      <w:pPr>
        <w:pStyle w:val="1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hd w:val="clear" w:color="auto" w:fill="auto"/>
          <w:lang w:val="en-US"/>
        </w:rPr>
      </w:pPr>
      <w:bookmarkStart w:id="0" w:name="OLE_LINK1"/>
      <w:r>
        <w:rPr>
          <w:rFonts w:hint="default" w:ascii="Times New Roman" w:hAnsi="Times New Roman" w:eastAsia="楷体_GB2312" w:cs="Times New Roman"/>
          <w:b/>
          <w:bCs/>
          <w:color w:val="000000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出具有重大遗漏的评估报告。</w:t>
      </w:r>
    </w:p>
    <w:p w14:paraId="050C616E">
      <w:pPr>
        <w:pStyle w:val="3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</w:pP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公司拟股权转让涉及的企业股东全部权益价值评估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湘欣兰德资评报字（2024）第015号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实收金额2.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万元人民币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）</w:t>
      </w:r>
    </w:p>
    <w:p w14:paraId="16779562">
      <w:pPr>
        <w:keepNext w:val="0"/>
        <w:keepLines w:val="0"/>
        <w:pageBreakBefore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未见预测收益的相关底稿资料。</w:t>
      </w:r>
    </w:p>
    <w:p w14:paraId="2F580F5A">
      <w:pPr>
        <w:keepNext w:val="0"/>
        <w:keepLines w:val="0"/>
        <w:pageBreakBefore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《资产评估执业准则——企业价值》第十一条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的相关规定。</w:t>
      </w:r>
    </w:p>
    <w:p w14:paraId="178E0077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评估结果的选取方式不符合准则要求，缺乏充分论证。本次出具的报告中采用资产基础法（评估值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万元）和收益法（评估值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万元）评估后，直接以“资产基础法、收益法的估价结果各占50%”进行加权平均，得出最终结论（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万元）。未充分分析两种方法的适用性差异，未说明“等权重（各占50%）分配”的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合理性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（如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为何两种方法的可靠性、与评估目的的匹配度完全等同）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A4D15D1">
      <w:pPr>
        <w:keepNext w:val="0"/>
        <w:keepLines w:val="0"/>
        <w:pageBreakBefore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《资产评估执业准则——资产评估程序》第二十一条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相关规定。</w:t>
      </w:r>
    </w:p>
    <w:p w14:paraId="2F6AA137">
      <w:pPr>
        <w:keepNext w:val="0"/>
        <w:keepLines w:val="0"/>
        <w:pageBreakBefore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本次出具的资产评估报告折现率计算采用WACC方法，评估说明对权益报酬率采用风险累加法，且明确预测期与永续预测期折现率不一致，其中明确预测期为5.61%、永续预测期为4.14%，未见相关分析说明。</w:t>
      </w:r>
    </w:p>
    <w:p w14:paraId="44AE5181">
      <w:pPr>
        <w:keepNext w:val="0"/>
        <w:keepLines w:val="0"/>
        <w:pageBreakBefore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《资产评估专家指引第12号——收益法评估企业价值中折现率的测算》第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《资产评估执业准则——资产评估程序》第二十一条的相关规定。</w:t>
      </w:r>
    </w:p>
    <w:p w14:paraId="6179B13B">
      <w:pPr>
        <w:pStyle w:val="3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</w:pP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公司普查探矿权资金资产评估项目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湘欣兰德资评报字（2024）第018号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实收金额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万元人民币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）</w:t>
      </w:r>
    </w:p>
    <w:p w14:paraId="3123BBCA">
      <w:pPr>
        <w:keepNext w:val="0"/>
        <w:keepLines w:val="0"/>
        <w:pageBreakBefore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缺少评估对象现场调查记录。</w:t>
      </w:r>
    </w:p>
    <w:p w14:paraId="65EDD719">
      <w:pPr>
        <w:keepNext w:val="0"/>
        <w:keepLines w:val="0"/>
        <w:pageBreakBefore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eastAsia="仿宋_GB2312"/>
          <w:sz w:val="32"/>
          <w:szCs w:val="32"/>
        </w:rPr>
        <w:t>《资产评估执业准则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default" w:eastAsia="仿宋_GB2312"/>
          <w:sz w:val="32"/>
          <w:szCs w:val="32"/>
        </w:rPr>
        <w:t>资产评估程序》第七条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的相关规定。</w:t>
      </w:r>
    </w:p>
    <w:p w14:paraId="66328021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未收集涉及评估对象和评估范围的必要资料，如：获取探矿权的相关合同协议、其他设备投入明细等。</w:t>
      </w:r>
    </w:p>
    <w:p w14:paraId="7271C8EA">
      <w:pPr>
        <w:keepNext w:val="0"/>
        <w:keepLines w:val="0"/>
        <w:pageBreakBefore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eastAsia="仿宋_GB2312"/>
          <w:sz w:val="32"/>
          <w:szCs w:val="32"/>
        </w:rPr>
        <w:t>《资产评估执业准则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default" w:eastAsia="仿宋_GB2312"/>
          <w:sz w:val="32"/>
          <w:szCs w:val="32"/>
        </w:rPr>
        <w:t>资产评估程序》第十三条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相关规定。</w:t>
      </w:r>
    </w:p>
    <w:p w14:paraId="2CA25F76">
      <w:pPr>
        <w:keepNext w:val="0"/>
        <w:keepLines w:val="0"/>
        <w:pageBreakBefore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对收集的定价依据资料：探矿权价款缴纳相关凭证、探矿权持有期间（2011年6月1日-2018年6月30日）探矿权使用费缴纳凭证、勘查投入等，无核查验证记录。</w:t>
      </w:r>
    </w:p>
    <w:p w14:paraId="4C4A75A5">
      <w:pPr>
        <w:keepNext w:val="0"/>
        <w:keepLines w:val="0"/>
        <w:pageBreakBefore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《资产评估执业准则——资产评估程序》第十五条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的相关规定。</w:t>
      </w:r>
    </w:p>
    <w:p w14:paraId="36B12ED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经专家论证，认定上述两份报告中的问题构成重大遗漏，违反了《中华人民共和国资产评估法》第二十条“评估机构不得有下列行为：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（六）出具虚假评估报告或者有重大遗漏的评估报告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”的相关规定。</w:t>
      </w:r>
    </w:p>
    <w:bookmarkEnd w:id="0"/>
    <w:p w14:paraId="779A91AB">
      <w:pPr>
        <w:keepNext w:val="0"/>
        <w:keepLines w:val="0"/>
        <w:pageBreakBefore w:val="0"/>
        <w:kinsoku/>
        <w:wordWrap/>
        <w:overflow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以上事实，有你签字的资产评估报告、评估工作底稿以及签字确认的财政检查报告、财政检查工作底稿、专家论证意见等资料作为证据。</w:t>
      </w:r>
    </w:p>
    <w:p w14:paraId="7292358F">
      <w:pPr>
        <w:keepNext w:val="0"/>
        <w:keepLines w:val="0"/>
        <w:pageBreakBefore w:val="0"/>
        <w:kinsoku/>
        <w:wordWrap/>
        <w:overflow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作出的处罚决定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和处罚依据</w:t>
      </w:r>
    </w:p>
    <w:p w14:paraId="6416D2A8">
      <w:pPr>
        <w:keepNext w:val="0"/>
        <w:keepLines w:val="0"/>
        <w:pageBreakBefore w:val="0"/>
        <w:kinsoku/>
        <w:wordWrap/>
        <w:overflowPunct w:val="0"/>
        <w:autoSpaceDE/>
        <w:bidi w:val="0"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根据《中华人民共和国资产评估法》第四十四条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第五项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以及《湖南省财政厅行政处罚裁量权基准（2022年版）》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四、资产评估监督类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第5项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你的违法行为适用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从轻处罚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我厅对你作出以下处罚：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警告</w:t>
      </w:r>
      <w:r>
        <w:rPr>
          <w:rFonts w:ascii="Times New Roman" w:hAnsi="Times New Roman" w:eastAsia="仿宋_GB2312" w:cs="Times New Roman"/>
          <w:sz w:val="32"/>
          <w:szCs w:val="32"/>
        </w:rPr>
        <w:t>。同时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责令你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立即改正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E8FD5C9">
      <w:pPr>
        <w:keepNext w:val="0"/>
        <w:keepLines w:val="0"/>
        <w:pageBreakBefore w:val="0"/>
        <w:kinsoku/>
        <w:wordWrap/>
        <w:overflowPunct w:val="0"/>
        <w:autoSpaceDE/>
        <w:bidi w:val="0"/>
        <w:spacing w:afterLines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如不服本决定，你可自收到本决定书之日起60日内，依法向湖南省人民政府申请行政复议；或者在收到本决定书之日起6个月内，依法向长沙铁路运输法院提起行政诉讼。复议和诉讼期间，上述决定不停止执行。</w:t>
      </w:r>
    </w:p>
    <w:p w14:paraId="14941805">
      <w:pPr>
        <w:pStyle w:val="2"/>
        <w:keepNext w:val="0"/>
        <w:keepLines w:val="0"/>
        <w:pageBreakBefore w:val="0"/>
        <w:kinsoku/>
        <w:wordWrap/>
        <w:autoSpaceDE/>
        <w:bidi w:val="0"/>
        <w:spacing w:line="560" w:lineRule="exact"/>
        <w:textAlignment w:val="auto"/>
        <w:rPr>
          <w:rFonts w:hint="default"/>
          <w:sz w:val="32"/>
          <w:szCs w:val="32"/>
        </w:rPr>
      </w:pPr>
    </w:p>
    <w:p w14:paraId="41465EC2">
      <w:pPr>
        <w:keepNext w:val="0"/>
        <w:keepLines w:val="0"/>
        <w:pageBreakBefore w:val="0"/>
        <w:kinsoku/>
        <w:wordWrap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43B485">
      <w:pPr>
        <w:keepNext w:val="0"/>
        <w:keepLines w:val="0"/>
        <w:pageBreakBefore w:val="0"/>
        <w:kinsoku/>
        <w:wordWrap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湖南省财政厅</w:t>
      </w:r>
    </w:p>
    <w:p w14:paraId="7607190E">
      <w:pPr>
        <w:keepNext w:val="0"/>
        <w:keepLines w:val="0"/>
        <w:pageBreakBefore w:val="0"/>
        <w:kinsoku/>
        <w:wordWrap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15日</w:t>
      </w:r>
    </w:p>
    <w:sectPr>
      <w:headerReference r:id="rId3" w:type="default"/>
      <w:footerReference r:id="rId4" w:type="default"/>
      <w:footerReference r:id="rId5" w:type="even"/>
      <w:pgSz w:w="11905" w:h="16837"/>
      <w:pgMar w:top="1417" w:right="1588" w:bottom="1417" w:left="1588" w:header="720" w:footer="1304" w:gutter="0"/>
      <w:pgNumType w:fmt="decimal" w:start="1"/>
      <w:cols w:space="72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E6363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0872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0872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DE83A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179A3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361AE"/>
    <w:multiLevelType w:val="singleLevel"/>
    <w:tmpl w:val="206361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mJmYjQzNWI0Y2MwNjcwNTExMmI4Y2VkOTFiOTgifQ=="/>
  </w:docVars>
  <w:rsids>
    <w:rsidRoot w:val="00172A27"/>
    <w:rsid w:val="000103FD"/>
    <w:rsid w:val="00022BE4"/>
    <w:rsid w:val="00202BEF"/>
    <w:rsid w:val="00421C52"/>
    <w:rsid w:val="00616469"/>
    <w:rsid w:val="00743289"/>
    <w:rsid w:val="007C5DE1"/>
    <w:rsid w:val="00850CC5"/>
    <w:rsid w:val="00943C1A"/>
    <w:rsid w:val="009A4B9C"/>
    <w:rsid w:val="00B373B8"/>
    <w:rsid w:val="00C95FD1"/>
    <w:rsid w:val="00EF0EC9"/>
    <w:rsid w:val="00FE2FFA"/>
    <w:rsid w:val="02B747BB"/>
    <w:rsid w:val="02FF4CE4"/>
    <w:rsid w:val="12482B82"/>
    <w:rsid w:val="126C1306"/>
    <w:rsid w:val="131E20AD"/>
    <w:rsid w:val="17902441"/>
    <w:rsid w:val="18626802"/>
    <w:rsid w:val="1F1D5DD1"/>
    <w:rsid w:val="1FBB8CB9"/>
    <w:rsid w:val="21962D28"/>
    <w:rsid w:val="29310257"/>
    <w:rsid w:val="2ADB08BA"/>
    <w:rsid w:val="2E0A5880"/>
    <w:rsid w:val="2F7F27C8"/>
    <w:rsid w:val="320F75A3"/>
    <w:rsid w:val="3A1329FE"/>
    <w:rsid w:val="3B7718E8"/>
    <w:rsid w:val="3D7D3FC9"/>
    <w:rsid w:val="3F1F9CA4"/>
    <w:rsid w:val="40B3686F"/>
    <w:rsid w:val="4B7645F1"/>
    <w:rsid w:val="4F7FF954"/>
    <w:rsid w:val="51FF10D1"/>
    <w:rsid w:val="551729F9"/>
    <w:rsid w:val="558E6317"/>
    <w:rsid w:val="56856B80"/>
    <w:rsid w:val="59540F1D"/>
    <w:rsid w:val="5B3F0F2A"/>
    <w:rsid w:val="5CC6692D"/>
    <w:rsid w:val="5CFB4E51"/>
    <w:rsid w:val="63ABACE1"/>
    <w:rsid w:val="69366BE8"/>
    <w:rsid w:val="6A3C022E"/>
    <w:rsid w:val="6C4A5DEF"/>
    <w:rsid w:val="6DD71400"/>
    <w:rsid w:val="73FFAD5A"/>
    <w:rsid w:val="754B452A"/>
    <w:rsid w:val="759E045F"/>
    <w:rsid w:val="789001FB"/>
    <w:rsid w:val="7B5CF157"/>
    <w:rsid w:val="7DDE293A"/>
    <w:rsid w:val="7DFEF4D6"/>
    <w:rsid w:val="7F1FB22E"/>
    <w:rsid w:val="7FEF539A"/>
    <w:rsid w:val="96CF45EA"/>
    <w:rsid w:val="A6D80BA5"/>
    <w:rsid w:val="B5233D3A"/>
    <w:rsid w:val="B7F8FBD8"/>
    <w:rsid w:val="BEFFE205"/>
    <w:rsid w:val="BF332691"/>
    <w:rsid w:val="BF6FD41D"/>
    <w:rsid w:val="BFEFC320"/>
    <w:rsid w:val="BFFEBFAB"/>
    <w:rsid w:val="CFFE6BAC"/>
    <w:rsid w:val="DFFBF03C"/>
    <w:rsid w:val="E5D73A07"/>
    <w:rsid w:val="EF7D1D53"/>
    <w:rsid w:val="F28F1887"/>
    <w:rsid w:val="F6FFE93B"/>
    <w:rsid w:val="FAFF7878"/>
    <w:rsid w:val="FB571B35"/>
    <w:rsid w:val="FD3769EA"/>
    <w:rsid w:val="FDBDC270"/>
    <w:rsid w:val="FDE74C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ind w:firstLine="200" w:firstLineChars="200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3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表格内容"/>
    <w:basedOn w:val="4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paragraph" w:customStyle="1" w:styleId="12">
    <w:name w:val="l正文"/>
    <w:basedOn w:val="1"/>
    <w:qFormat/>
    <w:uiPriority w:val="0"/>
    <w:pPr>
      <w:spacing w:line="300" w:lineRule="auto"/>
      <w:ind w:firstLine="200" w:firstLineChars="200"/>
    </w:pPr>
    <w:rPr>
      <w:rFonts w:ascii="KaiTi_GB2312" w:hAnsi="Times" w:eastAsia="KaiTi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2015</Words>
  <Characters>2090</Characters>
  <Lines>3</Lines>
  <Paragraphs>1</Paragraphs>
  <TotalTime>1</TotalTime>
  <ScaleCrop>false</ScaleCrop>
  <LinksUpToDate>false</LinksUpToDate>
  <CharactersWithSpaces>2173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2024-05-04T16:50:00Z</dcterms:created>
  <dc:creator>User</dc:creator>
  <cp:lastModifiedBy>HAPPY的青青</cp:lastModifiedBy>
  <cp:lastPrinted>2026-04-27T17:20:07Z</cp:lastPrinted>
  <dcterms:modified xsi:type="dcterms:W3CDTF">2026-04-27T17:24:43Z</dcterms:modified>
  <dc:title>湖南省财政厅发文（指标、函）稿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A007E2B8EF3A445A8693FECF537B5C9A_13</vt:lpwstr>
  </property>
  <property fmtid="{D5CDD505-2E9C-101B-9397-08002B2CF9AE}" pid="3" name="KSOProductBuildVer">
    <vt:lpwstr>2052-12.8.2.1119</vt:lpwstr>
  </property>
  <property fmtid="{D5CDD505-2E9C-101B-9397-08002B2CF9AE}" pid="4" name="KSOTemplateDocerSaveRecord">
    <vt:lpwstr>eyJoZGlkIjoiNTU0ZmIwYTQ3NzlmZGUxZmU3Zjk0M2IyZTNmM2IxNjAiLCJ1c2VySWQiOiI0Mzc5MzM2NTEifQ==</vt:lpwstr>
  </property>
</Properties>
</file>