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97445">
      <w:pPr>
        <w:spacing w:line="400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680720</wp:posOffset>
                </wp:positionV>
                <wp:extent cx="5616575" cy="0"/>
                <wp:effectExtent l="0" t="12700" r="9525" b="1270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6575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0pt;margin-top:53.6pt;height:0pt;width:442.25pt;z-index:251660288;mso-width-relative:page;mso-height-relative:page;" filled="f" stroked="t" coordsize="21600,21600" o:gfxdata="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Qzh14&#10;1QAAAAgBAAAPAAAAAAAAAAEAIAAAACIAAABkcnMvZG93bnJldi54bWxQSwECFAAUAAAACACHTuJA&#10;wAKIyusBAADcAwAADgAAAAAAAAABACAAAAAkAQAAZHJzL2Uyb0RvYy54bWxQSwUGAAAAAAYABgBZ&#10;AQAAgQUAAAAA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5783208B">
      <w:pPr>
        <w:spacing w:line="60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湘财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行罚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〔</w:t>
      </w:r>
      <w:r>
        <w:rPr>
          <w:rFonts w:ascii="Times New Roman" w:hAnsi="Times New Roman" w:eastAsia="仿宋_GB2312" w:cs="Times New Roman"/>
          <w:spacing w:val="-6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</w:p>
    <w:p w14:paraId="719CE2E2">
      <w:pPr>
        <w:spacing w:line="600" w:lineRule="exact"/>
        <w:rPr>
          <w:rFonts w:ascii="Times New Roman" w:hAnsi="Times New Roman" w:cs="Times New Roman"/>
        </w:rPr>
      </w:pPr>
    </w:p>
    <w:p w14:paraId="02F0B3F9">
      <w:pPr>
        <w:spacing w:line="600" w:lineRule="exact"/>
        <w:rPr>
          <w:rFonts w:ascii="Times New Roman" w:hAnsi="Times New Roman" w:cs="Times New Roman"/>
        </w:rPr>
      </w:pPr>
    </w:p>
    <w:p w14:paraId="3EFC9696">
      <w:pPr>
        <w:spacing w:afterLines="0" w:line="600" w:lineRule="exact"/>
        <w:jc w:val="center"/>
        <w:rPr>
          <w:rFonts w:hint="default" w:ascii="Times New Roman" w:hAnsi="Times New Roman" w:eastAsia="方正小标宋_GBK" w:cs="Times New Roman"/>
          <w:kern w:val="0"/>
          <w:sz w:val="44"/>
          <w:lang w:eastAsia="zh-CN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lang w:eastAsia="zh-CN"/>
        </w:rPr>
        <w:t>行政处罚决定书</w:t>
      </w:r>
    </w:p>
    <w:p w14:paraId="699C57E3">
      <w:pPr>
        <w:spacing w:afterLines="0" w:line="600" w:lineRule="exact"/>
        <w:jc w:val="center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6DC1AB19">
      <w:pPr>
        <w:overflowPunct w:val="0"/>
        <w:spacing w:afterLines="0"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当事人：</w:t>
      </w:r>
      <w:bookmarkStart w:id="0" w:name="OLE_LINK2"/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湖南欣兰德房地产土地资产评估有限公司</w:t>
      </w:r>
      <w:bookmarkEnd w:id="0"/>
    </w:p>
    <w:p w14:paraId="45AFA6E2">
      <w:pPr>
        <w:pStyle w:val="3"/>
        <w:overflowPunct w:val="0"/>
        <w:adjustRightInd/>
        <w:snapToGrid/>
        <w:spacing w:line="560" w:lineRule="exac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地址：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XX</w:t>
      </w:r>
    </w:p>
    <w:p w14:paraId="67035EF6">
      <w:pPr>
        <w:pStyle w:val="7"/>
        <w:rPr>
          <w:rFonts w:hint="default"/>
        </w:rPr>
      </w:pPr>
    </w:p>
    <w:p w14:paraId="244A371E">
      <w:pPr>
        <w:numPr>
          <w:ilvl w:val="0"/>
          <w:numId w:val="0"/>
        </w:numPr>
        <w:overflowPunct/>
        <w:spacing w:line="580" w:lineRule="exact"/>
        <w:ind w:firstLine="616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GB"/>
        </w:rPr>
      </w:pPr>
      <w:r>
        <w:rPr>
          <w:rFonts w:hint="default" w:ascii="Times New Roman" w:hAnsi="Times New Roman" w:eastAsia="仿宋_GB2312" w:cs="Times New Roman"/>
          <w:color w:val="000000"/>
          <w:spacing w:val="-6"/>
          <w:kern w:val="0"/>
          <w:sz w:val="32"/>
          <w:szCs w:val="32"/>
          <w:shd w:val="clear" w:color="auto" w:fill="auto"/>
          <w:lang w:val="en-US" w:eastAsia="zh-CN" w:bidi="ar"/>
        </w:rPr>
        <w:t>根据《湖南省财政厅关于组织开展全省2025年度会计和评估监督检查工作的通知》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（湘财监〔202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〕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号）</w:t>
      </w:r>
      <w:r>
        <w:rPr>
          <w:rFonts w:hint="default" w:ascii="Times New Roman" w:hAnsi="Times New Roman" w:eastAsia="仿宋_GB2312" w:cs="Times New Roman"/>
          <w:color w:val="000000"/>
          <w:spacing w:val="-6"/>
          <w:kern w:val="0"/>
          <w:sz w:val="32"/>
          <w:szCs w:val="32"/>
          <w:shd w:val="clear" w:color="auto" w:fill="auto"/>
          <w:lang w:val="en-US" w:eastAsia="zh-CN" w:bidi="ar"/>
        </w:rPr>
        <w:t>，我厅派出检查组，对湖南欣兰德房地产土地资产评估有限公司（以下简称“你单位”）2024年以来的机构内部治理、专业胜任能力、风险防范机制、质量控制体系及项目质量等情况进行了检查。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GB"/>
        </w:rPr>
        <w:t>检查过程中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发现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GB"/>
        </w:rPr>
        <w:t>的问题和作出的处罚决定如下：</w:t>
      </w:r>
    </w:p>
    <w:p w14:paraId="3AA927EA">
      <w:pPr>
        <w:numPr>
          <w:ilvl w:val="0"/>
          <w:numId w:val="1"/>
        </w:numPr>
        <w:overflowPunct w:val="0"/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检查中发现的问题</w:t>
      </w:r>
    </w:p>
    <w:p w14:paraId="50E46757">
      <w:pPr>
        <w:pStyle w:val="12"/>
        <w:keepNext w:val="0"/>
        <w:keepLines w:val="0"/>
        <w:pageBreakBefore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firstLine="619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hd w:val="clear" w:color="auto" w:fill="auto"/>
          <w:lang w:val="en-US"/>
        </w:rPr>
      </w:pPr>
      <w:bookmarkStart w:id="1" w:name="OLE_LINK1"/>
      <w:r>
        <w:rPr>
          <w:rFonts w:hint="default" w:ascii="Times New Roman" w:hAnsi="Times New Roman" w:eastAsia="楷体_GB2312" w:cs="Times New Roman"/>
          <w:b/>
          <w:bCs/>
          <w:color w:val="000000"/>
          <w:spacing w:val="-6"/>
          <w:kern w:val="0"/>
          <w:sz w:val="32"/>
          <w:szCs w:val="32"/>
          <w:shd w:val="clear" w:color="auto" w:fill="auto"/>
          <w:lang w:val="en-US" w:eastAsia="zh-CN" w:bidi="ar"/>
        </w:rPr>
        <w:t>出具有重大遗漏的评估报告。</w:t>
      </w:r>
    </w:p>
    <w:p w14:paraId="050C616E">
      <w:pPr>
        <w:pStyle w:val="3"/>
        <w:keepNext w:val="0"/>
        <w:keepLines w:val="0"/>
        <w:pageBreakBefore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auto"/>
        </w:rPr>
      </w:pPr>
      <w:r>
        <w:rPr>
          <w:rFonts w:hint="eastAsia" w:eastAsia="仿宋_GB2312" w:cs="Times New Roman"/>
          <w:b/>
          <w:bCs/>
          <w:sz w:val="32"/>
          <w:szCs w:val="32"/>
          <w:shd w:val="clear" w:color="auto" w:fill="auto"/>
          <w:lang w:val="en-US" w:eastAsia="zh-CN"/>
        </w:rPr>
        <w:t>（一）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auto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auto"/>
        </w:rPr>
        <w:t>公司拟股权转让涉及的企业股东全部权益价值评估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auto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auto"/>
        </w:rPr>
        <w:t>湘欣兰德资评报字（2024）第015号</w:t>
      </w:r>
      <w:r>
        <w:rPr>
          <w:rFonts w:hint="eastAsia" w:eastAsia="仿宋_GB2312" w:cs="Times New Roman"/>
          <w:b/>
          <w:bCs/>
          <w:sz w:val="32"/>
          <w:szCs w:val="32"/>
          <w:shd w:val="clear" w:color="auto" w:fill="auto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实收金额2.</w:t>
      </w:r>
      <w:r>
        <w:rPr>
          <w:rFonts w:hint="eastAsia" w:eastAsia="仿宋_GB2312" w:cs="Times New Roman"/>
          <w:b/>
          <w:bCs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万元人民币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auto"/>
          <w:lang w:eastAsia="zh-CN"/>
        </w:rPr>
        <w:t>）</w:t>
      </w:r>
    </w:p>
    <w:p w14:paraId="16779562">
      <w:pPr>
        <w:tabs>
          <w:tab w:val="left" w:pos="0"/>
        </w:tabs>
        <w:autoSpaceDN/>
        <w:spacing w:after="0" w:line="560" w:lineRule="exact"/>
        <w:ind w:firstLine="563" w:firstLineChars="176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未见预测收益的相关底稿资料。</w:t>
      </w:r>
    </w:p>
    <w:p w14:paraId="2F580F5A">
      <w:pPr>
        <w:tabs>
          <w:tab w:val="left" w:pos="0"/>
        </w:tabs>
        <w:autoSpaceDN/>
        <w:spacing w:after="0" w:line="560" w:lineRule="exact"/>
        <w:ind w:firstLine="563" w:firstLineChars="176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上述问题，违反了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《资产评估执业准则——企业价值》第十一条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的相关规定。</w:t>
      </w:r>
    </w:p>
    <w:p w14:paraId="178E0077">
      <w:pPr>
        <w:numPr>
          <w:ilvl w:val="0"/>
          <w:numId w:val="0"/>
        </w:numPr>
        <w:tabs>
          <w:tab w:val="left" w:pos="0"/>
        </w:tabs>
        <w:autoSpaceDN/>
        <w:spacing w:after="0" w:line="560" w:lineRule="exact"/>
        <w:ind w:firstLine="563" w:firstLineChars="176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评估结果的选取方式不符合准则要求，缺乏充分论证。本次出具的报告中采用资产基础法（评估值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万元）和收益法（评估值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万元）评估后，直接以“资产基础法、收益法的估价结果各占50%”进行加权平均，得出最终结论（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万元）。未充分分析两种方法的适用性差异，未说明“等权重（各占50%）分配”的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合理性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（如</w:t>
      </w:r>
      <w:r>
        <w:rPr>
          <w:rFonts w:hint="eastAsia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为何两种方法的可靠性、与评估目的的匹配度完全等同）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6A4D15D1">
      <w:pPr>
        <w:tabs>
          <w:tab w:val="left" w:pos="0"/>
        </w:tabs>
        <w:autoSpaceDN/>
        <w:spacing w:after="0" w:line="560" w:lineRule="exact"/>
        <w:ind w:firstLine="563" w:firstLineChars="176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上述问题，违反了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《资产评估执业准则——资产评估程序》第二十一条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相关规定。</w:t>
      </w:r>
    </w:p>
    <w:p w14:paraId="2F6AA137">
      <w:pPr>
        <w:tabs>
          <w:tab w:val="left" w:pos="0"/>
        </w:tabs>
        <w:autoSpaceDN/>
        <w:spacing w:after="0" w:line="560" w:lineRule="exact"/>
        <w:ind w:firstLine="563" w:firstLineChars="176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本次出具的资产评估报告折现率计算采用WACC方法，评估说明对权益报酬率采用风险累加法，且明确预测期与永续预测期折现率不一致，其中明确预测期为5.61%、永续预测期为4.14%，未见相关分析说明。</w:t>
      </w:r>
    </w:p>
    <w:p w14:paraId="44AE5181">
      <w:pPr>
        <w:tabs>
          <w:tab w:val="left" w:pos="0"/>
        </w:tabs>
        <w:autoSpaceDN/>
        <w:spacing w:after="0" w:line="560" w:lineRule="exact"/>
        <w:ind w:firstLine="563" w:firstLineChars="176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上述问题，违反了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《资产评估专家指引第12号——收益法评估企业价值中折现率的测算》第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《资产评估执业准则——资产评估程序》第二十一条的相关规定。</w:t>
      </w:r>
    </w:p>
    <w:p w14:paraId="6179B13B">
      <w:pPr>
        <w:pStyle w:val="3"/>
        <w:keepNext w:val="0"/>
        <w:keepLines w:val="0"/>
        <w:pageBreakBefore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auto"/>
        </w:rPr>
      </w:pPr>
      <w:r>
        <w:rPr>
          <w:rFonts w:hint="eastAsia" w:eastAsia="仿宋_GB2312" w:cs="Times New Roman"/>
          <w:b/>
          <w:bCs/>
          <w:sz w:val="32"/>
          <w:szCs w:val="32"/>
          <w:shd w:val="clear" w:color="auto" w:fill="auto"/>
          <w:lang w:val="en-US" w:eastAsia="zh-CN"/>
        </w:rPr>
        <w:t>（二）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auto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auto"/>
        </w:rPr>
        <w:t>公司普查探矿权资金资产评估项目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auto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auto"/>
        </w:rPr>
        <w:t>湘欣兰德资评报字（2024）第018号</w:t>
      </w:r>
      <w:r>
        <w:rPr>
          <w:rFonts w:hint="eastAsia" w:eastAsia="仿宋_GB2312" w:cs="Times New Roman"/>
          <w:b/>
          <w:bCs/>
          <w:sz w:val="32"/>
          <w:szCs w:val="32"/>
          <w:shd w:val="clear" w:color="auto" w:fill="auto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实收金额</w:t>
      </w:r>
      <w:r>
        <w:rPr>
          <w:rFonts w:hint="eastAsia" w:eastAsia="仿宋_GB2312" w:cs="Times New Roman"/>
          <w:b/>
          <w:bCs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万元人民币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auto"/>
          <w:lang w:eastAsia="zh-CN"/>
        </w:rPr>
        <w:t>）</w:t>
      </w:r>
    </w:p>
    <w:p w14:paraId="3123BBCA">
      <w:pPr>
        <w:tabs>
          <w:tab w:val="left" w:pos="0"/>
        </w:tabs>
        <w:autoSpaceDN/>
        <w:spacing w:after="0" w:line="560" w:lineRule="exact"/>
        <w:ind w:firstLine="563" w:firstLineChars="176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缺少评估对象现场调查记录。</w:t>
      </w:r>
    </w:p>
    <w:p w14:paraId="65EDD719">
      <w:pPr>
        <w:tabs>
          <w:tab w:val="left" w:pos="0"/>
        </w:tabs>
        <w:autoSpaceDN/>
        <w:spacing w:after="0" w:line="560" w:lineRule="exact"/>
        <w:ind w:firstLine="563" w:firstLineChars="176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上述问题，违反了</w:t>
      </w:r>
      <w:r>
        <w:rPr>
          <w:rFonts w:hint="default" w:eastAsia="仿宋_GB2312"/>
          <w:sz w:val="32"/>
          <w:szCs w:val="32"/>
        </w:rPr>
        <w:t>《资产评估执业准则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——</w:t>
      </w:r>
      <w:r>
        <w:rPr>
          <w:rFonts w:hint="default" w:eastAsia="仿宋_GB2312"/>
          <w:sz w:val="32"/>
          <w:szCs w:val="32"/>
        </w:rPr>
        <w:t>资产评估程序》第七条</w:t>
      </w:r>
      <w:r>
        <w:rPr>
          <w:rFonts w:hint="eastAsia" w:eastAsia="仿宋_GB2312"/>
          <w:sz w:val="32"/>
          <w:szCs w:val="32"/>
          <w:lang w:eastAsia="zh-CN"/>
        </w:rPr>
        <w:t>及</w:t>
      </w:r>
      <w:r>
        <w:rPr>
          <w:rFonts w:hint="default" w:eastAsia="仿宋_GB2312"/>
          <w:sz w:val="32"/>
          <w:szCs w:val="32"/>
        </w:rPr>
        <w:t>第十二条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的相关规定。</w:t>
      </w:r>
    </w:p>
    <w:p w14:paraId="66328021">
      <w:pPr>
        <w:numPr>
          <w:ilvl w:val="0"/>
          <w:numId w:val="0"/>
        </w:numPr>
        <w:tabs>
          <w:tab w:val="left" w:pos="0"/>
        </w:tabs>
        <w:autoSpaceDN/>
        <w:spacing w:after="0" w:line="560" w:lineRule="exact"/>
        <w:ind w:firstLine="563" w:firstLineChars="176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未收集涉及评估对象和评估范围的必要资料，如：获取探矿权的相关合同协议、其他设备投入明细等。</w:t>
      </w:r>
    </w:p>
    <w:p w14:paraId="7271C8EA">
      <w:pPr>
        <w:tabs>
          <w:tab w:val="left" w:pos="0"/>
        </w:tabs>
        <w:autoSpaceDN/>
        <w:spacing w:after="0" w:line="560" w:lineRule="exact"/>
        <w:ind w:firstLine="563" w:firstLineChars="176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上述问题，违反了</w:t>
      </w:r>
      <w:r>
        <w:rPr>
          <w:rFonts w:hint="default" w:eastAsia="仿宋_GB2312"/>
          <w:sz w:val="32"/>
          <w:szCs w:val="32"/>
        </w:rPr>
        <w:t>《资产评估执业准则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——</w:t>
      </w:r>
      <w:r>
        <w:rPr>
          <w:rFonts w:hint="default" w:eastAsia="仿宋_GB2312"/>
          <w:sz w:val="32"/>
          <w:szCs w:val="32"/>
        </w:rPr>
        <w:t>资产评估程序》第十三条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相关规定。</w:t>
      </w:r>
    </w:p>
    <w:p w14:paraId="2CA25F76">
      <w:pPr>
        <w:tabs>
          <w:tab w:val="left" w:pos="0"/>
        </w:tabs>
        <w:autoSpaceDN/>
        <w:spacing w:after="0" w:line="560" w:lineRule="exact"/>
        <w:ind w:firstLine="563" w:firstLineChars="176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对收集的定价依据资料：探矿权价款缴纳相关凭证、探矿权持有期间（2011年6月1日-2018年6月30日）探矿权使用费缴纳凭证、勘查投入等，无核查验证记录。</w:t>
      </w:r>
    </w:p>
    <w:p w14:paraId="7BC0FCF6">
      <w:pPr>
        <w:tabs>
          <w:tab w:val="left" w:pos="0"/>
        </w:tabs>
        <w:autoSpaceDN/>
        <w:spacing w:after="0" w:line="560" w:lineRule="exact"/>
        <w:ind w:firstLine="563" w:firstLineChars="176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上述问题，违反了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《资产评估执业准则——资产评估程序》第十五条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的相关规定。</w:t>
      </w:r>
    </w:p>
    <w:p w14:paraId="5CDD0F34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620" w:lineRule="exact"/>
        <w:ind w:firstLine="628"/>
        <w:jc w:val="both"/>
        <w:textAlignment w:val="auto"/>
        <w:rPr>
          <w:rFonts w:hint="default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经专家论证，认定上述两份报告中的问题构成重大遗漏，违反了《中华人民共和国资产评估法》第二十条“评估机构不得有下列行为：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……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（六）出具虚假评估报告或者有重大遗漏的评估报告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……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”的相关规定。</w:t>
      </w:r>
    </w:p>
    <w:bookmarkEnd w:id="1"/>
    <w:p w14:paraId="2A87BDE3">
      <w:pPr>
        <w:overflowPunct w:val="0"/>
        <w:spacing w:line="560" w:lineRule="exact"/>
        <w:ind w:firstLine="640" w:firstLineChars="200"/>
        <w:rPr>
          <w:rFonts w:hint="default" w:ascii="Times New Roman" w:hAnsi="Times New Roman" w:eastAsia="黑体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以上事实，有你单位提供的增值税发票、合同、银行收款回单、相关评估报告及其工作底稿，以及你单位签字确认的财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shd w:val="clear" w:color="auto" w:fill="auto"/>
          <w:lang w:val="en-US" w:eastAsia="zh-CN"/>
        </w:rPr>
        <w:t>政检查报告、财政检查工作底稿、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shd w:val="clear" w:color="auto" w:fill="auto"/>
          <w:lang w:val="en-US" w:eastAsia="zh-CN"/>
        </w:rPr>
        <w:t>专家论证意见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shd w:val="clear" w:color="auto" w:fill="auto"/>
          <w:lang w:val="en-US" w:eastAsia="zh-CN"/>
        </w:rPr>
        <w:t>等资料作为证据。</w:t>
      </w:r>
      <w:r>
        <w:rPr>
          <w:rFonts w:hint="default" w:ascii="Times New Roman" w:hAnsi="Times New Roman" w:eastAsia="黑体" w:cs="Times New Roman"/>
          <w:sz w:val="32"/>
          <w:szCs w:val="32"/>
        </w:rPr>
        <w:t>二、</w:t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>作出的处罚决定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eastAsia="zh-CN"/>
        </w:rPr>
        <w:t>和处罚依据</w:t>
      </w:r>
    </w:p>
    <w:p w14:paraId="1748828E">
      <w:pPr>
        <w:overflowPunct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针对上述问题，根据《中华人民共和国资产评估法》第四十七条第一款第六项以及《湖南省财政厅行政处罚裁量权基准（2022年版）》“四、资产评估监督类”第13项的规定，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你单位的违法行为适用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auto"/>
          <w:lang w:val="en-US" w:eastAsia="zh-CN"/>
        </w:rPr>
        <w:t>从轻处罚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，我厅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决定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对你单位作出以下处罚：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警告，没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收违法所得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2.2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万元，并处违法所得1倍罚款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2.2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万元。同时责令你单位立即改正。</w:t>
      </w:r>
    </w:p>
    <w:p w14:paraId="4A1B6B66">
      <w:pPr>
        <w:tabs>
          <w:tab w:val="left" w:pos="4970"/>
        </w:tabs>
        <w:overflowPunct w:val="0"/>
        <w:spacing w:afterLines="0"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根据《中华人民共和国行政处罚法》，你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单位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应当在收到本决定书之日起15日内缴纳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4.4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万元罚没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款，逾期不缴纳的，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对罚款部分，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我厅可以根据《中华人民共和国行政处罚法》第七十二条第一款第一项规定，每日按罚款数额的3％加处罚款。你单位应对上述存在的问题进行认真整改，并自收到本决定书之日起30日内将整改落实情况书面报送我厅。</w:t>
      </w:r>
    </w:p>
    <w:p w14:paraId="70D08F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如不服本决定，你单位可自收到本决定书之日起60日内，依法向湖南省人民政府申请行政复议；或者在收到本决定书之日起6个月内，依法向长沙铁路运输法院提起行政诉讼。复议和诉讼期间，上述决定不停止执行。</w:t>
      </w:r>
      <w:bookmarkStart w:id="2" w:name="_GoBack"/>
      <w:bookmarkEnd w:id="2"/>
    </w:p>
    <w:p w14:paraId="0B29D592">
      <w:pPr>
        <w:pStyle w:val="2"/>
        <w:ind w:left="0" w:leftChars="0" w:firstLine="0" w:firstLineChars="0"/>
        <w:rPr>
          <w:rFonts w:hint="eastAsia"/>
          <w:sz w:val="32"/>
          <w:szCs w:val="32"/>
          <w:lang w:val="en-US" w:eastAsia="zh-CN"/>
        </w:rPr>
      </w:pPr>
    </w:p>
    <w:p w14:paraId="70348E10">
      <w:pPr>
        <w:pStyle w:val="2"/>
        <w:ind w:left="0" w:leftChars="0" w:firstLine="0" w:firstLineChars="0"/>
        <w:rPr>
          <w:rFonts w:hint="eastAsia"/>
          <w:sz w:val="32"/>
          <w:szCs w:val="32"/>
          <w:lang w:val="en-US" w:eastAsia="zh-CN"/>
        </w:rPr>
      </w:pPr>
    </w:p>
    <w:p w14:paraId="3989584D">
      <w:pPr>
        <w:adjustRightInd w:val="0"/>
        <w:snapToGrid w:val="0"/>
        <w:spacing w:line="560" w:lineRule="exact"/>
        <w:ind w:right="888" w:rightChars="317" w:firstLine="0" w:firstLineChars="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湖南省财政厅</w:t>
      </w:r>
    </w:p>
    <w:p w14:paraId="13ED5435">
      <w:pPr>
        <w:spacing w:line="560" w:lineRule="exact"/>
        <w:rPr>
          <w:rFonts w:hint="default" w:ascii="Times New Roman" w:hAnsi="Times New Roman" w:eastAsia="黑体" w:cs="Times New Roman"/>
          <w:szCs w:val="28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15日</w:t>
      </w:r>
    </w:p>
    <w:sectPr>
      <w:headerReference r:id="rId3" w:type="default"/>
      <w:footerReference r:id="rId4" w:type="default"/>
      <w:footerReference r:id="rId5" w:type="even"/>
      <w:pgSz w:w="11905" w:h="16837"/>
      <w:pgMar w:top="1417" w:right="1588" w:bottom="1417" w:left="1588" w:header="720" w:footer="1304" w:gutter="0"/>
      <w:pgNumType w:fmt="decimal" w:start="1"/>
      <w:cols w:space="720" w:num="1"/>
      <w:rtlGutter w:val="0"/>
      <w:docGrid w:linePitch="6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KaiTi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">
    <w:altName w:val="Times New Roman"/>
    <w:panose1 w:val="00000500000000020000"/>
    <w:charset w:val="00"/>
    <w:family w:val="auto"/>
    <w:pitch w:val="default"/>
    <w:sig w:usb0="00000000" w:usb1="00000000" w:usb2="00000000" w:usb3="00000000" w:csb0="2000019F" w:csb1="4F01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A26DFC"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9D95B8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9D95B8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630E23"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475595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6361AE"/>
    <w:multiLevelType w:val="singleLevel"/>
    <w:tmpl w:val="206361A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5YmJmYjQzNWI0Y2MwNjcwNTExMmI4Y2VkOTFiOTgifQ=="/>
  </w:docVars>
  <w:rsids>
    <w:rsidRoot w:val="00172A27"/>
    <w:rsid w:val="000103FD"/>
    <w:rsid w:val="00022BE4"/>
    <w:rsid w:val="00202BEF"/>
    <w:rsid w:val="00421C52"/>
    <w:rsid w:val="00616469"/>
    <w:rsid w:val="00743289"/>
    <w:rsid w:val="007C5DE1"/>
    <w:rsid w:val="00850CC5"/>
    <w:rsid w:val="00943C1A"/>
    <w:rsid w:val="009A4B9C"/>
    <w:rsid w:val="00B373B8"/>
    <w:rsid w:val="00C95FD1"/>
    <w:rsid w:val="00EF0EC9"/>
    <w:rsid w:val="00FE2FFA"/>
    <w:rsid w:val="02FF4CE4"/>
    <w:rsid w:val="126C1306"/>
    <w:rsid w:val="131E20AD"/>
    <w:rsid w:val="176433CC"/>
    <w:rsid w:val="17902441"/>
    <w:rsid w:val="18626802"/>
    <w:rsid w:val="1F1D5DD1"/>
    <w:rsid w:val="1FBB8CB9"/>
    <w:rsid w:val="267267AA"/>
    <w:rsid w:val="28E1707C"/>
    <w:rsid w:val="2ADB08BA"/>
    <w:rsid w:val="2F7F27C8"/>
    <w:rsid w:val="320F75A3"/>
    <w:rsid w:val="376D1A03"/>
    <w:rsid w:val="3A1329FE"/>
    <w:rsid w:val="3B7718E8"/>
    <w:rsid w:val="3D7D3FC9"/>
    <w:rsid w:val="3F1F9CA4"/>
    <w:rsid w:val="40B3686F"/>
    <w:rsid w:val="4B7645F1"/>
    <w:rsid w:val="4F7FF954"/>
    <w:rsid w:val="50786D6D"/>
    <w:rsid w:val="51FF10D1"/>
    <w:rsid w:val="551729F9"/>
    <w:rsid w:val="558E6317"/>
    <w:rsid w:val="56856B80"/>
    <w:rsid w:val="59540F1D"/>
    <w:rsid w:val="5CC6692D"/>
    <w:rsid w:val="5CFB4E51"/>
    <w:rsid w:val="5F7A5DD4"/>
    <w:rsid w:val="63ABACE1"/>
    <w:rsid w:val="67CF82B2"/>
    <w:rsid w:val="69366BE8"/>
    <w:rsid w:val="6D940659"/>
    <w:rsid w:val="6DD71400"/>
    <w:rsid w:val="73FFAD5A"/>
    <w:rsid w:val="764F3C94"/>
    <w:rsid w:val="789001FB"/>
    <w:rsid w:val="7B5CF157"/>
    <w:rsid w:val="7DFEF4D6"/>
    <w:rsid w:val="7F1FB22E"/>
    <w:rsid w:val="7FBF2F72"/>
    <w:rsid w:val="7FEF539A"/>
    <w:rsid w:val="96CF45EA"/>
    <w:rsid w:val="A6D80BA5"/>
    <w:rsid w:val="B5233D3A"/>
    <w:rsid w:val="B7F8FBD8"/>
    <w:rsid w:val="BF332691"/>
    <w:rsid w:val="BF6FD41D"/>
    <w:rsid w:val="BFEFC320"/>
    <w:rsid w:val="BFFEBFAB"/>
    <w:rsid w:val="CFFE6BAC"/>
    <w:rsid w:val="DD552F25"/>
    <w:rsid w:val="DFFBF03C"/>
    <w:rsid w:val="E5D73A07"/>
    <w:rsid w:val="F28F1887"/>
    <w:rsid w:val="F363946E"/>
    <w:rsid w:val="F6FFE93B"/>
    <w:rsid w:val="FAFF7878"/>
    <w:rsid w:val="FB571B35"/>
    <w:rsid w:val="FD3769EA"/>
    <w:rsid w:val="FDBDC2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" w:hAnsi="仿宋" w:eastAsia="宋体" w:cs="Times New Roman"/>
      <w:sz w:val="28"/>
      <w:szCs w:val="24"/>
      <w:lang w:val="en-US" w:eastAsia="zh-CN" w:bidi="ar-SA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napToGrid w:val="0"/>
      <w:ind w:firstLine="200" w:firstLineChars="200"/>
      <w:jc w:val="left"/>
    </w:pPr>
    <w:rPr>
      <w:rFonts w:ascii="Calibri" w:hAnsi="Calibri" w:eastAsia="宋体" w:cs="Times New Roman"/>
      <w:kern w:val="2"/>
      <w:sz w:val="18"/>
      <w:szCs w:val="18"/>
    </w:rPr>
  </w:style>
  <w:style w:type="paragraph" w:styleId="3">
    <w:name w:val="Normal Indent"/>
    <w:basedOn w:val="1"/>
    <w:unhideWhenUsed/>
    <w:qFormat/>
    <w:uiPriority w:val="99"/>
    <w:pPr>
      <w:widowControl w:val="0"/>
      <w:ind w:firstLine="420" w:firstLineChars="200"/>
      <w:jc w:val="both"/>
    </w:pPr>
    <w:rPr>
      <w:rFonts w:ascii="Times New Roman" w:hAnsi="Times New Roman" w:cs="Times New Roman"/>
      <w:kern w:val="2"/>
      <w:sz w:val="21"/>
    </w:rPr>
  </w:style>
  <w:style w:type="paragraph" w:styleId="4">
    <w:name w:val="Body Text"/>
    <w:basedOn w:val="1"/>
    <w:qFormat/>
    <w:uiPriority w:val="0"/>
    <w:pPr>
      <w:spacing w:after="120" w:afterLines="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0"/>
    <w:pPr>
      <w:widowControl w:val="0"/>
      <w:jc w:val="both"/>
    </w:pPr>
    <w:rPr>
      <w:rFonts w:ascii="仿宋" w:hAnsi="仿宋" w:eastAsia="宋体" w:cs="Times New Roman"/>
      <w:kern w:val="0"/>
      <w:sz w:val="28"/>
      <w:szCs w:val="24"/>
      <w:lang w:val="en-US" w:eastAsia="zh-CN" w:bidi="ar-SA"/>
    </w:rPr>
  </w:style>
  <w:style w:type="character" w:styleId="10">
    <w:name w:val="page number"/>
    <w:basedOn w:val="9"/>
    <w:qFormat/>
    <w:uiPriority w:val="0"/>
  </w:style>
  <w:style w:type="paragraph" w:customStyle="1" w:styleId="11">
    <w:name w:val="表格内容"/>
    <w:basedOn w:val="4"/>
    <w:qFormat/>
    <w:uiPriority w:val="0"/>
    <w:pPr>
      <w:suppressLineNumbers/>
      <w:suppressAutoHyphens/>
      <w:jc w:val="left"/>
    </w:pPr>
    <w:rPr>
      <w:rFonts w:cs="Tahoma"/>
      <w:kern w:val="0"/>
      <w:sz w:val="24"/>
    </w:rPr>
  </w:style>
  <w:style w:type="paragraph" w:customStyle="1" w:styleId="12">
    <w:name w:val="l正文"/>
    <w:basedOn w:val="1"/>
    <w:qFormat/>
    <w:uiPriority w:val="0"/>
    <w:pPr>
      <w:spacing w:line="300" w:lineRule="auto"/>
      <w:ind w:firstLine="200" w:firstLineChars="200"/>
    </w:pPr>
    <w:rPr>
      <w:rFonts w:ascii="KaiTi_GB2312" w:hAnsi="Times" w:eastAsia="KaiTi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2015</Words>
  <Characters>2090</Characters>
  <Lines>3</Lines>
  <Paragraphs>1</Paragraphs>
  <TotalTime>0</TotalTime>
  <ScaleCrop>false</ScaleCrop>
  <LinksUpToDate>false</LinksUpToDate>
  <CharactersWithSpaces>2173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2024-05-05T00:50:00Z</dcterms:created>
  <dc:creator>User</dc:creator>
  <cp:lastModifiedBy>HAPPY的青青</cp:lastModifiedBy>
  <cp:lastPrinted>2026-04-21T16:58:00Z</cp:lastPrinted>
  <dcterms:modified xsi:type="dcterms:W3CDTF">2026-04-27T17:11:34Z</dcterms:modified>
  <dc:title>湖南省财政厅发文（指标、函）稿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3A5104B6C2A745958A5AE37EBD61EFF5_13</vt:lpwstr>
  </property>
  <property fmtid="{D5CDD505-2E9C-101B-9397-08002B2CF9AE}" pid="3" name="KSOProductBuildVer">
    <vt:lpwstr>2052-12.8.2.1119</vt:lpwstr>
  </property>
  <property fmtid="{D5CDD505-2E9C-101B-9397-08002B2CF9AE}" pid="4" name="KSOTemplateDocerSaveRecord">
    <vt:lpwstr>eyJoZGlkIjoiNTU0ZmIwYTQ3NzlmZGUxZmU3Zjk0M2IyZTNmM2IxNjAiLCJ1c2VySWQiOiI0Mzc5MzM2NTEifQ==</vt:lpwstr>
  </property>
</Properties>
</file>