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680720</wp:posOffset>
                </wp:positionV>
                <wp:extent cx="5616575" cy="0"/>
                <wp:effectExtent l="0" t="12700" r="9525" b="1270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575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53.6pt;height:0pt;width:442.25pt;z-index:251660288;mso-width-relative:page;mso-height-relative:page;" filled="f" stroked="t" coordsize="21600,21600" o:gfxdata="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Qzh14&#10;1QAAAAgBAAAPAAAAAAAAAAEAIAAAACIAAABkcnMvZG93bnJldi54bWxQSwECFAAUAAAACACHTuJA&#10;wAKIyusBAADcAwAADgAAAAAAAAABACAAAAAkAQAAZHJzL2Uyb0RvYy54bWxQSwUGAAAAAAYABgBZ&#10;AQAAgQ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湘财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行罚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</w:t>
      </w:r>
      <w:r>
        <w:rPr>
          <w:rFonts w:ascii="Times New Roman" w:hAnsi="Times New Roman" w:eastAsia="仿宋_GB2312" w:cs="Times New Roman"/>
          <w:spacing w:val="-6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afterLines="0" w:line="60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</w:pPr>
      <w:r>
        <w:rPr>
          <w:rFonts w:hint="default" w:ascii="Times New Roman" w:hAnsi="Times New Roman" w:eastAsia="方正小标宋_GBK" w:cs="Times New Roman"/>
          <w:kern w:val="0"/>
          <w:sz w:val="44"/>
          <w:lang w:eastAsia="zh-CN"/>
        </w:rPr>
        <w:t>行政处罚决定书</w:t>
      </w:r>
    </w:p>
    <w:p>
      <w:pPr>
        <w:spacing w:afterLines="0" w:line="600" w:lineRule="exact"/>
        <w:jc w:val="center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>
      <w:pPr>
        <w:overflowPunct w:val="0"/>
        <w:spacing w:afterLines="0"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当事人：湖南智超房地产土地资产评估有限公司</w:t>
      </w:r>
    </w:p>
    <w:p>
      <w:pPr>
        <w:pStyle w:val="2"/>
        <w:overflowPunct w:val="0"/>
        <w:adjustRightInd/>
        <w:snapToGrid/>
        <w:spacing w:line="56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地址：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XX</w:t>
      </w:r>
    </w:p>
    <w:p>
      <w:pPr>
        <w:pStyle w:val="6"/>
        <w:rPr>
          <w:rFonts w:hint="default"/>
        </w:rPr>
      </w:pPr>
    </w:p>
    <w:p>
      <w:pPr>
        <w:numPr>
          <w:ilvl w:val="0"/>
          <w:numId w:val="0"/>
        </w:numPr>
        <w:overflowPunct/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GB"/>
        </w:rPr>
      </w:pPr>
      <w:r>
        <w:rPr>
          <w:rFonts w:hint="default" w:ascii="Times New Roman" w:hAnsi="Times New Roman" w:eastAsia="仿宋_GB2312" w:cs="Times New Roman"/>
          <w:bCs w:val="0"/>
          <w:sz w:val="32"/>
          <w:szCs w:val="32"/>
          <w:lang w:val="en-GB"/>
        </w:rPr>
        <w:t>根据《湖南省财政厅关于组织开展全省2025年度会计和评估监督检查工作的通知》（湘财监〔2025〕7号），我厅派出检查组，对湖南智超房地产土地资产评估有限公司（以下简称“你单位”）2024年以来的机构内部治理、专业胜任能力、风险防范机制、质量控制体系及项目质量等情况进行了检查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检查过程中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lang w:val="en-US" w:eastAsia="zh-CN"/>
        </w:rPr>
        <w:t>发现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lang w:val="en-GB"/>
        </w:rPr>
        <w:t>的问题和作出的处罚决定如下：</w:t>
      </w:r>
    </w:p>
    <w:p>
      <w:pPr>
        <w:numPr>
          <w:ilvl w:val="0"/>
          <w:numId w:val="1"/>
        </w:numPr>
        <w:overflowPunct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检查中发现的问题</w:t>
      </w:r>
    </w:p>
    <w:p>
      <w:pPr>
        <w:pStyle w:val="11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19" w:firstLineChars="200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hd w:val="clear" w:color="auto" w:fill="auto"/>
          <w:lang w:val="en-US"/>
        </w:rPr>
      </w:pPr>
      <w:bookmarkStart w:id="0" w:name="OLE_LINK1"/>
      <w:r>
        <w:rPr>
          <w:rFonts w:hint="default" w:ascii="Times New Roman" w:hAnsi="Times New Roman" w:eastAsia="楷体_GB2312" w:cs="Times New Roman"/>
          <w:b/>
          <w:bCs/>
          <w:color w:val="000000"/>
          <w:spacing w:val="-6"/>
          <w:kern w:val="0"/>
          <w:sz w:val="32"/>
          <w:szCs w:val="32"/>
          <w:shd w:val="clear" w:color="auto" w:fill="auto"/>
          <w:lang w:val="en-US" w:eastAsia="zh-CN" w:bidi="ar"/>
        </w:rPr>
        <w:t>出具有重大遗漏的评估报告。</w:t>
      </w:r>
    </w:p>
    <w:p>
      <w:pPr>
        <w:pStyle w:val="2"/>
        <w:keepNext w:val="0"/>
        <w:keepLines w:val="0"/>
        <w:pageBreakBefore w:val="0"/>
        <w:kinsoku/>
        <w:wordWrap/>
        <w:overflowPunct w:val="0"/>
        <w:topLinePunct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</w:rPr>
        <w:t>公司投资性房地产公允价值评估项目资产评估报告书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（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湘智超评报字〔2024〕第0007号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，实收金额2.00万元人民币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shd w:val="clear" w:color="auto" w:fill="auto"/>
          <w:lang w:eastAsia="zh-CN"/>
        </w:rPr>
        <w:t>）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评估对象共有235套房屋，评估对象位于不同的小区、街道，底稿仅有3套房屋的勘查记录。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《资产评估执业准则——不动产》第十三条的相关规定。</w:t>
      </w:r>
    </w:p>
    <w:p>
      <w:pPr>
        <w:numPr>
          <w:ilvl w:val="0"/>
          <w:numId w:val="0"/>
        </w:num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评估说明第62页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中“根据评估人员现场勘察时对周边市场的走访，并对湘潭房产集团有限公司所提供的租赁合同进行分析，由于现有的市场环境的情况下，发现房屋租金续签合同依然保持不变，并未有任何变动。基于实际情况，评估人员经过分析，对出租的房屋建筑物不进行任何增减值”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根据收益法测算公式，房屋价值不仅与租赁期内合同租金相关，也与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合同外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市场租金、折现率、增长率、空置率的变化相关，基于“房屋租赁续签合同租金不变”的情况得出评估值等于账面值的评估依据不充分。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查阅评估报告、评估说明及评估明细表，纳入评估范围的第1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231项房地产的评估值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皆等于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账面值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 w:eastAsia="zh-CN"/>
        </w:rPr>
        <w:t>无评估过程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val="en-US"/>
        </w:rPr>
        <w:t>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《资产评估执业准则——资产评估程序》第十九条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相关规定。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评估说明对第235项三桥大市场一区四楼采用市场法进行评估，评估对象为四楼，建筑面积为3,188.52平方米，案例均为一楼，建筑面积均在100平方米左右，案例不可比。</w:t>
      </w:r>
    </w:p>
    <w:p>
      <w:pPr>
        <w:tabs>
          <w:tab w:val="left" w:pos="0"/>
        </w:tabs>
        <w:autoSpaceDN/>
        <w:spacing w:after="0" w:line="560" w:lineRule="exact"/>
        <w:ind w:firstLine="563" w:firstLineChars="176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上述问题，违反了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《资产评估执业准则——不动产》第十八条的相关规定。</w:t>
      </w:r>
    </w:p>
    <w:p>
      <w:pPr>
        <w:tabs>
          <w:tab w:val="left" w:pos="0"/>
        </w:tabs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auto"/>
          <w:lang w:val="en-US" w:eastAsia="zh-CN"/>
        </w:rPr>
        <w:t>以上事实，有你单位提供的增值税发票、合同、银行收款回单、相关评估报告及其工作底稿，以及你单位签字确认的财政检查报告、财政检查工作底稿和专家论证意见等资料作为证据。</w:t>
      </w:r>
      <w:bookmarkEnd w:id="0"/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作出的处罚决定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和处罚依据</w:t>
      </w:r>
    </w:p>
    <w:p>
      <w:pPr>
        <w:overflowPunct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针对上述问题，根据《中华人民共和国资产评估法》第四十七条第一款第六项以及《湖南省财政厅行政处罚裁量权基准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（2022年版）》“四、资产评估监督类”第13项的规定，你单位的违法行为属于从轻处罚阶次，我厅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决定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对你单位作出以下处罚：警告，没收违法所得2万元，并处违法所得1倍罚款2万元。同时责令你单位立即整改。</w:t>
      </w:r>
    </w:p>
    <w:p>
      <w:pPr>
        <w:tabs>
          <w:tab w:val="left" w:pos="4970"/>
        </w:tabs>
        <w:overflowPunct w:val="0"/>
        <w:autoSpaceDE/>
        <w:autoSpaceDN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根据《中华人民共和国行政处罚法》，你单位应当在收到本决定书之日起15日内缴纳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万元罚没款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逾期不缴纳的，我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可以根据《中华人民共和国行政处罚法》第七十二条第一款第一项规定，每日按罚款数额的3％加处罚款。你单位应对上述存在的问题进行认真整改，并自收到本决定书之日起30日内将缴款凭证和整改落实情况书面报送我厅。</w:t>
      </w:r>
    </w:p>
    <w:p>
      <w:pPr>
        <w:overflowPunct w:val="0"/>
        <w:autoSpaceDE/>
        <w:autoSpaceDN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不服本决定，你单位可自收到本决定书之日起60日内，依法向湖南省人民政府申请行政复议；或者在收到本决定书之日起6个月内，依法向长沙铁路运输法院提起行政诉讼。复议和诉讼期间，上述决定不停止执行。</w:t>
      </w:r>
    </w:p>
    <w:p>
      <w:pPr>
        <w:adjustRightInd w:val="0"/>
        <w:snapToGrid w:val="0"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adjustRightInd w:val="0"/>
        <w:snapToGrid w:val="0"/>
        <w:spacing w:line="560" w:lineRule="exact"/>
        <w:ind w:right="888" w:rightChars="317" w:firstLine="0" w:firstLineChars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湖南省财政厅</w:t>
      </w:r>
    </w:p>
    <w:p>
      <w:pPr>
        <w:spacing w:line="560" w:lineRule="exact"/>
        <w:rPr>
          <w:rFonts w:hint="default" w:ascii="Times New Roman" w:hAnsi="Times New Roman" w:eastAsia="黑体" w:cs="Times New Roman"/>
          <w:szCs w:val="28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15日</w:t>
      </w: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7" w:left="1588" w:header="720" w:footer="1304" w:gutter="0"/>
      <w:pgNumType w:fmt="decimal" w:start="1"/>
      <w:cols w:space="720" w:num="1"/>
      <w:rtlGutter w:val="0"/>
      <w:docGrid w:linePitch="6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FC09684-F2A2-438D-892F-FB00A6C8BF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2000019F" w:csb1="4F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5D6AFCF-F329-492A-911D-9BF0893D32A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3DFC67F-D9BB-439D-B415-1A686687D5B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9B59075-2FFF-4F0E-BBA2-FF6EC5821214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6361AE"/>
    <w:multiLevelType w:val="singleLevel"/>
    <w:tmpl w:val="206361A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5YmJmYjQzNWI0Y2MwNjcwNTExMmI4Y2VkOTFiOTgifQ=="/>
  </w:docVars>
  <w:rsids>
    <w:rsidRoot w:val="00172A27"/>
    <w:rsid w:val="000103FD"/>
    <w:rsid w:val="00022BE4"/>
    <w:rsid w:val="00202BEF"/>
    <w:rsid w:val="00421C52"/>
    <w:rsid w:val="00616469"/>
    <w:rsid w:val="00743289"/>
    <w:rsid w:val="007C5DE1"/>
    <w:rsid w:val="00850CC5"/>
    <w:rsid w:val="00943C1A"/>
    <w:rsid w:val="009A4B9C"/>
    <w:rsid w:val="00B373B8"/>
    <w:rsid w:val="00C95FD1"/>
    <w:rsid w:val="00EF0EC9"/>
    <w:rsid w:val="00FE2FFA"/>
    <w:rsid w:val="02FF4CE4"/>
    <w:rsid w:val="126C1306"/>
    <w:rsid w:val="131E20AD"/>
    <w:rsid w:val="176433CC"/>
    <w:rsid w:val="17902441"/>
    <w:rsid w:val="18626802"/>
    <w:rsid w:val="1F1D5DD1"/>
    <w:rsid w:val="1FBB8CB9"/>
    <w:rsid w:val="267267AA"/>
    <w:rsid w:val="28E1707C"/>
    <w:rsid w:val="2ADB08BA"/>
    <w:rsid w:val="2F7F27C8"/>
    <w:rsid w:val="320F75A3"/>
    <w:rsid w:val="376D1A03"/>
    <w:rsid w:val="3A1329FE"/>
    <w:rsid w:val="3B7718E8"/>
    <w:rsid w:val="3D7D3FC9"/>
    <w:rsid w:val="3F1F9CA4"/>
    <w:rsid w:val="40B3686F"/>
    <w:rsid w:val="4B7645F1"/>
    <w:rsid w:val="4F7FF954"/>
    <w:rsid w:val="50786D6D"/>
    <w:rsid w:val="51FF10D1"/>
    <w:rsid w:val="551729F9"/>
    <w:rsid w:val="558E6317"/>
    <w:rsid w:val="56856B80"/>
    <w:rsid w:val="59540F1D"/>
    <w:rsid w:val="5CC6692D"/>
    <w:rsid w:val="5CFB4E51"/>
    <w:rsid w:val="63ABACE1"/>
    <w:rsid w:val="69366BE8"/>
    <w:rsid w:val="6D940659"/>
    <w:rsid w:val="6DD71400"/>
    <w:rsid w:val="73FFAD5A"/>
    <w:rsid w:val="764F3C94"/>
    <w:rsid w:val="789001FB"/>
    <w:rsid w:val="7B5CF157"/>
    <w:rsid w:val="7DFEF4D6"/>
    <w:rsid w:val="7F1FB22E"/>
    <w:rsid w:val="7FEF539A"/>
    <w:rsid w:val="96CF45EA"/>
    <w:rsid w:val="A6D80BA5"/>
    <w:rsid w:val="B5233D3A"/>
    <w:rsid w:val="B7F8FBD8"/>
    <w:rsid w:val="BF332691"/>
    <w:rsid w:val="BF6FD41D"/>
    <w:rsid w:val="BFEFC320"/>
    <w:rsid w:val="BFFEBFAB"/>
    <w:rsid w:val="CFFE6BAC"/>
    <w:rsid w:val="DFFBF03C"/>
    <w:rsid w:val="E5D73A07"/>
    <w:rsid w:val="F28F1887"/>
    <w:rsid w:val="F6FFE93B"/>
    <w:rsid w:val="FAFF7878"/>
    <w:rsid w:val="FB571B35"/>
    <w:rsid w:val="FD3769EA"/>
    <w:rsid w:val="FDBDC2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宋体" w:cs="Times New Roman"/>
      <w:sz w:val="28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Times New Roman" w:hAnsi="Times New Roman" w:cs="Times New Roman"/>
      <w:kern w:val="2"/>
      <w:sz w:val="21"/>
    </w:rPr>
  </w:style>
  <w:style w:type="paragraph" w:styleId="3">
    <w:name w:val="Body Text"/>
    <w:basedOn w:val="1"/>
    <w:qFormat/>
    <w:uiPriority w:val="0"/>
    <w:pPr>
      <w:spacing w:after="120" w:afterLines="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  <w:pPr>
      <w:widowControl w:val="0"/>
      <w:jc w:val="both"/>
    </w:pPr>
    <w:rPr>
      <w:rFonts w:ascii="仿宋" w:hAnsi="仿宋" w:eastAsia="宋体" w:cs="Times New Roman"/>
      <w:kern w:val="0"/>
      <w:sz w:val="28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paragraph" w:customStyle="1" w:styleId="10">
    <w:name w:val="表格内容"/>
    <w:basedOn w:val="3"/>
    <w:qFormat/>
    <w:uiPriority w:val="0"/>
    <w:pPr>
      <w:suppressLineNumbers/>
      <w:suppressAutoHyphens/>
      <w:jc w:val="left"/>
    </w:pPr>
    <w:rPr>
      <w:rFonts w:cs="Tahoma"/>
      <w:kern w:val="0"/>
      <w:sz w:val="24"/>
    </w:rPr>
  </w:style>
  <w:style w:type="paragraph" w:customStyle="1" w:styleId="11">
    <w:name w:val="l正文"/>
    <w:basedOn w:val="1"/>
    <w:qFormat/>
    <w:uiPriority w:val="0"/>
    <w:pPr>
      <w:spacing w:line="300" w:lineRule="auto"/>
      <w:ind w:firstLine="200" w:firstLineChars="200"/>
    </w:pPr>
    <w:rPr>
      <w:rFonts w:ascii="KaiTi_GB2312" w:hAnsi="Times" w:eastAsia="KaiTi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2015</Words>
  <Characters>2090</Characters>
  <Lines>3</Lines>
  <Paragraphs>1</Paragraphs>
  <TotalTime>5</TotalTime>
  <ScaleCrop>false</ScaleCrop>
  <LinksUpToDate>false</LinksUpToDate>
  <CharactersWithSpaces>2173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2024-05-03T08:50:00Z</dcterms:created>
  <dc:creator>User</dc:creator>
  <cp:lastModifiedBy>灯灯~</cp:lastModifiedBy>
  <cp:lastPrinted>2026-04-20T00:58:20Z</cp:lastPrinted>
  <dcterms:modified xsi:type="dcterms:W3CDTF">2026-04-20T00:58:24Z</dcterms:modified>
  <dc:title>湖南省财政厅发文（指标、函）稿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3A5104B6C2A745958A5AE37EBD61EFF5_13</vt:lpwstr>
  </property>
  <property fmtid="{D5CDD505-2E9C-101B-9397-08002B2CF9AE}" pid="3" name="KSOProductBuildVer">
    <vt:lpwstr>2052-12.1.0.15990</vt:lpwstr>
  </property>
  <property fmtid="{D5CDD505-2E9C-101B-9397-08002B2CF9AE}" pid="4" name="KSOTemplateDocerSaveRecord">
    <vt:lpwstr>eyJoZGlkIjoiNTU0ZmIwYTQ3NzlmZGUxZmU3Zjk0M2IyZTNmM2IxNjAiLCJ1c2VySWQiOiI0Mzc5MzM2NTEifQ==</vt:lpwstr>
  </property>
</Properties>
</file>