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黑体"/>
          <w:sz w:val="32"/>
          <w:szCs w:val="32"/>
        </w:rPr>
      </w:pPr>
      <w:bookmarkStart w:id="0" w:name="_Toc476676228"/>
      <w:r>
        <w:rPr>
          <w:rFonts w:eastAsia="黑体"/>
          <w:sz w:val="32"/>
          <w:szCs w:val="32"/>
        </w:rPr>
        <w:t>附件1</w:t>
      </w:r>
    </w:p>
    <w:p>
      <w:pPr>
        <w:snapToGrid w:val="0"/>
        <w:rPr>
          <w:rFonts w:eastAsia="黑体"/>
          <w:sz w:val="32"/>
          <w:szCs w:val="32"/>
        </w:rPr>
      </w:pPr>
    </w:p>
    <w:p>
      <w:pPr>
        <w:snapToGrid w:val="0"/>
        <w:jc w:val="center"/>
        <w:rPr>
          <w:rFonts w:eastAsia="方正小标宋_GBK"/>
          <w:sz w:val="44"/>
          <w:szCs w:val="44"/>
        </w:rPr>
      </w:pPr>
      <w:r>
        <w:rPr>
          <w:rFonts w:eastAsia="方正小标宋_GBK"/>
          <w:sz w:val="44"/>
          <w:szCs w:val="44"/>
        </w:rPr>
        <w:t>重大科技项目任务榜单</w:t>
      </w:r>
    </w:p>
    <w:p>
      <w:pPr>
        <w:snapToGrid w:val="0"/>
        <w:jc w:val="center"/>
        <w:rPr>
          <w:rFonts w:eastAsia="方正小标宋_GBK"/>
          <w:sz w:val="44"/>
          <w:szCs w:val="44"/>
        </w:rPr>
      </w:pPr>
    </w:p>
    <w:p>
      <w:pPr>
        <w:numPr>
          <w:ilvl w:val="0"/>
          <w:numId w:val="2"/>
        </w:numPr>
        <w:spacing w:line="600" w:lineRule="exact"/>
        <w:ind w:firstLine="616" w:firstLineChars="200"/>
        <w:rPr>
          <w:rFonts w:eastAsia="楷体_GB2312"/>
          <w:spacing w:val="-6"/>
          <w:sz w:val="32"/>
          <w:szCs w:val="32"/>
        </w:rPr>
      </w:pPr>
      <w:r>
        <w:rPr>
          <w:rFonts w:eastAsia="楷体_GB2312"/>
          <w:spacing w:val="-6"/>
          <w:sz w:val="32"/>
          <w:szCs w:val="32"/>
        </w:rPr>
        <w:t>自然资源生态产品价值调查监测、核算评估及应用研究</w:t>
      </w:r>
    </w:p>
    <w:p>
      <w:pPr>
        <w:spacing w:line="600" w:lineRule="exact"/>
        <w:ind w:firstLine="642" w:firstLineChars="200"/>
        <w:rPr>
          <w:rFonts w:eastAsia="仿宋_GB2312"/>
          <w:b/>
          <w:bCs/>
          <w:kern w:val="0"/>
          <w:sz w:val="32"/>
        </w:rPr>
      </w:pPr>
      <w:r>
        <w:rPr>
          <w:rFonts w:eastAsia="仿宋_GB2312"/>
          <w:b/>
          <w:bCs/>
          <w:kern w:val="0"/>
          <w:sz w:val="32"/>
        </w:rPr>
        <w:t>关键技术攻关：</w:t>
      </w:r>
    </w:p>
    <w:p>
      <w:pPr>
        <w:spacing w:line="600" w:lineRule="exact"/>
        <w:ind w:firstLine="640" w:firstLineChars="200"/>
        <w:rPr>
          <w:rFonts w:eastAsia="仿宋_GB2312"/>
          <w:sz w:val="32"/>
          <w:szCs w:val="32"/>
        </w:rPr>
      </w:pPr>
      <w:r>
        <w:rPr>
          <w:rFonts w:eastAsia="仿宋_GB2312"/>
          <w:sz w:val="32"/>
          <w:szCs w:val="32"/>
        </w:rPr>
        <w:t>1.生态产品价值动态监测关键技术及跨部门跨层级数据共建共享技术攻关；</w:t>
      </w:r>
    </w:p>
    <w:p>
      <w:pPr>
        <w:spacing w:line="600" w:lineRule="exact"/>
        <w:ind w:firstLine="640" w:firstLineChars="200"/>
        <w:rPr>
          <w:rFonts w:eastAsia="仿宋_GB2312"/>
          <w:sz w:val="32"/>
          <w:szCs w:val="32"/>
        </w:rPr>
      </w:pPr>
      <w:r>
        <w:rPr>
          <w:rFonts w:eastAsia="仿宋_GB2312"/>
          <w:sz w:val="32"/>
          <w:szCs w:val="32"/>
        </w:rPr>
        <w:t>2.分区分资源门类的自然资源资产生态产品价值核算、指标体系和技术方法研究，探索构建特定地域单元如洞庭湖生态经济区生态价值核算示范；</w:t>
      </w:r>
    </w:p>
    <w:p>
      <w:pPr>
        <w:spacing w:line="600" w:lineRule="exact"/>
        <w:ind w:firstLine="640" w:firstLineChars="200"/>
        <w:rPr>
          <w:rFonts w:eastAsia="仿宋_GB2312"/>
          <w:kern w:val="0"/>
          <w:sz w:val="32"/>
          <w:szCs w:val="32"/>
        </w:rPr>
      </w:pPr>
      <w:r>
        <w:rPr>
          <w:rFonts w:eastAsia="仿宋_GB2312"/>
          <w:sz w:val="32"/>
          <w:szCs w:val="32"/>
        </w:rPr>
        <w:t>3.探索多元化生态产品价值实现路径，研究重要生态功能地域单元保护的生态保护成效评估技术，研究核算结果在规划编制、生态保护补偿等方面的应用。</w:t>
      </w:r>
    </w:p>
    <w:p>
      <w:pPr>
        <w:spacing w:line="600" w:lineRule="exact"/>
        <w:ind w:firstLine="642" w:firstLineChars="200"/>
        <w:rPr>
          <w:rFonts w:eastAsia="仿宋_GB2312"/>
          <w:b/>
          <w:bCs/>
          <w:kern w:val="0"/>
          <w:sz w:val="32"/>
        </w:rPr>
      </w:pPr>
      <w:r>
        <w:rPr>
          <w:rFonts w:eastAsia="仿宋_GB2312"/>
          <w:b/>
          <w:bCs/>
          <w:kern w:val="0"/>
          <w:sz w:val="32"/>
        </w:rPr>
        <w:t>预期成果：</w:t>
      </w:r>
    </w:p>
    <w:p>
      <w:pPr>
        <w:spacing w:line="600" w:lineRule="exact"/>
        <w:ind w:firstLine="640" w:firstLineChars="200"/>
        <w:rPr>
          <w:rFonts w:eastAsia="仿宋_GB2312"/>
          <w:kern w:val="0"/>
          <w:sz w:val="32"/>
        </w:rPr>
      </w:pPr>
      <w:r>
        <w:rPr>
          <w:rFonts w:eastAsia="仿宋_GB2312"/>
          <w:kern w:val="0"/>
          <w:sz w:val="32"/>
        </w:rPr>
        <w:t>1.通过技术攻关，解决生态产品价值动态监测中的难点问题；</w:t>
      </w:r>
    </w:p>
    <w:p>
      <w:pPr>
        <w:spacing w:line="600" w:lineRule="exact"/>
        <w:ind w:firstLine="640" w:firstLineChars="200"/>
        <w:rPr>
          <w:rFonts w:eastAsia="仿宋_GB2312"/>
          <w:kern w:val="0"/>
          <w:sz w:val="32"/>
        </w:rPr>
      </w:pPr>
      <w:r>
        <w:rPr>
          <w:rFonts w:eastAsia="仿宋_GB2312"/>
          <w:kern w:val="0"/>
          <w:sz w:val="32"/>
        </w:rPr>
        <w:t>2.构建符合区域实际的生态产品价值核算方法和指标体系，分区分类探索开展生态产品价值核算，解决生态产品价值评价量化问题。通过洞庭湖生态经济区生态价值核算示范，验证核算方法和技术可行性；</w:t>
      </w:r>
    </w:p>
    <w:p>
      <w:pPr>
        <w:spacing w:line="600" w:lineRule="exact"/>
        <w:ind w:firstLine="640" w:firstLineChars="200"/>
        <w:rPr>
          <w:rFonts w:eastAsia="仿宋_GB2312"/>
          <w:kern w:val="0"/>
          <w:sz w:val="32"/>
        </w:rPr>
      </w:pPr>
      <w:r>
        <w:rPr>
          <w:rFonts w:eastAsia="仿宋_GB2312"/>
          <w:kern w:val="0"/>
          <w:sz w:val="32"/>
        </w:rPr>
        <w:t>3.针对不同生态服务产品，因地制宜提出生态产业化、产业生态化等多途径生态产品价值实现模式，确保生态产品保值增值，提升生态产品供给能力；</w:t>
      </w:r>
    </w:p>
    <w:p>
      <w:pPr>
        <w:spacing w:line="600" w:lineRule="exact"/>
        <w:ind w:firstLine="640" w:firstLineChars="200"/>
        <w:rPr>
          <w:rFonts w:eastAsia="仿宋_GB2312"/>
          <w:kern w:val="0"/>
          <w:sz w:val="32"/>
        </w:rPr>
      </w:pPr>
      <w:r>
        <w:rPr>
          <w:rFonts w:eastAsia="仿宋_GB2312"/>
          <w:kern w:val="0"/>
          <w:sz w:val="32"/>
        </w:rPr>
        <w:t>4.深入挖掘各地生态产品价值实现创新模式和经验做法，形成一批具有创新性、引领性、示范性的生态产品价值实现典型案例，为建立健全我省生态产品价值实现制度体系提供支撑；</w:t>
      </w:r>
    </w:p>
    <w:p>
      <w:pPr>
        <w:spacing w:line="600" w:lineRule="exact"/>
        <w:ind w:firstLine="640" w:firstLineChars="200"/>
        <w:rPr>
          <w:rFonts w:eastAsia="仿宋_GB2312"/>
          <w:kern w:val="0"/>
          <w:sz w:val="32"/>
        </w:rPr>
      </w:pPr>
      <w:r>
        <w:rPr>
          <w:rFonts w:eastAsia="仿宋_GB2312"/>
          <w:kern w:val="0"/>
          <w:sz w:val="32"/>
        </w:rPr>
        <w:t>5.</w:t>
      </w:r>
      <w:r>
        <w:rPr>
          <w:rFonts w:eastAsia="仿宋_GB2312"/>
          <w:color w:val="000000"/>
          <w:kern w:val="0"/>
          <w:sz w:val="32"/>
          <w:szCs w:val="32"/>
        </w:rPr>
        <w:t>核心期刊发表高水平学术论文3-4篇，其中SCI论文1-2篇；</w:t>
      </w:r>
    </w:p>
    <w:p>
      <w:pPr>
        <w:snapToGrid w:val="0"/>
        <w:spacing w:line="600" w:lineRule="exact"/>
        <w:ind w:firstLine="640" w:firstLineChars="200"/>
        <w:rPr>
          <w:rFonts w:eastAsia="仿宋_GB2312"/>
          <w:kern w:val="0"/>
          <w:sz w:val="32"/>
        </w:rPr>
      </w:pPr>
      <w:r>
        <w:rPr>
          <w:rFonts w:eastAsia="仿宋_GB2312"/>
          <w:kern w:val="0"/>
          <w:sz w:val="32"/>
        </w:rPr>
        <w:t>6.申请专利2-3项。</w:t>
      </w:r>
    </w:p>
    <w:p>
      <w:pPr>
        <w:snapToGrid w:val="0"/>
        <w:spacing w:line="600" w:lineRule="exact"/>
        <w:ind w:firstLine="642" w:firstLineChars="200"/>
        <w:rPr>
          <w:rFonts w:eastAsia="仿宋_GB2312"/>
          <w:kern w:val="0"/>
          <w:sz w:val="32"/>
        </w:rPr>
      </w:pPr>
      <w:r>
        <w:rPr>
          <w:rFonts w:eastAsia="仿宋_GB2312"/>
          <w:b/>
          <w:bCs/>
          <w:kern w:val="0"/>
          <w:sz w:val="32"/>
        </w:rPr>
        <w:t>实施周期：</w:t>
      </w:r>
      <w:r>
        <w:rPr>
          <w:rFonts w:eastAsia="仿宋_GB2312"/>
          <w:kern w:val="0"/>
          <w:sz w:val="32"/>
        </w:rPr>
        <w:t>不超过两年。</w:t>
      </w:r>
    </w:p>
    <w:p>
      <w:pPr>
        <w:snapToGrid w:val="0"/>
        <w:spacing w:line="600" w:lineRule="exact"/>
        <w:ind w:firstLine="642" w:firstLineChars="200"/>
        <w:rPr>
          <w:rFonts w:eastAsia="仿宋_GB2312"/>
          <w:b/>
          <w:bCs/>
          <w:kern w:val="0"/>
          <w:sz w:val="32"/>
        </w:rPr>
      </w:pPr>
      <w:r>
        <w:rPr>
          <w:rFonts w:eastAsia="仿宋_GB2312"/>
          <w:b/>
          <w:bCs/>
          <w:kern w:val="0"/>
          <w:sz w:val="32"/>
        </w:rPr>
        <w:t>补助金额：</w:t>
      </w:r>
      <w:r>
        <w:rPr>
          <w:rFonts w:eastAsia="仿宋_GB2312"/>
          <w:kern w:val="0"/>
          <w:sz w:val="32"/>
        </w:rPr>
        <w:t>不超过100万元。</w:t>
      </w:r>
    </w:p>
    <w:p>
      <w:pPr>
        <w:spacing w:line="600" w:lineRule="exact"/>
        <w:ind w:firstLine="640" w:firstLineChars="200"/>
        <w:rPr>
          <w:rFonts w:eastAsia="楷体_GB2312"/>
          <w:sz w:val="32"/>
          <w:szCs w:val="32"/>
        </w:rPr>
      </w:pPr>
      <w:r>
        <w:rPr>
          <w:rFonts w:eastAsia="楷体_GB2312"/>
          <w:sz w:val="32"/>
          <w:szCs w:val="32"/>
        </w:rPr>
        <w:t>（二）湖南省铟镓锗铼等稀散金属矿赋存规律及找矿方向研究</w:t>
      </w:r>
    </w:p>
    <w:p>
      <w:pPr>
        <w:spacing w:line="600" w:lineRule="exact"/>
        <w:ind w:firstLine="642" w:firstLineChars="200"/>
        <w:rPr>
          <w:rFonts w:eastAsia="仿宋_GB2312"/>
          <w:b/>
          <w:bCs/>
          <w:kern w:val="0"/>
          <w:sz w:val="32"/>
        </w:rPr>
      </w:pPr>
      <w:r>
        <w:rPr>
          <w:rFonts w:eastAsia="仿宋_GB2312"/>
          <w:b/>
          <w:bCs/>
          <w:kern w:val="0"/>
          <w:sz w:val="32"/>
        </w:rPr>
        <w:t>关键技术攻关：</w:t>
      </w:r>
    </w:p>
    <w:p>
      <w:pPr>
        <w:spacing w:line="600" w:lineRule="exact"/>
        <w:ind w:firstLine="640" w:firstLineChars="200"/>
        <w:rPr>
          <w:rFonts w:eastAsia="仿宋_GB2312"/>
          <w:color w:val="000000"/>
          <w:kern w:val="0"/>
          <w:sz w:val="32"/>
          <w:szCs w:val="32"/>
        </w:rPr>
      </w:pPr>
      <w:r>
        <w:rPr>
          <w:rFonts w:eastAsia="仿宋_GB2312"/>
          <w:color w:val="000000"/>
          <w:kern w:val="0"/>
          <w:sz w:val="32"/>
          <w:szCs w:val="32"/>
        </w:rPr>
        <w:t>1.开展湖南省热液型铅锌、钨锡钼矿床中铟、镓、铼含量调查，开展沉积型煤矿、黑色岩系中锗含量调查，查明铟、镓、铼、锗富集特征；</w:t>
      </w:r>
    </w:p>
    <w:p>
      <w:pPr>
        <w:spacing w:line="600" w:lineRule="exact"/>
        <w:ind w:firstLine="640" w:firstLineChars="200"/>
        <w:rPr>
          <w:rFonts w:eastAsia="仿宋_GB2312"/>
          <w:color w:val="000000"/>
          <w:kern w:val="0"/>
          <w:sz w:val="32"/>
          <w:szCs w:val="32"/>
        </w:rPr>
      </w:pPr>
      <w:r>
        <w:rPr>
          <w:rFonts w:eastAsia="仿宋_GB2312"/>
          <w:color w:val="000000"/>
          <w:kern w:val="0"/>
          <w:sz w:val="32"/>
          <w:szCs w:val="32"/>
        </w:rPr>
        <w:t>2.开展铟、镓、铼、锗赋存状态及赋存规律研究，厘清稀散金属在热液矿床和沉积矿床中的赋存机制；剖析稀散金属成矿的物理化学条件；</w:t>
      </w:r>
    </w:p>
    <w:p>
      <w:pPr>
        <w:spacing w:line="600" w:lineRule="exact"/>
        <w:ind w:firstLine="640" w:firstLineChars="200"/>
        <w:rPr>
          <w:rFonts w:eastAsia="仿宋_GB2312"/>
          <w:color w:val="000000"/>
          <w:kern w:val="0"/>
          <w:sz w:val="32"/>
          <w:szCs w:val="32"/>
        </w:rPr>
      </w:pPr>
      <w:r>
        <w:rPr>
          <w:rFonts w:eastAsia="仿宋_GB2312"/>
          <w:color w:val="000000"/>
          <w:kern w:val="0"/>
          <w:sz w:val="32"/>
          <w:szCs w:val="32"/>
        </w:rPr>
        <w:t>3.开展热液型热液矿床和沉积矿床中稀散金属资源潜力分析，初步查明铟、镓、铼、锗的潜在资源量。</w:t>
      </w:r>
    </w:p>
    <w:p>
      <w:pPr>
        <w:spacing w:line="600" w:lineRule="exact"/>
        <w:ind w:firstLine="642" w:firstLineChars="200"/>
        <w:rPr>
          <w:rFonts w:eastAsia="仿宋_GB2312"/>
          <w:b/>
          <w:bCs/>
          <w:kern w:val="0"/>
          <w:sz w:val="32"/>
        </w:rPr>
      </w:pPr>
      <w:r>
        <w:rPr>
          <w:rFonts w:eastAsia="仿宋_GB2312"/>
          <w:b/>
          <w:bCs/>
          <w:kern w:val="0"/>
          <w:sz w:val="32"/>
        </w:rPr>
        <w:t>预期成果：</w:t>
      </w:r>
    </w:p>
    <w:p>
      <w:pPr>
        <w:spacing w:line="600" w:lineRule="exact"/>
        <w:ind w:firstLine="640" w:firstLineChars="200"/>
        <w:rPr>
          <w:rFonts w:eastAsia="仿宋_GB2312"/>
          <w:color w:val="000000"/>
          <w:kern w:val="0"/>
          <w:sz w:val="32"/>
          <w:szCs w:val="32"/>
        </w:rPr>
      </w:pPr>
      <w:r>
        <w:rPr>
          <w:rFonts w:eastAsia="仿宋_GB2312"/>
          <w:color w:val="000000"/>
          <w:kern w:val="0"/>
          <w:sz w:val="32"/>
          <w:szCs w:val="32"/>
        </w:rPr>
        <w:t>1.查明铟、镓、铼、锗等稀散金属矿在热液矿床和沉积矿床中的分布特征；</w:t>
      </w:r>
    </w:p>
    <w:p>
      <w:pPr>
        <w:spacing w:line="600" w:lineRule="exact"/>
        <w:ind w:firstLine="640" w:firstLineChars="200"/>
        <w:rPr>
          <w:rFonts w:eastAsia="仿宋_GB2312"/>
          <w:color w:val="000000"/>
          <w:kern w:val="0"/>
          <w:sz w:val="32"/>
          <w:szCs w:val="32"/>
        </w:rPr>
      </w:pPr>
      <w:r>
        <w:rPr>
          <w:rFonts w:eastAsia="仿宋_GB2312"/>
          <w:color w:val="000000"/>
          <w:kern w:val="0"/>
          <w:sz w:val="32"/>
          <w:szCs w:val="32"/>
        </w:rPr>
        <w:t>2.查明铟、镓、铼、锗的赋存状态及赋存规律；</w:t>
      </w:r>
    </w:p>
    <w:p>
      <w:pPr>
        <w:spacing w:line="600" w:lineRule="exact"/>
        <w:ind w:firstLine="640" w:firstLineChars="200"/>
        <w:rPr>
          <w:rFonts w:eastAsia="仿宋_GB2312"/>
          <w:color w:val="000000"/>
          <w:kern w:val="0"/>
          <w:sz w:val="32"/>
          <w:szCs w:val="32"/>
        </w:rPr>
      </w:pPr>
      <w:r>
        <w:rPr>
          <w:rFonts w:eastAsia="仿宋_GB2312"/>
          <w:color w:val="000000"/>
          <w:kern w:val="0"/>
          <w:sz w:val="32"/>
          <w:szCs w:val="32"/>
        </w:rPr>
        <w:t>3.揭示岩浆-热液成矿过程中铟、镓、铼的富集分散时空规律，阐明热液过程中稀散元素富集成矿机制，揭示沉积成矿过程中的锗富集分散规律；</w:t>
      </w:r>
    </w:p>
    <w:p>
      <w:pPr>
        <w:spacing w:line="600" w:lineRule="exact"/>
        <w:ind w:firstLine="640" w:firstLineChars="200"/>
        <w:rPr>
          <w:rFonts w:eastAsia="仿宋_GB2312"/>
          <w:color w:val="000000"/>
          <w:kern w:val="0"/>
          <w:sz w:val="32"/>
          <w:szCs w:val="32"/>
        </w:rPr>
      </w:pPr>
      <w:r>
        <w:rPr>
          <w:rFonts w:eastAsia="仿宋_GB2312"/>
          <w:color w:val="000000"/>
          <w:kern w:val="0"/>
          <w:sz w:val="32"/>
          <w:szCs w:val="32"/>
        </w:rPr>
        <w:t>4.优选有利成矿区段，圈定3-5处铟、镓、铼、锗矿远景靶区，评价其资源潜力；</w:t>
      </w:r>
    </w:p>
    <w:p>
      <w:pPr>
        <w:snapToGrid w:val="0"/>
        <w:spacing w:line="600" w:lineRule="exact"/>
        <w:ind w:firstLine="640" w:firstLineChars="200"/>
        <w:rPr>
          <w:rFonts w:eastAsia="仿宋_GB2312"/>
          <w:color w:val="000000"/>
          <w:kern w:val="0"/>
          <w:sz w:val="32"/>
          <w:szCs w:val="32"/>
        </w:rPr>
      </w:pPr>
      <w:r>
        <w:rPr>
          <w:rFonts w:eastAsia="仿宋_GB2312"/>
          <w:color w:val="000000"/>
          <w:kern w:val="0"/>
          <w:sz w:val="32"/>
          <w:szCs w:val="32"/>
        </w:rPr>
        <w:t>5.核心期刊发表高水平学术论文3-4篇，其中SCI论文1-2篇。</w:t>
      </w:r>
    </w:p>
    <w:p>
      <w:pPr>
        <w:snapToGrid w:val="0"/>
        <w:spacing w:line="600" w:lineRule="exact"/>
        <w:ind w:firstLine="642" w:firstLineChars="200"/>
        <w:rPr>
          <w:rFonts w:eastAsia="仿宋_GB2312"/>
          <w:kern w:val="0"/>
          <w:sz w:val="32"/>
        </w:rPr>
      </w:pPr>
      <w:r>
        <w:rPr>
          <w:rFonts w:eastAsia="仿宋_GB2312"/>
          <w:b/>
          <w:bCs/>
          <w:kern w:val="0"/>
          <w:sz w:val="32"/>
        </w:rPr>
        <w:t>实施周期：</w:t>
      </w:r>
      <w:r>
        <w:rPr>
          <w:rFonts w:eastAsia="仿宋_GB2312"/>
          <w:kern w:val="0"/>
          <w:sz w:val="32"/>
        </w:rPr>
        <w:t>不超过两年。</w:t>
      </w:r>
    </w:p>
    <w:p>
      <w:pPr>
        <w:snapToGrid w:val="0"/>
        <w:spacing w:line="600" w:lineRule="exact"/>
        <w:ind w:firstLine="642" w:firstLineChars="200"/>
        <w:rPr>
          <w:rFonts w:eastAsia="仿宋_GB2312"/>
          <w:color w:val="000000"/>
          <w:kern w:val="0"/>
          <w:sz w:val="32"/>
          <w:szCs w:val="32"/>
        </w:rPr>
      </w:pPr>
      <w:r>
        <w:rPr>
          <w:rFonts w:eastAsia="仿宋_GB2312"/>
          <w:b/>
          <w:bCs/>
          <w:kern w:val="0"/>
          <w:sz w:val="32"/>
        </w:rPr>
        <w:t>补助金额：</w:t>
      </w:r>
      <w:r>
        <w:rPr>
          <w:rFonts w:eastAsia="仿宋_GB2312"/>
          <w:kern w:val="0"/>
          <w:sz w:val="32"/>
        </w:rPr>
        <w:t>不超过100万元。</w:t>
      </w:r>
    </w:p>
    <w:p>
      <w:pPr>
        <w:spacing w:line="600" w:lineRule="exact"/>
        <w:ind w:firstLine="640" w:firstLineChars="200"/>
        <w:rPr>
          <w:rFonts w:eastAsia="楷体_GB2312"/>
          <w:sz w:val="32"/>
          <w:szCs w:val="32"/>
        </w:rPr>
      </w:pPr>
      <w:r>
        <w:rPr>
          <w:rFonts w:eastAsia="楷体_GB2312"/>
          <w:sz w:val="32"/>
          <w:szCs w:val="32"/>
        </w:rPr>
        <w:t>（三）地理信息安全合规处理关键技术研究和应用</w:t>
      </w:r>
    </w:p>
    <w:p>
      <w:pPr>
        <w:spacing w:line="600" w:lineRule="exact"/>
        <w:ind w:firstLine="642" w:firstLineChars="200"/>
        <w:rPr>
          <w:rFonts w:eastAsia="仿宋_GB2312"/>
          <w:b/>
          <w:bCs/>
          <w:kern w:val="0"/>
          <w:sz w:val="32"/>
        </w:rPr>
      </w:pPr>
      <w:r>
        <w:rPr>
          <w:rFonts w:eastAsia="仿宋_GB2312"/>
          <w:b/>
          <w:bCs/>
          <w:kern w:val="0"/>
          <w:sz w:val="32"/>
        </w:rPr>
        <w:t>关键技术攻关：</w:t>
      </w:r>
    </w:p>
    <w:p>
      <w:pPr>
        <w:spacing w:line="600" w:lineRule="exact"/>
        <w:ind w:firstLine="640" w:firstLineChars="200"/>
        <w:rPr>
          <w:rFonts w:eastAsia="仿宋_GB2312"/>
          <w:color w:val="000000"/>
          <w:kern w:val="0"/>
          <w:sz w:val="32"/>
          <w:szCs w:val="32"/>
        </w:rPr>
      </w:pPr>
      <w:r>
        <w:rPr>
          <w:rFonts w:eastAsia="仿宋_GB2312"/>
          <w:color w:val="000000"/>
          <w:kern w:val="0"/>
          <w:sz w:val="32"/>
          <w:szCs w:val="32"/>
        </w:rPr>
        <w:t>1.剖析地理信息合规处理法规及需求，开展三维数据合规处理技术攻关；</w:t>
      </w:r>
    </w:p>
    <w:p>
      <w:pPr>
        <w:spacing w:line="600" w:lineRule="exact"/>
        <w:ind w:firstLine="640" w:firstLineChars="200"/>
        <w:rPr>
          <w:rFonts w:eastAsia="仿宋_GB2312"/>
          <w:color w:val="000000"/>
          <w:kern w:val="0"/>
          <w:sz w:val="32"/>
          <w:szCs w:val="32"/>
        </w:rPr>
      </w:pPr>
      <w:r>
        <w:rPr>
          <w:rFonts w:eastAsia="仿宋_GB2312"/>
          <w:color w:val="000000"/>
          <w:kern w:val="0"/>
          <w:sz w:val="32"/>
          <w:szCs w:val="32"/>
        </w:rPr>
        <w:t>2.引入深度学习、信息隐藏、知识图谱与语义分析等方法，开展地理信息合规性智能化检测技术攻关；</w:t>
      </w:r>
    </w:p>
    <w:p>
      <w:pPr>
        <w:snapToGrid w:val="0"/>
        <w:spacing w:line="600" w:lineRule="exact"/>
        <w:ind w:firstLine="640" w:firstLineChars="200"/>
        <w:rPr>
          <w:sz w:val="18"/>
          <w:szCs w:val="18"/>
        </w:rPr>
      </w:pPr>
      <w:r>
        <w:rPr>
          <w:rFonts w:eastAsia="仿宋_GB2312"/>
          <w:color w:val="000000"/>
          <w:kern w:val="0"/>
          <w:sz w:val="32"/>
          <w:szCs w:val="32"/>
        </w:rPr>
        <w:t>3.开展地理信息合规处理定量化评价指标体系研究。</w:t>
      </w:r>
    </w:p>
    <w:p>
      <w:pPr>
        <w:spacing w:line="600" w:lineRule="exact"/>
        <w:ind w:firstLine="642" w:firstLineChars="200"/>
        <w:rPr>
          <w:rFonts w:eastAsia="仿宋_GB2312"/>
          <w:b/>
          <w:bCs/>
          <w:sz w:val="32"/>
          <w:szCs w:val="32"/>
        </w:rPr>
      </w:pPr>
      <w:r>
        <w:rPr>
          <w:rFonts w:eastAsia="仿宋_GB2312"/>
          <w:b/>
          <w:bCs/>
          <w:sz w:val="32"/>
          <w:szCs w:val="32"/>
        </w:rPr>
        <w:t>预期成果：</w:t>
      </w:r>
    </w:p>
    <w:p>
      <w:pPr>
        <w:spacing w:line="600" w:lineRule="exact"/>
        <w:ind w:firstLine="640" w:firstLineChars="200"/>
        <w:rPr>
          <w:rFonts w:eastAsia="仿宋_GB2312"/>
          <w:color w:val="000000"/>
          <w:kern w:val="0"/>
          <w:sz w:val="32"/>
          <w:szCs w:val="32"/>
        </w:rPr>
      </w:pPr>
      <w:r>
        <w:rPr>
          <w:rFonts w:eastAsia="仿宋_GB2312"/>
          <w:color w:val="000000"/>
          <w:kern w:val="0"/>
          <w:sz w:val="32"/>
          <w:szCs w:val="32"/>
        </w:rPr>
        <w:t>1.构建不可逆、精度可控、二三维一体化的合规处理模型，设计并行、高效的合规处理算法；</w:t>
      </w:r>
    </w:p>
    <w:p>
      <w:pPr>
        <w:spacing w:line="600" w:lineRule="exact"/>
        <w:ind w:firstLine="640" w:firstLineChars="200"/>
        <w:rPr>
          <w:rFonts w:eastAsia="仿宋_GB2312"/>
          <w:color w:val="000000"/>
          <w:kern w:val="0"/>
          <w:sz w:val="32"/>
          <w:szCs w:val="32"/>
        </w:rPr>
      </w:pPr>
      <w:r>
        <w:rPr>
          <w:rFonts w:eastAsia="仿宋_GB2312"/>
          <w:color w:val="000000"/>
          <w:kern w:val="0"/>
          <w:sz w:val="32"/>
          <w:szCs w:val="32"/>
        </w:rPr>
        <w:t>2.构建新型地理信息合规性检测方法，推动地理信息合规性检测技术从高度依赖专家知识的人工判别走向智能化检测；</w:t>
      </w:r>
    </w:p>
    <w:p>
      <w:pPr>
        <w:spacing w:line="600" w:lineRule="exact"/>
        <w:ind w:firstLine="640" w:firstLineChars="200"/>
        <w:rPr>
          <w:rFonts w:eastAsia="仿宋_GB2312"/>
          <w:color w:val="000000"/>
          <w:kern w:val="0"/>
          <w:sz w:val="32"/>
          <w:szCs w:val="32"/>
        </w:rPr>
      </w:pPr>
      <w:r>
        <w:rPr>
          <w:rFonts w:eastAsia="仿宋_GB2312"/>
          <w:color w:val="000000"/>
          <w:kern w:val="0"/>
          <w:sz w:val="32"/>
          <w:szCs w:val="32"/>
        </w:rPr>
        <w:t>3.从法律法规、数据安全性、数据可用性等多个维度上，建立科学、权威和完善的地理信息合规处理定量化评价指标体系；</w:t>
      </w:r>
    </w:p>
    <w:p>
      <w:pPr>
        <w:spacing w:line="600" w:lineRule="exact"/>
        <w:ind w:firstLine="640" w:firstLineChars="200"/>
        <w:rPr>
          <w:rFonts w:eastAsia="仿宋_GB2312"/>
          <w:color w:val="000000"/>
          <w:kern w:val="0"/>
          <w:sz w:val="32"/>
          <w:szCs w:val="32"/>
        </w:rPr>
      </w:pPr>
      <w:r>
        <w:rPr>
          <w:rFonts w:eastAsia="仿宋_GB2312"/>
          <w:color w:val="000000"/>
          <w:kern w:val="0"/>
          <w:sz w:val="32"/>
          <w:szCs w:val="32"/>
        </w:rPr>
        <w:t>4.核心期刊发表论文3-5篇，其中：SCI和EI论文不少于2篇；</w:t>
      </w:r>
    </w:p>
    <w:p>
      <w:pPr>
        <w:spacing w:line="600" w:lineRule="exact"/>
        <w:ind w:firstLine="640" w:firstLineChars="200"/>
        <w:rPr>
          <w:rFonts w:eastAsia="仿宋_GB2312"/>
          <w:color w:val="000000"/>
          <w:kern w:val="0"/>
          <w:sz w:val="32"/>
          <w:szCs w:val="32"/>
        </w:rPr>
      </w:pPr>
      <w:r>
        <w:rPr>
          <w:rFonts w:eastAsia="仿宋_GB2312"/>
          <w:color w:val="000000"/>
          <w:kern w:val="0"/>
          <w:sz w:val="32"/>
          <w:szCs w:val="32"/>
        </w:rPr>
        <w:t>5.申请并授权发明专利1-2项；</w:t>
      </w:r>
    </w:p>
    <w:p>
      <w:pPr>
        <w:spacing w:line="600" w:lineRule="exact"/>
        <w:ind w:firstLine="640" w:firstLineChars="200"/>
        <w:rPr>
          <w:rFonts w:eastAsia="仿宋_GB2312"/>
          <w:color w:val="000000"/>
          <w:kern w:val="0"/>
          <w:sz w:val="32"/>
          <w:szCs w:val="32"/>
        </w:rPr>
      </w:pPr>
      <w:r>
        <w:rPr>
          <w:rFonts w:eastAsia="仿宋_GB2312"/>
          <w:color w:val="000000"/>
          <w:kern w:val="0"/>
          <w:sz w:val="32"/>
          <w:szCs w:val="32"/>
        </w:rPr>
        <w:t>6.制作系统软件原型不少于3套；</w:t>
      </w:r>
    </w:p>
    <w:p>
      <w:pPr>
        <w:spacing w:line="600" w:lineRule="exact"/>
        <w:ind w:firstLine="640" w:firstLineChars="200"/>
        <w:rPr>
          <w:rFonts w:eastAsia="仿宋_GB2312"/>
          <w:color w:val="000000"/>
          <w:kern w:val="0"/>
          <w:sz w:val="32"/>
          <w:szCs w:val="32"/>
        </w:rPr>
      </w:pPr>
      <w:r>
        <w:rPr>
          <w:rFonts w:eastAsia="仿宋_GB2312"/>
          <w:color w:val="000000"/>
          <w:kern w:val="0"/>
          <w:sz w:val="32"/>
          <w:szCs w:val="32"/>
        </w:rPr>
        <w:t>7.形成示范应用不少于3项。</w:t>
      </w:r>
    </w:p>
    <w:p>
      <w:pPr>
        <w:snapToGrid w:val="0"/>
        <w:spacing w:line="600" w:lineRule="exact"/>
        <w:ind w:firstLine="642" w:firstLineChars="200"/>
        <w:rPr>
          <w:rFonts w:eastAsia="仿宋_GB2312"/>
          <w:kern w:val="0"/>
          <w:sz w:val="32"/>
        </w:rPr>
      </w:pPr>
      <w:r>
        <w:rPr>
          <w:rFonts w:eastAsia="仿宋_GB2312"/>
          <w:b/>
          <w:bCs/>
          <w:kern w:val="0"/>
          <w:sz w:val="32"/>
        </w:rPr>
        <w:t>实施周期：</w:t>
      </w:r>
      <w:r>
        <w:rPr>
          <w:rFonts w:eastAsia="仿宋_GB2312"/>
          <w:kern w:val="0"/>
          <w:sz w:val="32"/>
        </w:rPr>
        <w:t>不超过两年。</w:t>
      </w:r>
    </w:p>
    <w:p>
      <w:pPr>
        <w:snapToGrid w:val="0"/>
        <w:spacing w:line="600" w:lineRule="exact"/>
        <w:ind w:firstLine="642" w:firstLineChars="200"/>
        <w:rPr>
          <w:sz w:val="18"/>
          <w:szCs w:val="18"/>
        </w:rPr>
      </w:pPr>
      <w:r>
        <w:rPr>
          <w:rFonts w:eastAsia="仿宋_GB2312"/>
          <w:b/>
          <w:bCs/>
          <w:kern w:val="0"/>
          <w:sz w:val="32"/>
        </w:rPr>
        <w:t>补助金额：</w:t>
      </w:r>
      <w:r>
        <w:rPr>
          <w:rFonts w:eastAsia="仿宋_GB2312"/>
          <w:kern w:val="0"/>
          <w:sz w:val="32"/>
        </w:rPr>
        <w:t>不超过100万元。</w:t>
      </w:r>
    </w:p>
    <w:p>
      <w:pPr>
        <w:spacing w:line="600" w:lineRule="exact"/>
        <w:ind w:firstLine="640" w:firstLineChars="200"/>
        <w:rPr>
          <w:rFonts w:eastAsia="楷体_GB2312"/>
          <w:sz w:val="32"/>
          <w:szCs w:val="32"/>
        </w:rPr>
      </w:pPr>
      <w:r>
        <w:rPr>
          <w:rFonts w:eastAsia="楷体_GB2312"/>
          <w:sz w:val="32"/>
          <w:szCs w:val="32"/>
        </w:rPr>
        <w:t>（四）城市公共空间智能测度和动态评估预警关键技术研究</w:t>
      </w:r>
    </w:p>
    <w:p>
      <w:pPr>
        <w:spacing w:line="600" w:lineRule="exact"/>
        <w:ind w:firstLine="642" w:firstLineChars="200"/>
        <w:rPr>
          <w:rFonts w:eastAsia="仿宋_GB2312"/>
          <w:b/>
          <w:bCs/>
          <w:kern w:val="0"/>
          <w:sz w:val="32"/>
        </w:rPr>
      </w:pPr>
      <w:r>
        <w:rPr>
          <w:rFonts w:eastAsia="仿宋_GB2312"/>
          <w:b/>
          <w:bCs/>
          <w:kern w:val="0"/>
          <w:sz w:val="32"/>
        </w:rPr>
        <w:t>关键技术攻关：</w:t>
      </w:r>
    </w:p>
    <w:p>
      <w:pPr>
        <w:spacing w:line="600" w:lineRule="exact"/>
        <w:ind w:firstLine="640" w:firstLineChars="200"/>
        <w:rPr>
          <w:rFonts w:eastAsia="仿宋_GB2312"/>
          <w:color w:val="000000"/>
          <w:kern w:val="0"/>
          <w:sz w:val="32"/>
          <w:szCs w:val="32"/>
        </w:rPr>
      </w:pPr>
      <w:r>
        <w:rPr>
          <w:rFonts w:eastAsia="仿宋_GB2312"/>
          <w:color w:val="000000"/>
          <w:kern w:val="0"/>
          <w:sz w:val="32"/>
          <w:szCs w:val="32"/>
        </w:rPr>
        <w:t>1.开展城市公共空间的空间模式测度技术模型攻关；</w:t>
      </w:r>
    </w:p>
    <w:p>
      <w:pPr>
        <w:spacing w:line="600" w:lineRule="exact"/>
        <w:ind w:firstLine="640" w:firstLineChars="200"/>
        <w:rPr>
          <w:rFonts w:eastAsia="仿宋_GB2312"/>
          <w:color w:val="000000"/>
          <w:kern w:val="0"/>
          <w:sz w:val="32"/>
          <w:szCs w:val="32"/>
        </w:rPr>
      </w:pPr>
      <w:r>
        <w:rPr>
          <w:rFonts w:eastAsia="仿宋_GB2312"/>
          <w:color w:val="000000"/>
          <w:kern w:val="0"/>
          <w:sz w:val="32"/>
          <w:szCs w:val="32"/>
        </w:rPr>
        <w:t>2.开展实时动态分析空间过程与事件活动技术攻关；</w:t>
      </w:r>
    </w:p>
    <w:p>
      <w:pPr>
        <w:spacing w:line="600" w:lineRule="exact"/>
        <w:ind w:firstLine="640" w:firstLineChars="200"/>
        <w:rPr>
          <w:rFonts w:eastAsia="仿宋_GB2312"/>
          <w:color w:val="000000"/>
          <w:kern w:val="0"/>
          <w:sz w:val="32"/>
          <w:szCs w:val="32"/>
        </w:rPr>
      </w:pPr>
      <w:r>
        <w:rPr>
          <w:rFonts w:eastAsia="仿宋_GB2312"/>
          <w:color w:val="000000"/>
          <w:kern w:val="0"/>
          <w:sz w:val="32"/>
          <w:szCs w:val="32"/>
        </w:rPr>
        <w:t>3.开展对城市公共空间品质要素进行动态分析处理和科学评价、推进国土空间测度的智能化自动化技术攻关；</w:t>
      </w:r>
    </w:p>
    <w:p>
      <w:pPr>
        <w:spacing w:line="600" w:lineRule="exact"/>
        <w:ind w:firstLine="640" w:firstLineChars="200"/>
        <w:rPr>
          <w:rFonts w:eastAsia="仿宋_GB2312"/>
          <w:color w:val="000000"/>
          <w:kern w:val="0"/>
          <w:sz w:val="32"/>
          <w:szCs w:val="32"/>
        </w:rPr>
      </w:pPr>
      <w:r>
        <w:rPr>
          <w:rFonts w:eastAsia="仿宋_GB2312"/>
          <w:color w:val="000000"/>
          <w:kern w:val="0"/>
          <w:sz w:val="32"/>
          <w:szCs w:val="32"/>
        </w:rPr>
        <w:t>4.开展城市公共空间的规划实施监督服务和反馈优化技术攻关。</w:t>
      </w:r>
    </w:p>
    <w:p>
      <w:pPr>
        <w:spacing w:line="600" w:lineRule="exact"/>
        <w:ind w:firstLine="642" w:firstLineChars="200"/>
        <w:rPr>
          <w:rFonts w:eastAsia="仿宋_GB2312"/>
          <w:b/>
          <w:bCs/>
          <w:sz w:val="32"/>
          <w:szCs w:val="32"/>
        </w:rPr>
      </w:pPr>
      <w:r>
        <w:rPr>
          <w:rFonts w:eastAsia="仿宋_GB2312"/>
          <w:b/>
          <w:bCs/>
          <w:sz w:val="32"/>
          <w:szCs w:val="32"/>
        </w:rPr>
        <w:t>预期成果：</w:t>
      </w:r>
    </w:p>
    <w:p>
      <w:pPr>
        <w:spacing w:line="600" w:lineRule="exact"/>
        <w:ind w:firstLine="640" w:firstLineChars="200"/>
        <w:rPr>
          <w:rFonts w:eastAsia="仿宋_GB2312"/>
          <w:color w:val="000000"/>
          <w:kern w:val="0"/>
          <w:sz w:val="32"/>
          <w:szCs w:val="32"/>
        </w:rPr>
      </w:pPr>
      <w:r>
        <w:rPr>
          <w:rFonts w:eastAsia="仿宋_GB2312"/>
          <w:color w:val="000000"/>
          <w:kern w:val="0"/>
          <w:sz w:val="32"/>
          <w:szCs w:val="32"/>
        </w:rPr>
        <w:t>1.技术成果：（1）形成一套多维多时态空间模式测度技术方案；（2）设计完成城市公共空间品质与国土空间规划的耦合效应研究技术框架及模型算法；（3）形成一套公共空间潜在风险和使用效能预警技术方案；（4）给出提升公共空间品质的国土空间规划优化技术路径及政策建议；</w:t>
      </w:r>
    </w:p>
    <w:p>
      <w:pPr>
        <w:spacing w:line="600" w:lineRule="exact"/>
        <w:ind w:firstLine="640" w:firstLineChars="200"/>
        <w:rPr>
          <w:rFonts w:eastAsia="仿宋_GB2312"/>
          <w:color w:val="000000"/>
          <w:kern w:val="0"/>
          <w:sz w:val="32"/>
          <w:szCs w:val="32"/>
        </w:rPr>
      </w:pPr>
      <w:r>
        <w:rPr>
          <w:rFonts w:eastAsia="仿宋_GB2312"/>
          <w:color w:val="000000"/>
          <w:kern w:val="0"/>
          <w:sz w:val="32"/>
          <w:szCs w:val="32"/>
        </w:rPr>
        <w:t>2.在核心期刊上发表高水平论文3篇以上，其中SCI论文1-2篇；</w:t>
      </w:r>
    </w:p>
    <w:p>
      <w:pPr>
        <w:spacing w:line="600" w:lineRule="exact"/>
        <w:ind w:firstLine="640" w:firstLineChars="200"/>
        <w:rPr>
          <w:rFonts w:eastAsia="仿宋_GB2312"/>
          <w:color w:val="000000"/>
          <w:kern w:val="0"/>
          <w:sz w:val="32"/>
          <w:szCs w:val="32"/>
        </w:rPr>
      </w:pPr>
      <w:r>
        <w:rPr>
          <w:rFonts w:eastAsia="仿宋_GB2312"/>
          <w:color w:val="000000"/>
          <w:kern w:val="0"/>
          <w:sz w:val="32"/>
          <w:szCs w:val="32"/>
        </w:rPr>
        <w:t>3.申请并授权发明专利2项以上；</w:t>
      </w:r>
    </w:p>
    <w:p>
      <w:pPr>
        <w:spacing w:line="600" w:lineRule="exact"/>
        <w:ind w:firstLine="640" w:firstLineChars="200"/>
        <w:rPr>
          <w:rFonts w:eastAsia="仿宋_GB2312"/>
          <w:color w:val="000000"/>
          <w:kern w:val="0"/>
          <w:sz w:val="32"/>
          <w:szCs w:val="32"/>
        </w:rPr>
      </w:pPr>
      <w:r>
        <w:rPr>
          <w:rFonts w:eastAsia="仿宋_GB2312"/>
          <w:color w:val="000000"/>
          <w:kern w:val="0"/>
          <w:sz w:val="32"/>
          <w:szCs w:val="32"/>
        </w:rPr>
        <w:t>4.形成1个及以上试点应用示范城市。</w:t>
      </w:r>
    </w:p>
    <w:p>
      <w:pPr>
        <w:snapToGrid w:val="0"/>
        <w:spacing w:line="600" w:lineRule="exact"/>
        <w:ind w:firstLine="642" w:firstLineChars="200"/>
        <w:rPr>
          <w:rFonts w:eastAsia="仿宋_GB2312"/>
          <w:kern w:val="0"/>
          <w:sz w:val="32"/>
        </w:rPr>
      </w:pPr>
      <w:r>
        <w:rPr>
          <w:rFonts w:eastAsia="仿宋_GB2312"/>
          <w:b/>
          <w:bCs/>
          <w:kern w:val="0"/>
          <w:sz w:val="32"/>
        </w:rPr>
        <w:t>实施周期：</w:t>
      </w:r>
      <w:r>
        <w:rPr>
          <w:rFonts w:eastAsia="仿宋_GB2312"/>
          <w:kern w:val="0"/>
          <w:sz w:val="32"/>
        </w:rPr>
        <w:t>不超过两年。</w:t>
      </w:r>
    </w:p>
    <w:p>
      <w:pPr>
        <w:snapToGrid w:val="0"/>
        <w:spacing w:line="600" w:lineRule="exact"/>
        <w:ind w:firstLine="642" w:firstLineChars="200"/>
        <w:rPr>
          <w:sz w:val="18"/>
          <w:szCs w:val="18"/>
        </w:rPr>
      </w:pPr>
      <w:r>
        <w:rPr>
          <w:rFonts w:eastAsia="仿宋_GB2312"/>
          <w:b/>
          <w:bCs/>
          <w:kern w:val="0"/>
          <w:sz w:val="32"/>
        </w:rPr>
        <w:t>补助金额：</w:t>
      </w:r>
      <w:r>
        <w:rPr>
          <w:rFonts w:eastAsia="仿宋_GB2312"/>
          <w:kern w:val="0"/>
          <w:sz w:val="32"/>
        </w:rPr>
        <w:t>不超过100万元。</w:t>
      </w:r>
    </w:p>
    <w:bookmarkEnd w:id="0"/>
    <w:p>
      <w:pPr>
        <w:spacing w:line="500" w:lineRule="exact"/>
        <w:ind w:firstLine="105" w:firstLineChars="50"/>
      </w:pPr>
      <w:bookmarkStart w:id="1" w:name="_GoBack"/>
      <w:bookmarkEnd w:id="1"/>
    </w:p>
    <w:sectPr>
      <w:footerReference r:id="rId3" w:type="default"/>
      <w:footerReference r:id="rId4" w:type="even"/>
      <w:pgSz w:w="11906" w:h="16838"/>
      <w:pgMar w:top="1440" w:right="1800" w:bottom="1440" w:left="1800" w:header="851" w:footer="992" w:gutter="0"/>
      <w:cols w:space="708"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Cambria">
    <w:altName w:val="C059"/>
    <w:panose1 w:val="00000000000000000000"/>
    <w:charset w:val="00"/>
    <w:family w:val="roman"/>
    <w:pitch w:val="default"/>
    <w:sig w:usb0="00000000" w:usb1="00000000" w:usb2="00000000" w:usb3="00000000" w:csb0="0000019F" w:csb1="00000000"/>
  </w:font>
  <w:font w:name="C059">
    <w:panose1 w:val="00000500000000000000"/>
    <w:charset w:val="00"/>
    <w:family w:val="auto"/>
    <w:pitch w:val="default"/>
    <w:sig w:usb0="00000287" w:usb1="00000800" w:usb2="00000000" w:usb3="00000000" w:csb0="6000009F"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仿宋_GB2312">
    <w:panose1 w:val="02010609030101010101"/>
    <w:charset w:val="86"/>
    <w:family w:val="modern"/>
    <w:pitch w:val="default"/>
    <w:sig w:usb0="00000001" w:usb1="080E0000" w:usb2="00000000" w:usb3="00000000" w:csb0="00040000" w:csb1="00000000"/>
  </w:font>
  <w:font w:name="Tahoma">
    <w:altName w:val="DejaVu Sans"/>
    <w:panose1 w:val="020B0604030504040204"/>
    <w:charset w:val="00"/>
    <w:family w:val="swiss"/>
    <w:pitch w:val="default"/>
    <w:sig w:usb0="00000000" w:usb1="00000000" w:usb2="00000029" w:usb3="00000000" w:csb0="000101FF" w:csb1="00000000"/>
  </w:font>
  <w:font w:name="Arial Unicode MS">
    <w:altName w:val="Times New Roman"/>
    <w:panose1 w:val="020B0604020202020204"/>
    <w:charset w:val="86"/>
    <w:family w:val="swiss"/>
    <w:pitch w:val="default"/>
    <w:sig w:usb0="00000000" w:usb1="00000000" w:usb2="0000003F" w:usb3="00000000" w:csb0="603F01FF" w:csb1="FFFF0000"/>
  </w:font>
  <w:font w:name="方正北魏楷书简体">
    <w:altName w:val="楷体_GB2312"/>
    <w:panose1 w:val="00000000000000000000"/>
    <w:charset w:val="86"/>
    <w:family w:val="script"/>
    <w:pitch w:val="default"/>
    <w:sig w:usb0="00000000" w:usb1="00000000" w:usb2="00000010" w:usb3="00000000" w:csb0="00040000" w:csb1="00000000"/>
  </w:font>
  <w:font w:name="楷体_GB2312">
    <w:panose1 w:val="02010609030101010101"/>
    <w:charset w:val="86"/>
    <w:family w:val="auto"/>
    <w:pitch w:val="default"/>
    <w:sig w:usb0="00000001" w:usb1="080E0000" w:usb2="00000000" w:usb3="00000000" w:csb0="00040000" w:csb1="00000000"/>
  </w:font>
  <w:font w:name="新宋体">
    <w:altName w:val="方正书宋_GBK"/>
    <w:panose1 w:val="00000000000000000000"/>
    <w:charset w:val="86"/>
    <w:family w:val="modern"/>
    <w:pitch w:val="default"/>
    <w:sig w:usb0="00000000" w:usb1="00000000"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w:fldChar w:fldCharType="begin"/>
    </w:r>
    <w:r>
      <w:instrText xml:space="preserve">PAGE   \* MERGEFORMAT</w:instrText>
    </w:r>
    <w:r>
      <w:fldChar w:fldCharType="separate"/>
    </w:r>
    <w:r>
      <w:rPr>
        <w:lang w:val="zh-CN"/>
      </w:rPr>
      <w:t>28</w:t>
    </w:r>
    <w:r>
      <w:fldChar w:fldCharType="end"/>
    </w:r>
  </w:p>
  <w:p>
    <w:pPr>
      <w:pStyle w:val="2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4"/>
      </w:rPr>
    </w:pPr>
    <w:r>
      <w:fldChar w:fldCharType="begin"/>
    </w:r>
    <w:r>
      <w:rPr>
        <w:rStyle w:val="34"/>
      </w:rPr>
      <w:instrText xml:space="preserve">PAGE  </w:instrText>
    </w:r>
    <w:r>
      <w:fldChar w:fldCharType="separate"/>
    </w:r>
    <w:r>
      <w:rPr>
        <w:rStyle w:val="34"/>
      </w:rPr>
      <w:t>6</w:t>
    </w:r>
    <w:r>
      <w:fldChar w:fldCharType="end"/>
    </w:r>
  </w:p>
  <w:p>
    <w:pPr>
      <w:pStyle w:val="20"/>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093DF5"/>
    <w:multiLevelType w:val="singleLevel"/>
    <w:tmpl w:val="51093DF5"/>
    <w:lvl w:ilvl="0" w:tentative="0">
      <w:start w:val="1"/>
      <w:numFmt w:val="chineseCounting"/>
      <w:suff w:val="nothing"/>
      <w:lvlText w:val="（%1）"/>
      <w:lvlJc w:val="left"/>
      <w:rPr>
        <w:rFonts w:hint="eastAsia"/>
      </w:rPr>
    </w:lvl>
  </w:abstractNum>
  <w:abstractNum w:abstractNumId="1">
    <w:nsid w:val="657D3FBC"/>
    <w:multiLevelType w:val="multilevel"/>
    <w:tmpl w:val="657D3FBC"/>
    <w:lvl w:ilvl="0" w:tentative="0">
      <w:start w:val="1"/>
      <w:numFmt w:val="upperLetter"/>
      <w:pStyle w:val="79"/>
      <w:suff w:val="nothing"/>
      <w:lvlText w:val="附　录　%1"/>
      <w:lvlJc w:val="left"/>
      <w:pPr>
        <w:ind w:left="0" w:firstLine="0"/>
      </w:pPr>
      <w:rPr>
        <w:rFonts w:hint="eastAsia" w:ascii="黑体" w:hAnsi="Times New Roman" w:eastAsia="黑体"/>
        <w:b w:val="0"/>
        <w:i w:val="0"/>
        <w:sz w:val="21"/>
      </w:rPr>
    </w:lvl>
    <w:lvl w:ilvl="1" w:tentative="0">
      <w:start w:val="1"/>
      <w:numFmt w:val="decimal"/>
      <w:pStyle w:val="80"/>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81"/>
      <w:suff w:val="nothing"/>
      <w:lvlText w:val="%1.%2.%3　"/>
      <w:lvlJc w:val="left"/>
      <w:pPr>
        <w:ind w:left="0" w:firstLine="0"/>
      </w:pPr>
      <w:rPr>
        <w:rFonts w:hint="eastAsia" w:ascii="黑体" w:hAnsi="Times New Roman" w:eastAsia="黑体"/>
        <w:b w:val="0"/>
        <w:i w:val="0"/>
        <w:sz w:val="21"/>
      </w:rPr>
    </w:lvl>
    <w:lvl w:ilvl="3" w:tentative="0">
      <w:start w:val="1"/>
      <w:numFmt w:val="decimal"/>
      <w:pStyle w:val="91"/>
      <w:suff w:val="nothing"/>
      <w:lvlText w:val="%1.%2.%3.%4　"/>
      <w:lvlJc w:val="left"/>
      <w:pPr>
        <w:ind w:left="0" w:firstLine="0"/>
      </w:pPr>
      <w:rPr>
        <w:rFonts w:hint="eastAsia" w:ascii="黑体" w:hAnsi="Times New Roman" w:eastAsia="黑体"/>
        <w:b w:val="0"/>
        <w:i w:val="0"/>
        <w:sz w:val="21"/>
      </w:rPr>
    </w:lvl>
    <w:lvl w:ilvl="4" w:tentative="0">
      <w:start w:val="1"/>
      <w:numFmt w:val="decimal"/>
      <w:pStyle w:val="82"/>
      <w:suff w:val="nothing"/>
      <w:lvlText w:val="%1.%2.%3.%4.%5　"/>
      <w:lvlJc w:val="left"/>
      <w:pPr>
        <w:ind w:left="0" w:firstLine="0"/>
      </w:pPr>
      <w:rPr>
        <w:rFonts w:hint="eastAsia" w:ascii="黑体" w:hAnsi="Times New Roman" w:eastAsia="黑体"/>
        <w:b w:val="0"/>
        <w:i w:val="0"/>
        <w:sz w:val="21"/>
      </w:rPr>
    </w:lvl>
    <w:lvl w:ilvl="5" w:tentative="0">
      <w:start w:val="1"/>
      <w:numFmt w:val="decimal"/>
      <w:pStyle w:val="83"/>
      <w:suff w:val="nothing"/>
      <w:lvlText w:val="%1.%2.%3.%4.%5.%6　"/>
      <w:lvlJc w:val="left"/>
      <w:pPr>
        <w:ind w:left="0" w:firstLine="0"/>
      </w:pPr>
      <w:rPr>
        <w:rFonts w:hint="eastAsia" w:ascii="黑体" w:hAnsi="Times New Roman" w:eastAsia="黑体"/>
        <w:b w:val="0"/>
        <w:i w:val="0"/>
        <w:sz w:val="21"/>
      </w:rPr>
    </w:lvl>
    <w:lvl w:ilvl="6" w:tentative="0">
      <w:start w:val="1"/>
      <w:numFmt w:val="decimal"/>
      <w:pStyle w:val="94"/>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hZjFlZTVjMmRmYmIxMTBlOGE3ODllYjJiYjQ4NjAifQ=="/>
    <w:docVar w:name="KGWebUrl" w:val="http://59.231.219.12:28701/api/file/download?fileLinkId=925436070710186327&amp;storeId=doc"/>
  </w:docVars>
  <w:rsids>
    <w:rsidRoot w:val="00522224"/>
    <w:rsid w:val="0000041C"/>
    <w:rsid w:val="00001FA6"/>
    <w:rsid w:val="00003CE3"/>
    <w:rsid w:val="000048A8"/>
    <w:rsid w:val="000075F7"/>
    <w:rsid w:val="0001064E"/>
    <w:rsid w:val="00011409"/>
    <w:rsid w:val="00012823"/>
    <w:rsid w:val="00025402"/>
    <w:rsid w:val="00026135"/>
    <w:rsid w:val="00033E50"/>
    <w:rsid w:val="000358CF"/>
    <w:rsid w:val="00036AE9"/>
    <w:rsid w:val="000379B9"/>
    <w:rsid w:val="000429AE"/>
    <w:rsid w:val="00043DFC"/>
    <w:rsid w:val="00044BF1"/>
    <w:rsid w:val="00046A62"/>
    <w:rsid w:val="000524C7"/>
    <w:rsid w:val="000542AD"/>
    <w:rsid w:val="00055FAC"/>
    <w:rsid w:val="00057EE3"/>
    <w:rsid w:val="00060D80"/>
    <w:rsid w:val="00064EAE"/>
    <w:rsid w:val="000854C1"/>
    <w:rsid w:val="00087FF1"/>
    <w:rsid w:val="000931D6"/>
    <w:rsid w:val="0009530F"/>
    <w:rsid w:val="00095E1D"/>
    <w:rsid w:val="000A12C7"/>
    <w:rsid w:val="000A140C"/>
    <w:rsid w:val="000A481C"/>
    <w:rsid w:val="000B3457"/>
    <w:rsid w:val="000B77C5"/>
    <w:rsid w:val="000B7EE4"/>
    <w:rsid w:val="000C311B"/>
    <w:rsid w:val="000C7687"/>
    <w:rsid w:val="000D30B5"/>
    <w:rsid w:val="000D3E22"/>
    <w:rsid w:val="000D453C"/>
    <w:rsid w:val="000E428F"/>
    <w:rsid w:val="000E4C57"/>
    <w:rsid w:val="000F31DE"/>
    <w:rsid w:val="000F33AC"/>
    <w:rsid w:val="000F69FA"/>
    <w:rsid w:val="00100F0C"/>
    <w:rsid w:val="00101FC1"/>
    <w:rsid w:val="00103E30"/>
    <w:rsid w:val="00107F72"/>
    <w:rsid w:val="001108F7"/>
    <w:rsid w:val="001145D0"/>
    <w:rsid w:val="00114CC2"/>
    <w:rsid w:val="001208C5"/>
    <w:rsid w:val="00120F29"/>
    <w:rsid w:val="001213D2"/>
    <w:rsid w:val="00122AEB"/>
    <w:rsid w:val="001237CA"/>
    <w:rsid w:val="0012486E"/>
    <w:rsid w:val="00126427"/>
    <w:rsid w:val="00127892"/>
    <w:rsid w:val="00132336"/>
    <w:rsid w:val="00136723"/>
    <w:rsid w:val="001400FA"/>
    <w:rsid w:val="00141FFC"/>
    <w:rsid w:val="00142350"/>
    <w:rsid w:val="00146128"/>
    <w:rsid w:val="00150429"/>
    <w:rsid w:val="001539DB"/>
    <w:rsid w:val="001564CD"/>
    <w:rsid w:val="001567BB"/>
    <w:rsid w:val="0015718E"/>
    <w:rsid w:val="0015719C"/>
    <w:rsid w:val="00164A16"/>
    <w:rsid w:val="00165780"/>
    <w:rsid w:val="0016777B"/>
    <w:rsid w:val="0017392E"/>
    <w:rsid w:val="001777B6"/>
    <w:rsid w:val="00180F37"/>
    <w:rsid w:val="00181CF6"/>
    <w:rsid w:val="00186432"/>
    <w:rsid w:val="0018798D"/>
    <w:rsid w:val="00190E63"/>
    <w:rsid w:val="00191C2E"/>
    <w:rsid w:val="00192BE4"/>
    <w:rsid w:val="001936FC"/>
    <w:rsid w:val="00195587"/>
    <w:rsid w:val="001A0681"/>
    <w:rsid w:val="001A11D9"/>
    <w:rsid w:val="001A18EE"/>
    <w:rsid w:val="001A25F9"/>
    <w:rsid w:val="001A75D6"/>
    <w:rsid w:val="001A7C51"/>
    <w:rsid w:val="001B0524"/>
    <w:rsid w:val="001B1B11"/>
    <w:rsid w:val="001B2203"/>
    <w:rsid w:val="001B770C"/>
    <w:rsid w:val="001C2688"/>
    <w:rsid w:val="001C2A46"/>
    <w:rsid w:val="001C5511"/>
    <w:rsid w:val="001D10BF"/>
    <w:rsid w:val="001D1999"/>
    <w:rsid w:val="001D258F"/>
    <w:rsid w:val="001D2DF0"/>
    <w:rsid w:val="001D3261"/>
    <w:rsid w:val="001D4615"/>
    <w:rsid w:val="001D7BED"/>
    <w:rsid w:val="001E0661"/>
    <w:rsid w:val="001E3178"/>
    <w:rsid w:val="001F29E5"/>
    <w:rsid w:val="001F2EF9"/>
    <w:rsid w:val="00203909"/>
    <w:rsid w:val="00205F0C"/>
    <w:rsid w:val="0021213F"/>
    <w:rsid w:val="00214C89"/>
    <w:rsid w:val="002215BA"/>
    <w:rsid w:val="002262DD"/>
    <w:rsid w:val="00226E3E"/>
    <w:rsid w:val="00232E32"/>
    <w:rsid w:val="0023666D"/>
    <w:rsid w:val="00241F0E"/>
    <w:rsid w:val="002461D5"/>
    <w:rsid w:val="00246708"/>
    <w:rsid w:val="00250770"/>
    <w:rsid w:val="00251D2F"/>
    <w:rsid w:val="002529D2"/>
    <w:rsid w:val="00252C13"/>
    <w:rsid w:val="00256154"/>
    <w:rsid w:val="0026546E"/>
    <w:rsid w:val="00266975"/>
    <w:rsid w:val="00267021"/>
    <w:rsid w:val="002721B8"/>
    <w:rsid w:val="0027248D"/>
    <w:rsid w:val="00283C46"/>
    <w:rsid w:val="00286255"/>
    <w:rsid w:val="0029219E"/>
    <w:rsid w:val="00296A10"/>
    <w:rsid w:val="00296EDB"/>
    <w:rsid w:val="00297155"/>
    <w:rsid w:val="002A0A7D"/>
    <w:rsid w:val="002A5EA6"/>
    <w:rsid w:val="002B088C"/>
    <w:rsid w:val="002B13DF"/>
    <w:rsid w:val="002B55B7"/>
    <w:rsid w:val="002B63C1"/>
    <w:rsid w:val="002B7668"/>
    <w:rsid w:val="002C1A9D"/>
    <w:rsid w:val="002C49E9"/>
    <w:rsid w:val="002C5023"/>
    <w:rsid w:val="002C52B9"/>
    <w:rsid w:val="002C548E"/>
    <w:rsid w:val="002C774E"/>
    <w:rsid w:val="002D2BEA"/>
    <w:rsid w:val="002D2EEC"/>
    <w:rsid w:val="002E1561"/>
    <w:rsid w:val="002E2219"/>
    <w:rsid w:val="002E22E0"/>
    <w:rsid w:val="002E4CF7"/>
    <w:rsid w:val="002E63D0"/>
    <w:rsid w:val="002E6E53"/>
    <w:rsid w:val="002E714D"/>
    <w:rsid w:val="002F0318"/>
    <w:rsid w:val="002F46BA"/>
    <w:rsid w:val="002F498A"/>
    <w:rsid w:val="002F74EE"/>
    <w:rsid w:val="00301D89"/>
    <w:rsid w:val="0030245B"/>
    <w:rsid w:val="0030703F"/>
    <w:rsid w:val="003076C3"/>
    <w:rsid w:val="003108D7"/>
    <w:rsid w:val="00315E0C"/>
    <w:rsid w:val="0031784F"/>
    <w:rsid w:val="00322C8A"/>
    <w:rsid w:val="00322E19"/>
    <w:rsid w:val="003260A2"/>
    <w:rsid w:val="00326ECE"/>
    <w:rsid w:val="00326FB6"/>
    <w:rsid w:val="003276EE"/>
    <w:rsid w:val="003306EE"/>
    <w:rsid w:val="00333975"/>
    <w:rsid w:val="00340905"/>
    <w:rsid w:val="00342CB7"/>
    <w:rsid w:val="0035074E"/>
    <w:rsid w:val="00353E94"/>
    <w:rsid w:val="00354613"/>
    <w:rsid w:val="00361B9A"/>
    <w:rsid w:val="003674BB"/>
    <w:rsid w:val="003705E4"/>
    <w:rsid w:val="00373EB4"/>
    <w:rsid w:val="00375178"/>
    <w:rsid w:val="00377379"/>
    <w:rsid w:val="0038182B"/>
    <w:rsid w:val="0039034C"/>
    <w:rsid w:val="00390FE5"/>
    <w:rsid w:val="00393B42"/>
    <w:rsid w:val="003954A8"/>
    <w:rsid w:val="00396560"/>
    <w:rsid w:val="00397914"/>
    <w:rsid w:val="003A1573"/>
    <w:rsid w:val="003A28AC"/>
    <w:rsid w:val="003A463D"/>
    <w:rsid w:val="003A51F0"/>
    <w:rsid w:val="003A581B"/>
    <w:rsid w:val="003B078D"/>
    <w:rsid w:val="003B123E"/>
    <w:rsid w:val="003C06C2"/>
    <w:rsid w:val="003C0F1D"/>
    <w:rsid w:val="003D0754"/>
    <w:rsid w:val="003D3317"/>
    <w:rsid w:val="003D5C71"/>
    <w:rsid w:val="003D6484"/>
    <w:rsid w:val="003D76B2"/>
    <w:rsid w:val="003D7AE8"/>
    <w:rsid w:val="003E1DA4"/>
    <w:rsid w:val="003E6B3F"/>
    <w:rsid w:val="003F642A"/>
    <w:rsid w:val="003F68AD"/>
    <w:rsid w:val="003F746C"/>
    <w:rsid w:val="004011C2"/>
    <w:rsid w:val="00401B19"/>
    <w:rsid w:val="00402BCE"/>
    <w:rsid w:val="00411D35"/>
    <w:rsid w:val="00411D62"/>
    <w:rsid w:val="0042088E"/>
    <w:rsid w:val="0042229F"/>
    <w:rsid w:val="0042620E"/>
    <w:rsid w:val="00426435"/>
    <w:rsid w:val="00427B41"/>
    <w:rsid w:val="00430D90"/>
    <w:rsid w:val="00431F12"/>
    <w:rsid w:val="004415D4"/>
    <w:rsid w:val="0044268A"/>
    <w:rsid w:val="00442E77"/>
    <w:rsid w:val="00444D31"/>
    <w:rsid w:val="00447153"/>
    <w:rsid w:val="0045366E"/>
    <w:rsid w:val="00457052"/>
    <w:rsid w:val="00457402"/>
    <w:rsid w:val="00470EBA"/>
    <w:rsid w:val="004710A5"/>
    <w:rsid w:val="00472D7D"/>
    <w:rsid w:val="00477EC6"/>
    <w:rsid w:val="00480EE6"/>
    <w:rsid w:val="0048128A"/>
    <w:rsid w:val="004825D5"/>
    <w:rsid w:val="004844D4"/>
    <w:rsid w:val="004878E2"/>
    <w:rsid w:val="00487916"/>
    <w:rsid w:val="00493670"/>
    <w:rsid w:val="004955DF"/>
    <w:rsid w:val="0049574C"/>
    <w:rsid w:val="004A17AF"/>
    <w:rsid w:val="004A4D65"/>
    <w:rsid w:val="004A64AE"/>
    <w:rsid w:val="004B1C94"/>
    <w:rsid w:val="004B3B32"/>
    <w:rsid w:val="004B4828"/>
    <w:rsid w:val="004B7D14"/>
    <w:rsid w:val="004C1BBE"/>
    <w:rsid w:val="004D1807"/>
    <w:rsid w:val="004D5795"/>
    <w:rsid w:val="004D78CC"/>
    <w:rsid w:val="004D798B"/>
    <w:rsid w:val="004E227A"/>
    <w:rsid w:val="004E2D4E"/>
    <w:rsid w:val="004F2072"/>
    <w:rsid w:val="004F55CF"/>
    <w:rsid w:val="004F7D7C"/>
    <w:rsid w:val="00501899"/>
    <w:rsid w:val="00502FA1"/>
    <w:rsid w:val="00503DFA"/>
    <w:rsid w:val="00503E03"/>
    <w:rsid w:val="00505592"/>
    <w:rsid w:val="0051176E"/>
    <w:rsid w:val="00512039"/>
    <w:rsid w:val="00512451"/>
    <w:rsid w:val="00514AB3"/>
    <w:rsid w:val="00515BC0"/>
    <w:rsid w:val="00517031"/>
    <w:rsid w:val="00517E76"/>
    <w:rsid w:val="00521700"/>
    <w:rsid w:val="00522224"/>
    <w:rsid w:val="005345DF"/>
    <w:rsid w:val="00537EAD"/>
    <w:rsid w:val="005414F0"/>
    <w:rsid w:val="00541D98"/>
    <w:rsid w:val="005430B2"/>
    <w:rsid w:val="00543E29"/>
    <w:rsid w:val="00547E7C"/>
    <w:rsid w:val="00552A58"/>
    <w:rsid w:val="00553682"/>
    <w:rsid w:val="00555BAE"/>
    <w:rsid w:val="005642AA"/>
    <w:rsid w:val="00571149"/>
    <w:rsid w:val="00573480"/>
    <w:rsid w:val="005742E4"/>
    <w:rsid w:val="00574629"/>
    <w:rsid w:val="005759BC"/>
    <w:rsid w:val="00576614"/>
    <w:rsid w:val="005774F1"/>
    <w:rsid w:val="0057793F"/>
    <w:rsid w:val="00587F9A"/>
    <w:rsid w:val="0059291A"/>
    <w:rsid w:val="00595D39"/>
    <w:rsid w:val="005974B6"/>
    <w:rsid w:val="00597D74"/>
    <w:rsid w:val="005A1137"/>
    <w:rsid w:val="005A431B"/>
    <w:rsid w:val="005A561B"/>
    <w:rsid w:val="005B07E4"/>
    <w:rsid w:val="005B2E92"/>
    <w:rsid w:val="005B5A8F"/>
    <w:rsid w:val="005B7860"/>
    <w:rsid w:val="005C05ED"/>
    <w:rsid w:val="005C097E"/>
    <w:rsid w:val="005C248B"/>
    <w:rsid w:val="005C55EC"/>
    <w:rsid w:val="005D16CF"/>
    <w:rsid w:val="005D2B7A"/>
    <w:rsid w:val="005D5D1B"/>
    <w:rsid w:val="005D646F"/>
    <w:rsid w:val="005E09FE"/>
    <w:rsid w:val="005E2021"/>
    <w:rsid w:val="005E4C90"/>
    <w:rsid w:val="005E5EF3"/>
    <w:rsid w:val="005E692F"/>
    <w:rsid w:val="005F151A"/>
    <w:rsid w:val="005F694E"/>
    <w:rsid w:val="0060211E"/>
    <w:rsid w:val="00603558"/>
    <w:rsid w:val="0060449D"/>
    <w:rsid w:val="00604AFE"/>
    <w:rsid w:val="00604B28"/>
    <w:rsid w:val="0060526A"/>
    <w:rsid w:val="00605977"/>
    <w:rsid w:val="006112B4"/>
    <w:rsid w:val="00612474"/>
    <w:rsid w:val="00612D81"/>
    <w:rsid w:val="006152DA"/>
    <w:rsid w:val="006179C3"/>
    <w:rsid w:val="0062722F"/>
    <w:rsid w:val="00627C05"/>
    <w:rsid w:val="006306DD"/>
    <w:rsid w:val="00633EB3"/>
    <w:rsid w:val="00635649"/>
    <w:rsid w:val="00641F4B"/>
    <w:rsid w:val="006423D6"/>
    <w:rsid w:val="006423E9"/>
    <w:rsid w:val="00644E4D"/>
    <w:rsid w:val="0064611C"/>
    <w:rsid w:val="00646AAB"/>
    <w:rsid w:val="00657227"/>
    <w:rsid w:val="006576A7"/>
    <w:rsid w:val="00664B80"/>
    <w:rsid w:val="006667D9"/>
    <w:rsid w:val="00672B09"/>
    <w:rsid w:val="00673396"/>
    <w:rsid w:val="00680A8C"/>
    <w:rsid w:val="00681173"/>
    <w:rsid w:val="00681843"/>
    <w:rsid w:val="006831C4"/>
    <w:rsid w:val="00684653"/>
    <w:rsid w:val="006A217E"/>
    <w:rsid w:val="006A63E4"/>
    <w:rsid w:val="006A7583"/>
    <w:rsid w:val="006B13CD"/>
    <w:rsid w:val="006B369B"/>
    <w:rsid w:val="006B38A4"/>
    <w:rsid w:val="006B58E1"/>
    <w:rsid w:val="006C22B0"/>
    <w:rsid w:val="006C271E"/>
    <w:rsid w:val="006C2F5A"/>
    <w:rsid w:val="006C71FC"/>
    <w:rsid w:val="006D3D71"/>
    <w:rsid w:val="006D63D1"/>
    <w:rsid w:val="006D7961"/>
    <w:rsid w:val="006E09EC"/>
    <w:rsid w:val="006E43A1"/>
    <w:rsid w:val="006E5116"/>
    <w:rsid w:val="006F1DA8"/>
    <w:rsid w:val="006F5662"/>
    <w:rsid w:val="006F67E8"/>
    <w:rsid w:val="006F76CA"/>
    <w:rsid w:val="007000D9"/>
    <w:rsid w:val="007002C3"/>
    <w:rsid w:val="00700580"/>
    <w:rsid w:val="007038A4"/>
    <w:rsid w:val="00706B90"/>
    <w:rsid w:val="00707C71"/>
    <w:rsid w:val="00707FE0"/>
    <w:rsid w:val="00711272"/>
    <w:rsid w:val="00712D7C"/>
    <w:rsid w:val="007157BC"/>
    <w:rsid w:val="00716B27"/>
    <w:rsid w:val="00723355"/>
    <w:rsid w:val="00737101"/>
    <w:rsid w:val="00742CA2"/>
    <w:rsid w:val="007434FD"/>
    <w:rsid w:val="00745480"/>
    <w:rsid w:val="007471A5"/>
    <w:rsid w:val="0075008E"/>
    <w:rsid w:val="0075030D"/>
    <w:rsid w:val="0075131C"/>
    <w:rsid w:val="007516A6"/>
    <w:rsid w:val="00752963"/>
    <w:rsid w:val="00755A97"/>
    <w:rsid w:val="00755AA8"/>
    <w:rsid w:val="00755E94"/>
    <w:rsid w:val="007563D4"/>
    <w:rsid w:val="00760D92"/>
    <w:rsid w:val="0076350F"/>
    <w:rsid w:val="00767287"/>
    <w:rsid w:val="00770349"/>
    <w:rsid w:val="00772ABE"/>
    <w:rsid w:val="0078186A"/>
    <w:rsid w:val="00783F94"/>
    <w:rsid w:val="0078418D"/>
    <w:rsid w:val="007851E2"/>
    <w:rsid w:val="00790990"/>
    <w:rsid w:val="00796C38"/>
    <w:rsid w:val="007A4B2A"/>
    <w:rsid w:val="007A67B8"/>
    <w:rsid w:val="007A6890"/>
    <w:rsid w:val="007B5B98"/>
    <w:rsid w:val="007B65D5"/>
    <w:rsid w:val="007B76B2"/>
    <w:rsid w:val="007C1488"/>
    <w:rsid w:val="007C3847"/>
    <w:rsid w:val="007C3EE4"/>
    <w:rsid w:val="007C5156"/>
    <w:rsid w:val="007C7FDC"/>
    <w:rsid w:val="007D563D"/>
    <w:rsid w:val="007E14EC"/>
    <w:rsid w:val="007E4C55"/>
    <w:rsid w:val="007F45BF"/>
    <w:rsid w:val="007F4B3E"/>
    <w:rsid w:val="007F67AE"/>
    <w:rsid w:val="00801197"/>
    <w:rsid w:val="00803AD9"/>
    <w:rsid w:val="00805FB0"/>
    <w:rsid w:val="00807CBB"/>
    <w:rsid w:val="00810B61"/>
    <w:rsid w:val="00814FE8"/>
    <w:rsid w:val="00820B93"/>
    <w:rsid w:val="0082117C"/>
    <w:rsid w:val="00821769"/>
    <w:rsid w:val="008222F0"/>
    <w:rsid w:val="00822FBC"/>
    <w:rsid w:val="00830AA5"/>
    <w:rsid w:val="00833DC0"/>
    <w:rsid w:val="00837462"/>
    <w:rsid w:val="008439B5"/>
    <w:rsid w:val="0084710D"/>
    <w:rsid w:val="00847A6C"/>
    <w:rsid w:val="008549AD"/>
    <w:rsid w:val="008637A1"/>
    <w:rsid w:val="00865A4D"/>
    <w:rsid w:val="0087496C"/>
    <w:rsid w:val="00874A95"/>
    <w:rsid w:val="00880316"/>
    <w:rsid w:val="008804C7"/>
    <w:rsid w:val="0088067C"/>
    <w:rsid w:val="0088201A"/>
    <w:rsid w:val="00882A40"/>
    <w:rsid w:val="00885558"/>
    <w:rsid w:val="00887556"/>
    <w:rsid w:val="00887808"/>
    <w:rsid w:val="00890792"/>
    <w:rsid w:val="008A2FFC"/>
    <w:rsid w:val="008A34C6"/>
    <w:rsid w:val="008A7CF8"/>
    <w:rsid w:val="008B1B04"/>
    <w:rsid w:val="008B1BD3"/>
    <w:rsid w:val="008B1F60"/>
    <w:rsid w:val="008B5D0D"/>
    <w:rsid w:val="008C10CB"/>
    <w:rsid w:val="008C145F"/>
    <w:rsid w:val="008C390A"/>
    <w:rsid w:val="008D2C32"/>
    <w:rsid w:val="008D2F36"/>
    <w:rsid w:val="008D6918"/>
    <w:rsid w:val="008E0FB8"/>
    <w:rsid w:val="008E34AD"/>
    <w:rsid w:val="008F1EF1"/>
    <w:rsid w:val="008F2CBD"/>
    <w:rsid w:val="008F315B"/>
    <w:rsid w:val="00901FEB"/>
    <w:rsid w:val="0090265D"/>
    <w:rsid w:val="00930E62"/>
    <w:rsid w:val="00933382"/>
    <w:rsid w:val="0093422A"/>
    <w:rsid w:val="00934D91"/>
    <w:rsid w:val="009351AC"/>
    <w:rsid w:val="00935C25"/>
    <w:rsid w:val="00936693"/>
    <w:rsid w:val="0094220B"/>
    <w:rsid w:val="00942698"/>
    <w:rsid w:val="00945652"/>
    <w:rsid w:val="009469C0"/>
    <w:rsid w:val="00953962"/>
    <w:rsid w:val="00955F3E"/>
    <w:rsid w:val="009571B5"/>
    <w:rsid w:val="009607C5"/>
    <w:rsid w:val="00961AF1"/>
    <w:rsid w:val="00962D52"/>
    <w:rsid w:val="009631D2"/>
    <w:rsid w:val="0096393E"/>
    <w:rsid w:val="00964407"/>
    <w:rsid w:val="00964C4E"/>
    <w:rsid w:val="0096684A"/>
    <w:rsid w:val="00970EF1"/>
    <w:rsid w:val="009714CA"/>
    <w:rsid w:val="0097206B"/>
    <w:rsid w:val="00983F92"/>
    <w:rsid w:val="00985D14"/>
    <w:rsid w:val="0098724B"/>
    <w:rsid w:val="009874AF"/>
    <w:rsid w:val="00987E5E"/>
    <w:rsid w:val="00991F3A"/>
    <w:rsid w:val="00993235"/>
    <w:rsid w:val="009937FA"/>
    <w:rsid w:val="009941A6"/>
    <w:rsid w:val="0099441D"/>
    <w:rsid w:val="00995A30"/>
    <w:rsid w:val="0099794D"/>
    <w:rsid w:val="009A06D3"/>
    <w:rsid w:val="009B47C7"/>
    <w:rsid w:val="009B4C00"/>
    <w:rsid w:val="009C4B3E"/>
    <w:rsid w:val="009C705A"/>
    <w:rsid w:val="009D072D"/>
    <w:rsid w:val="009D1756"/>
    <w:rsid w:val="009D2B3C"/>
    <w:rsid w:val="009D70A9"/>
    <w:rsid w:val="009E15C8"/>
    <w:rsid w:val="009E736C"/>
    <w:rsid w:val="009F5BFA"/>
    <w:rsid w:val="009F6052"/>
    <w:rsid w:val="009F7C70"/>
    <w:rsid w:val="00A0039E"/>
    <w:rsid w:val="00A04918"/>
    <w:rsid w:val="00A153B2"/>
    <w:rsid w:val="00A17778"/>
    <w:rsid w:val="00A27243"/>
    <w:rsid w:val="00A3058F"/>
    <w:rsid w:val="00A3139D"/>
    <w:rsid w:val="00A32BCE"/>
    <w:rsid w:val="00A32E71"/>
    <w:rsid w:val="00A3447A"/>
    <w:rsid w:val="00A34A83"/>
    <w:rsid w:val="00A362A9"/>
    <w:rsid w:val="00A36D05"/>
    <w:rsid w:val="00A429C8"/>
    <w:rsid w:val="00A447B1"/>
    <w:rsid w:val="00A50F66"/>
    <w:rsid w:val="00A539ED"/>
    <w:rsid w:val="00A54FA7"/>
    <w:rsid w:val="00A64484"/>
    <w:rsid w:val="00A651E8"/>
    <w:rsid w:val="00A65DAF"/>
    <w:rsid w:val="00A66673"/>
    <w:rsid w:val="00A66EB5"/>
    <w:rsid w:val="00A67F2E"/>
    <w:rsid w:val="00A74D93"/>
    <w:rsid w:val="00A76AF9"/>
    <w:rsid w:val="00A810B9"/>
    <w:rsid w:val="00A822ED"/>
    <w:rsid w:val="00A82320"/>
    <w:rsid w:val="00A867E9"/>
    <w:rsid w:val="00A91DC4"/>
    <w:rsid w:val="00A93E39"/>
    <w:rsid w:val="00AA200C"/>
    <w:rsid w:val="00AA244A"/>
    <w:rsid w:val="00AA275F"/>
    <w:rsid w:val="00AA40D7"/>
    <w:rsid w:val="00AA574C"/>
    <w:rsid w:val="00AA6B7B"/>
    <w:rsid w:val="00AB1D4B"/>
    <w:rsid w:val="00AB1FB5"/>
    <w:rsid w:val="00AB642C"/>
    <w:rsid w:val="00AC3D28"/>
    <w:rsid w:val="00AC4C35"/>
    <w:rsid w:val="00AC569E"/>
    <w:rsid w:val="00AD1550"/>
    <w:rsid w:val="00AD5895"/>
    <w:rsid w:val="00AD7311"/>
    <w:rsid w:val="00AD77B5"/>
    <w:rsid w:val="00AE1ABD"/>
    <w:rsid w:val="00AE1E93"/>
    <w:rsid w:val="00AE6308"/>
    <w:rsid w:val="00AE6393"/>
    <w:rsid w:val="00AF2551"/>
    <w:rsid w:val="00AF2A61"/>
    <w:rsid w:val="00AF614B"/>
    <w:rsid w:val="00AF6B7D"/>
    <w:rsid w:val="00AF702A"/>
    <w:rsid w:val="00B0141F"/>
    <w:rsid w:val="00B05685"/>
    <w:rsid w:val="00B05C87"/>
    <w:rsid w:val="00B113EB"/>
    <w:rsid w:val="00B12B72"/>
    <w:rsid w:val="00B13227"/>
    <w:rsid w:val="00B15E35"/>
    <w:rsid w:val="00B17FF6"/>
    <w:rsid w:val="00B20B3B"/>
    <w:rsid w:val="00B222BF"/>
    <w:rsid w:val="00B24062"/>
    <w:rsid w:val="00B24CA5"/>
    <w:rsid w:val="00B3355D"/>
    <w:rsid w:val="00B338A1"/>
    <w:rsid w:val="00B45C55"/>
    <w:rsid w:val="00B46E64"/>
    <w:rsid w:val="00B51F6A"/>
    <w:rsid w:val="00B52081"/>
    <w:rsid w:val="00B54766"/>
    <w:rsid w:val="00B57619"/>
    <w:rsid w:val="00B610CB"/>
    <w:rsid w:val="00B6172A"/>
    <w:rsid w:val="00B62310"/>
    <w:rsid w:val="00B6312A"/>
    <w:rsid w:val="00B67B79"/>
    <w:rsid w:val="00B67EC0"/>
    <w:rsid w:val="00B70AE7"/>
    <w:rsid w:val="00B71836"/>
    <w:rsid w:val="00B72321"/>
    <w:rsid w:val="00B77125"/>
    <w:rsid w:val="00B81B7A"/>
    <w:rsid w:val="00B87276"/>
    <w:rsid w:val="00B87B9A"/>
    <w:rsid w:val="00B9074B"/>
    <w:rsid w:val="00B91165"/>
    <w:rsid w:val="00B93816"/>
    <w:rsid w:val="00B95632"/>
    <w:rsid w:val="00B95650"/>
    <w:rsid w:val="00BA1840"/>
    <w:rsid w:val="00BA45DC"/>
    <w:rsid w:val="00BA7DF1"/>
    <w:rsid w:val="00BB67C1"/>
    <w:rsid w:val="00BB7697"/>
    <w:rsid w:val="00BC1CFD"/>
    <w:rsid w:val="00BC2196"/>
    <w:rsid w:val="00BC2B17"/>
    <w:rsid w:val="00BC3EE1"/>
    <w:rsid w:val="00BC5F4D"/>
    <w:rsid w:val="00BC7409"/>
    <w:rsid w:val="00BD0D33"/>
    <w:rsid w:val="00BD29CF"/>
    <w:rsid w:val="00BD3BDF"/>
    <w:rsid w:val="00BD5591"/>
    <w:rsid w:val="00BD6557"/>
    <w:rsid w:val="00BE074A"/>
    <w:rsid w:val="00BE2B97"/>
    <w:rsid w:val="00BE391B"/>
    <w:rsid w:val="00BE6835"/>
    <w:rsid w:val="00BF0C7E"/>
    <w:rsid w:val="00BF3799"/>
    <w:rsid w:val="00C0004E"/>
    <w:rsid w:val="00C0171E"/>
    <w:rsid w:val="00C053CA"/>
    <w:rsid w:val="00C128E9"/>
    <w:rsid w:val="00C1302A"/>
    <w:rsid w:val="00C13D07"/>
    <w:rsid w:val="00C150C6"/>
    <w:rsid w:val="00C15EDB"/>
    <w:rsid w:val="00C22930"/>
    <w:rsid w:val="00C235EE"/>
    <w:rsid w:val="00C27418"/>
    <w:rsid w:val="00C33598"/>
    <w:rsid w:val="00C3460B"/>
    <w:rsid w:val="00C347B6"/>
    <w:rsid w:val="00C3571B"/>
    <w:rsid w:val="00C35BC7"/>
    <w:rsid w:val="00C363FE"/>
    <w:rsid w:val="00C40992"/>
    <w:rsid w:val="00C42A82"/>
    <w:rsid w:val="00C54665"/>
    <w:rsid w:val="00C54AA6"/>
    <w:rsid w:val="00C56B95"/>
    <w:rsid w:val="00C632B6"/>
    <w:rsid w:val="00C6568C"/>
    <w:rsid w:val="00C766AE"/>
    <w:rsid w:val="00C80262"/>
    <w:rsid w:val="00C81943"/>
    <w:rsid w:val="00C86973"/>
    <w:rsid w:val="00C8731F"/>
    <w:rsid w:val="00C92F17"/>
    <w:rsid w:val="00C96EB0"/>
    <w:rsid w:val="00CA4776"/>
    <w:rsid w:val="00CA6EA6"/>
    <w:rsid w:val="00CB0F49"/>
    <w:rsid w:val="00CB1431"/>
    <w:rsid w:val="00CB26B7"/>
    <w:rsid w:val="00CB2B79"/>
    <w:rsid w:val="00CB3D45"/>
    <w:rsid w:val="00CB4C39"/>
    <w:rsid w:val="00CC09B4"/>
    <w:rsid w:val="00CD1391"/>
    <w:rsid w:val="00CD6C3C"/>
    <w:rsid w:val="00CD6F14"/>
    <w:rsid w:val="00CD7580"/>
    <w:rsid w:val="00CE09D9"/>
    <w:rsid w:val="00CE20BC"/>
    <w:rsid w:val="00CE3047"/>
    <w:rsid w:val="00CE63BD"/>
    <w:rsid w:val="00CE6E32"/>
    <w:rsid w:val="00CE782B"/>
    <w:rsid w:val="00CF192F"/>
    <w:rsid w:val="00CF34CF"/>
    <w:rsid w:val="00CF3792"/>
    <w:rsid w:val="00CF48B1"/>
    <w:rsid w:val="00CF4AED"/>
    <w:rsid w:val="00CF63A6"/>
    <w:rsid w:val="00CF739C"/>
    <w:rsid w:val="00CF7743"/>
    <w:rsid w:val="00D02769"/>
    <w:rsid w:val="00D03107"/>
    <w:rsid w:val="00D034EF"/>
    <w:rsid w:val="00D13085"/>
    <w:rsid w:val="00D13762"/>
    <w:rsid w:val="00D1487A"/>
    <w:rsid w:val="00D154D6"/>
    <w:rsid w:val="00D176F8"/>
    <w:rsid w:val="00D26BC1"/>
    <w:rsid w:val="00D30EAE"/>
    <w:rsid w:val="00D32460"/>
    <w:rsid w:val="00D33893"/>
    <w:rsid w:val="00D33CB9"/>
    <w:rsid w:val="00D33F2C"/>
    <w:rsid w:val="00D342BD"/>
    <w:rsid w:val="00D358EA"/>
    <w:rsid w:val="00D37C8B"/>
    <w:rsid w:val="00D443BB"/>
    <w:rsid w:val="00D4783C"/>
    <w:rsid w:val="00D50446"/>
    <w:rsid w:val="00D52303"/>
    <w:rsid w:val="00D52853"/>
    <w:rsid w:val="00D57CFB"/>
    <w:rsid w:val="00D64091"/>
    <w:rsid w:val="00D72C78"/>
    <w:rsid w:val="00D73376"/>
    <w:rsid w:val="00D832FC"/>
    <w:rsid w:val="00D8454A"/>
    <w:rsid w:val="00D91B2E"/>
    <w:rsid w:val="00D94D04"/>
    <w:rsid w:val="00D96858"/>
    <w:rsid w:val="00DA20FE"/>
    <w:rsid w:val="00DA3214"/>
    <w:rsid w:val="00DB347B"/>
    <w:rsid w:val="00DB44D2"/>
    <w:rsid w:val="00DB6422"/>
    <w:rsid w:val="00DC3434"/>
    <w:rsid w:val="00DC5316"/>
    <w:rsid w:val="00DC544F"/>
    <w:rsid w:val="00DC7E2A"/>
    <w:rsid w:val="00DD37FB"/>
    <w:rsid w:val="00DE5E92"/>
    <w:rsid w:val="00DE69CC"/>
    <w:rsid w:val="00DF2954"/>
    <w:rsid w:val="00E02984"/>
    <w:rsid w:val="00E05B04"/>
    <w:rsid w:val="00E07CB1"/>
    <w:rsid w:val="00E101F6"/>
    <w:rsid w:val="00E12756"/>
    <w:rsid w:val="00E13BEE"/>
    <w:rsid w:val="00E13F0B"/>
    <w:rsid w:val="00E2044F"/>
    <w:rsid w:val="00E24A6D"/>
    <w:rsid w:val="00E24B34"/>
    <w:rsid w:val="00E26545"/>
    <w:rsid w:val="00E26672"/>
    <w:rsid w:val="00E30F48"/>
    <w:rsid w:val="00E315E7"/>
    <w:rsid w:val="00E33506"/>
    <w:rsid w:val="00E336A9"/>
    <w:rsid w:val="00E339C9"/>
    <w:rsid w:val="00E36DBD"/>
    <w:rsid w:val="00E40303"/>
    <w:rsid w:val="00E43E9D"/>
    <w:rsid w:val="00E50B09"/>
    <w:rsid w:val="00E55E87"/>
    <w:rsid w:val="00E56EBD"/>
    <w:rsid w:val="00E572C4"/>
    <w:rsid w:val="00E57FC8"/>
    <w:rsid w:val="00E61507"/>
    <w:rsid w:val="00E62D0C"/>
    <w:rsid w:val="00E63648"/>
    <w:rsid w:val="00E64F3D"/>
    <w:rsid w:val="00E65754"/>
    <w:rsid w:val="00E66814"/>
    <w:rsid w:val="00E71F6D"/>
    <w:rsid w:val="00E741F4"/>
    <w:rsid w:val="00E757DB"/>
    <w:rsid w:val="00E92A0C"/>
    <w:rsid w:val="00E95396"/>
    <w:rsid w:val="00E953C7"/>
    <w:rsid w:val="00E95919"/>
    <w:rsid w:val="00EA0F60"/>
    <w:rsid w:val="00EA2040"/>
    <w:rsid w:val="00EA282C"/>
    <w:rsid w:val="00EA4B4A"/>
    <w:rsid w:val="00EA5065"/>
    <w:rsid w:val="00EB1CE9"/>
    <w:rsid w:val="00EB30F7"/>
    <w:rsid w:val="00EB7750"/>
    <w:rsid w:val="00EC03A7"/>
    <w:rsid w:val="00EC1195"/>
    <w:rsid w:val="00EC171D"/>
    <w:rsid w:val="00EC30E5"/>
    <w:rsid w:val="00EC39E2"/>
    <w:rsid w:val="00EC4B8E"/>
    <w:rsid w:val="00EC5760"/>
    <w:rsid w:val="00ED31B1"/>
    <w:rsid w:val="00ED3802"/>
    <w:rsid w:val="00ED3884"/>
    <w:rsid w:val="00ED53F6"/>
    <w:rsid w:val="00EE08CD"/>
    <w:rsid w:val="00EE394C"/>
    <w:rsid w:val="00EE6559"/>
    <w:rsid w:val="00EE69E9"/>
    <w:rsid w:val="00EF0A93"/>
    <w:rsid w:val="00EF70BF"/>
    <w:rsid w:val="00EF7BFE"/>
    <w:rsid w:val="00F030A0"/>
    <w:rsid w:val="00F07416"/>
    <w:rsid w:val="00F15A68"/>
    <w:rsid w:val="00F15EA4"/>
    <w:rsid w:val="00F20FB2"/>
    <w:rsid w:val="00F22D23"/>
    <w:rsid w:val="00F24EC1"/>
    <w:rsid w:val="00F2578E"/>
    <w:rsid w:val="00F301BC"/>
    <w:rsid w:val="00F3057C"/>
    <w:rsid w:val="00F322E6"/>
    <w:rsid w:val="00F32316"/>
    <w:rsid w:val="00F327C7"/>
    <w:rsid w:val="00F35A95"/>
    <w:rsid w:val="00F40788"/>
    <w:rsid w:val="00F40A5A"/>
    <w:rsid w:val="00F4104F"/>
    <w:rsid w:val="00F41074"/>
    <w:rsid w:val="00F44CF1"/>
    <w:rsid w:val="00F45652"/>
    <w:rsid w:val="00F46885"/>
    <w:rsid w:val="00F52ACC"/>
    <w:rsid w:val="00F573FC"/>
    <w:rsid w:val="00F57DA6"/>
    <w:rsid w:val="00F617F1"/>
    <w:rsid w:val="00F627D3"/>
    <w:rsid w:val="00F63520"/>
    <w:rsid w:val="00F65F3B"/>
    <w:rsid w:val="00F6635A"/>
    <w:rsid w:val="00F800DD"/>
    <w:rsid w:val="00F83F0C"/>
    <w:rsid w:val="00F8734B"/>
    <w:rsid w:val="00FA1F3E"/>
    <w:rsid w:val="00FB0E21"/>
    <w:rsid w:val="00FB3EE6"/>
    <w:rsid w:val="00FB4527"/>
    <w:rsid w:val="00FB5AD0"/>
    <w:rsid w:val="00FB75C7"/>
    <w:rsid w:val="00FB7B9F"/>
    <w:rsid w:val="00FC173F"/>
    <w:rsid w:val="00FC2950"/>
    <w:rsid w:val="00FC69FB"/>
    <w:rsid w:val="00FC6E01"/>
    <w:rsid w:val="00FC70BA"/>
    <w:rsid w:val="00FC78F4"/>
    <w:rsid w:val="00FD0566"/>
    <w:rsid w:val="00FD1834"/>
    <w:rsid w:val="00FD2666"/>
    <w:rsid w:val="00FD389F"/>
    <w:rsid w:val="00FD4162"/>
    <w:rsid w:val="00FD7F54"/>
    <w:rsid w:val="00FE3178"/>
    <w:rsid w:val="00FE37B3"/>
    <w:rsid w:val="00FE7048"/>
    <w:rsid w:val="00FE76B5"/>
    <w:rsid w:val="00FE7739"/>
    <w:rsid w:val="00FF19C2"/>
    <w:rsid w:val="00FF2FBD"/>
    <w:rsid w:val="00FF2FD4"/>
    <w:rsid w:val="00FF4C88"/>
    <w:rsid w:val="00FF71D4"/>
    <w:rsid w:val="056E61A1"/>
    <w:rsid w:val="42392D14"/>
    <w:rsid w:val="62BD7AA5"/>
    <w:rsid w:val="6FEF4F7A"/>
    <w:rsid w:val="BCF3BC1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0"/>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1"/>
    <w:qFormat/>
    <w:uiPriority w:val="0"/>
    <w:pPr>
      <w:keepNext/>
      <w:keepLines/>
      <w:spacing w:line="360" w:lineRule="auto"/>
      <w:outlineLvl w:val="2"/>
    </w:pPr>
    <w:rPr>
      <w:rFonts w:ascii="宋体" w:hAnsi="宋体"/>
      <w:b/>
      <w:sz w:val="30"/>
      <w:szCs w:val="20"/>
    </w:rPr>
  </w:style>
  <w:style w:type="paragraph" w:styleId="5">
    <w:name w:val="heading 4"/>
    <w:basedOn w:val="1"/>
    <w:next w:val="1"/>
    <w:link w:val="42"/>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3"/>
    <w:qFormat/>
    <w:uiPriority w:val="0"/>
    <w:pPr>
      <w:widowControl/>
      <w:spacing w:before="100" w:beforeAutospacing="1" w:after="100" w:afterAutospacing="1"/>
      <w:jc w:val="left"/>
      <w:outlineLvl w:val="4"/>
    </w:pPr>
    <w:rPr>
      <w:rFonts w:ascii="宋体" w:hAnsi="宋体" w:cs="宋体"/>
      <w:b/>
      <w:bCs/>
      <w:kern w:val="0"/>
      <w:sz w:val="24"/>
    </w:rPr>
  </w:style>
  <w:style w:type="paragraph" w:styleId="7">
    <w:name w:val="heading 6"/>
    <w:basedOn w:val="1"/>
    <w:next w:val="1"/>
    <w:link w:val="44"/>
    <w:qFormat/>
    <w:uiPriority w:val="0"/>
    <w:pPr>
      <w:widowControl/>
      <w:spacing w:before="100" w:beforeAutospacing="1" w:after="100" w:afterAutospacing="1"/>
      <w:jc w:val="left"/>
      <w:outlineLvl w:val="5"/>
    </w:pPr>
    <w:rPr>
      <w:rFonts w:ascii="宋体" w:hAnsi="宋体" w:cs="宋体"/>
      <w:b/>
      <w:bCs/>
      <w:kern w:val="0"/>
      <w:sz w:val="24"/>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8">
    <w:name w:val="Normal Indent"/>
    <w:basedOn w:val="1"/>
    <w:qFormat/>
    <w:uiPriority w:val="0"/>
    <w:pPr>
      <w:ind w:firstLine="420"/>
    </w:pPr>
    <w:rPr>
      <w:szCs w:val="20"/>
    </w:rPr>
  </w:style>
  <w:style w:type="paragraph" w:styleId="9">
    <w:name w:val="caption"/>
    <w:basedOn w:val="1"/>
    <w:next w:val="1"/>
    <w:qFormat/>
    <w:uiPriority w:val="0"/>
    <w:rPr>
      <w:rFonts w:ascii="Cambria" w:hAnsi="Cambria" w:eastAsia="黑体"/>
      <w:sz w:val="20"/>
      <w:szCs w:val="20"/>
    </w:rPr>
  </w:style>
  <w:style w:type="paragraph" w:styleId="10">
    <w:name w:val="Document Map"/>
    <w:basedOn w:val="1"/>
    <w:link w:val="45"/>
    <w:semiHidden/>
    <w:qFormat/>
    <w:uiPriority w:val="0"/>
    <w:pPr>
      <w:shd w:val="clear" w:color="auto" w:fill="000080"/>
    </w:pPr>
    <w:rPr>
      <w:szCs w:val="20"/>
    </w:rPr>
  </w:style>
  <w:style w:type="paragraph" w:styleId="11">
    <w:name w:val="annotation text"/>
    <w:basedOn w:val="1"/>
    <w:link w:val="46"/>
    <w:qFormat/>
    <w:uiPriority w:val="0"/>
    <w:pPr>
      <w:jc w:val="left"/>
    </w:pPr>
  </w:style>
  <w:style w:type="paragraph" w:styleId="12">
    <w:name w:val="Body Text"/>
    <w:basedOn w:val="1"/>
    <w:link w:val="47"/>
    <w:qFormat/>
    <w:uiPriority w:val="0"/>
    <w:rPr>
      <w:rFonts w:ascii="华文中宋" w:eastAsia="华文中宋"/>
      <w:b/>
      <w:bCs/>
      <w:sz w:val="44"/>
    </w:rPr>
  </w:style>
  <w:style w:type="paragraph" w:styleId="13">
    <w:name w:val="Body Text Indent"/>
    <w:basedOn w:val="1"/>
    <w:link w:val="48"/>
    <w:qFormat/>
    <w:uiPriority w:val="0"/>
    <w:pPr>
      <w:ind w:firstLine="420"/>
    </w:pPr>
    <w:rPr>
      <w:rFonts w:ascii="仿宋_GB2312" w:eastAsia="仿宋_GB2312"/>
      <w:sz w:val="28"/>
    </w:rPr>
  </w:style>
  <w:style w:type="paragraph" w:styleId="14">
    <w:name w:val="toc 3"/>
    <w:basedOn w:val="1"/>
    <w:next w:val="1"/>
    <w:qFormat/>
    <w:uiPriority w:val="0"/>
    <w:pPr>
      <w:ind w:left="840" w:leftChars="400"/>
    </w:pPr>
  </w:style>
  <w:style w:type="paragraph" w:styleId="15">
    <w:name w:val="Plain Text"/>
    <w:basedOn w:val="1"/>
    <w:link w:val="49"/>
    <w:qFormat/>
    <w:uiPriority w:val="0"/>
    <w:rPr>
      <w:rFonts w:ascii="宋体" w:hAnsi="Courier New"/>
      <w:szCs w:val="20"/>
    </w:rPr>
  </w:style>
  <w:style w:type="paragraph" w:styleId="16">
    <w:name w:val="Date"/>
    <w:basedOn w:val="1"/>
    <w:next w:val="1"/>
    <w:qFormat/>
    <w:uiPriority w:val="0"/>
    <w:pPr>
      <w:ind w:left="100" w:leftChars="2500"/>
    </w:pPr>
  </w:style>
  <w:style w:type="paragraph" w:styleId="17">
    <w:name w:val="Body Text Indent 2"/>
    <w:basedOn w:val="1"/>
    <w:qFormat/>
    <w:uiPriority w:val="0"/>
    <w:pPr>
      <w:spacing w:line="500" w:lineRule="exact"/>
      <w:ind w:firstLine="538"/>
    </w:pPr>
    <w:rPr>
      <w:rFonts w:ascii="仿宋_GB2312" w:eastAsia="仿宋_GB2312"/>
      <w:sz w:val="30"/>
    </w:rPr>
  </w:style>
  <w:style w:type="paragraph" w:styleId="18">
    <w:name w:val="endnote text"/>
    <w:basedOn w:val="1"/>
    <w:unhideWhenUsed/>
    <w:qFormat/>
    <w:uiPriority w:val="99"/>
    <w:pPr>
      <w:snapToGrid w:val="0"/>
      <w:spacing w:line="600" w:lineRule="exact"/>
      <w:ind w:firstLine="856" w:firstLineChars="200"/>
      <w:jc w:val="left"/>
    </w:pPr>
    <w:rPr>
      <w:rFonts w:eastAsia="仿宋_GB2312"/>
      <w:sz w:val="32"/>
      <w:szCs w:val="32"/>
    </w:rPr>
  </w:style>
  <w:style w:type="paragraph" w:styleId="19">
    <w:name w:val="Balloon Text"/>
    <w:basedOn w:val="1"/>
    <w:link w:val="50"/>
    <w:semiHidden/>
    <w:qFormat/>
    <w:uiPriority w:val="0"/>
    <w:rPr>
      <w:sz w:val="18"/>
      <w:szCs w:val="18"/>
    </w:rPr>
  </w:style>
  <w:style w:type="paragraph" w:styleId="20">
    <w:name w:val="footer"/>
    <w:basedOn w:val="1"/>
    <w:link w:val="51"/>
    <w:qFormat/>
    <w:uiPriority w:val="99"/>
    <w:pPr>
      <w:tabs>
        <w:tab w:val="center" w:pos="4153"/>
        <w:tab w:val="right" w:pos="8306"/>
      </w:tabs>
      <w:snapToGrid w:val="0"/>
      <w:jc w:val="left"/>
    </w:pPr>
    <w:rPr>
      <w:sz w:val="18"/>
      <w:szCs w:val="18"/>
    </w:rPr>
  </w:style>
  <w:style w:type="paragraph" w:styleId="21">
    <w:name w:val="header"/>
    <w:basedOn w:val="1"/>
    <w:link w:val="52"/>
    <w:qFormat/>
    <w:uiPriority w:val="0"/>
    <w:pPr>
      <w:pBdr>
        <w:bottom w:val="single" w:color="auto" w:sz="6" w:space="1"/>
      </w:pBdr>
      <w:tabs>
        <w:tab w:val="center" w:pos="4320"/>
        <w:tab w:val="right" w:pos="8640"/>
      </w:tabs>
      <w:snapToGrid w:val="0"/>
      <w:jc w:val="center"/>
    </w:pPr>
    <w:rPr>
      <w:sz w:val="18"/>
      <w:szCs w:val="18"/>
    </w:rPr>
  </w:style>
  <w:style w:type="paragraph" w:styleId="22">
    <w:name w:val="toc 1"/>
    <w:basedOn w:val="1"/>
    <w:next w:val="1"/>
    <w:qFormat/>
    <w:uiPriority w:val="0"/>
  </w:style>
  <w:style w:type="paragraph" w:styleId="23">
    <w:name w:val="footnote text"/>
    <w:basedOn w:val="1"/>
    <w:qFormat/>
    <w:uiPriority w:val="0"/>
    <w:pPr>
      <w:snapToGrid w:val="0"/>
    </w:pPr>
    <w:rPr>
      <w:rFonts w:ascii="Calibri" w:hAnsi="Calibri"/>
      <w:sz w:val="18"/>
      <w:szCs w:val="18"/>
    </w:rPr>
  </w:style>
  <w:style w:type="paragraph" w:styleId="24">
    <w:name w:val="Body Text Indent 3"/>
    <w:basedOn w:val="1"/>
    <w:qFormat/>
    <w:uiPriority w:val="0"/>
    <w:pPr>
      <w:spacing w:line="120" w:lineRule="auto"/>
      <w:ind w:firstLine="540"/>
    </w:pPr>
    <w:rPr>
      <w:rFonts w:ascii="仿宋_GB2312" w:eastAsia="仿宋_GB2312"/>
      <w:sz w:val="28"/>
    </w:rPr>
  </w:style>
  <w:style w:type="paragraph" w:styleId="25">
    <w:name w:val="toc 2"/>
    <w:basedOn w:val="1"/>
    <w:next w:val="1"/>
    <w:qFormat/>
    <w:uiPriority w:val="0"/>
    <w:pPr>
      <w:tabs>
        <w:tab w:val="right" w:leader="dot" w:pos="8296"/>
      </w:tabs>
      <w:spacing w:line="600" w:lineRule="exact"/>
      <w:ind w:left="420" w:leftChars="200"/>
    </w:pPr>
  </w:style>
  <w:style w:type="paragraph" w:styleId="26">
    <w:name w:val="Body Text 2"/>
    <w:basedOn w:val="1"/>
    <w:qFormat/>
    <w:uiPriority w:val="0"/>
    <w:rPr>
      <w:color w:val="0000FF"/>
      <w:sz w:val="28"/>
      <w:szCs w:val="20"/>
    </w:rPr>
  </w:style>
  <w:style w:type="paragraph" w:styleId="27">
    <w:name w:val="Normal (Web)"/>
    <w:basedOn w:val="1"/>
    <w:qFormat/>
    <w:uiPriority w:val="0"/>
    <w:pPr>
      <w:widowControl/>
      <w:spacing w:before="100" w:beforeAutospacing="1" w:after="119"/>
      <w:ind w:firstLine="420"/>
    </w:pPr>
    <w:rPr>
      <w:rFonts w:ascii="宋体" w:hAnsi="宋体" w:cs="宋体"/>
      <w:kern w:val="0"/>
      <w:sz w:val="20"/>
      <w:szCs w:val="20"/>
    </w:rPr>
  </w:style>
  <w:style w:type="paragraph" w:styleId="28">
    <w:name w:val="Title"/>
    <w:basedOn w:val="1"/>
    <w:link w:val="53"/>
    <w:qFormat/>
    <w:uiPriority w:val="0"/>
    <w:pPr>
      <w:spacing w:before="240" w:after="60"/>
      <w:jc w:val="center"/>
      <w:outlineLvl w:val="0"/>
    </w:pPr>
    <w:rPr>
      <w:rFonts w:ascii="Arial" w:hAnsi="Arial" w:cs="Arial"/>
      <w:b/>
      <w:bCs/>
      <w:sz w:val="32"/>
      <w:szCs w:val="32"/>
    </w:rPr>
  </w:style>
  <w:style w:type="paragraph" w:styleId="29">
    <w:name w:val="annotation subject"/>
    <w:basedOn w:val="11"/>
    <w:next w:val="11"/>
    <w:link w:val="54"/>
    <w:qFormat/>
    <w:uiPriority w:val="0"/>
    <w:rPr>
      <w:b/>
      <w:bCs/>
    </w:rPr>
  </w:style>
  <w:style w:type="table" w:styleId="31">
    <w:name w:val="Table Grid"/>
    <w:basedOn w:val="30"/>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qFormat/>
    <w:uiPriority w:val="0"/>
    <w:rPr>
      <w:b/>
      <w:bCs/>
    </w:rPr>
  </w:style>
  <w:style w:type="character" w:styleId="34">
    <w:name w:val="page number"/>
    <w:basedOn w:val="32"/>
    <w:qFormat/>
    <w:uiPriority w:val="0"/>
  </w:style>
  <w:style w:type="character" w:styleId="35">
    <w:name w:val="FollowedHyperlink"/>
    <w:qFormat/>
    <w:uiPriority w:val="0"/>
    <w:rPr>
      <w:color w:val="800080"/>
      <w:u w:val="single"/>
    </w:rPr>
  </w:style>
  <w:style w:type="character" w:styleId="36">
    <w:name w:val="Emphasis"/>
    <w:qFormat/>
    <w:uiPriority w:val="0"/>
  </w:style>
  <w:style w:type="character" w:styleId="37">
    <w:name w:val="Hyperlink"/>
    <w:qFormat/>
    <w:uiPriority w:val="0"/>
    <w:rPr>
      <w:color w:val="0000FF"/>
      <w:u w:val="single"/>
    </w:rPr>
  </w:style>
  <w:style w:type="character" w:styleId="38">
    <w:name w:val="annotation reference"/>
    <w:qFormat/>
    <w:uiPriority w:val="0"/>
    <w:rPr>
      <w:sz w:val="21"/>
      <w:szCs w:val="21"/>
    </w:rPr>
  </w:style>
  <w:style w:type="character" w:customStyle="1" w:styleId="39">
    <w:name w:val="标题 1 字符"/>
    <w:link w:val="2"/>
    <w:qFormat/>
    <w:uiPriority w:val="0"/>
    <w:rPr>
      <w:rFonts w:eastAsia="宋体"/>
      <w:b/>
      <w:bCs/>
      <w:kern w:val="44"/>
      <w:sz w:val="44"/>
      <w:szCs w:val="44"/>
      <w:lang w:val="en-US" w:eastAsia="zh-CN" w:bidi="ar-SA"/>
    </w:rPr>
  </w:style>
  <w:style w:type="character" w:customStyle="1" w:styleId="40">
    <w:name w:val="标题 2 字符"/>
    <w:link w:val="3"/>
    <w:qFormat/>
    <w:uiPriority w:val="0"/>
    <w:rPr>
      <w:rFonts w:ascii="Arial" w:hAnsi="Arial" w:eastAsia="黑体"/>
      <w:b/>
      <w:bCs/>
      <w:kern w:val="2"/>
      <w:sz w:val="32"/>
      <w:szCs w:val="32"/>
      <w:lang w:val="en-US" w:eastAsia="zh-CN" w:bidi="ar-SA"/>
    </w:rPr>
  </w:style>
  <w:style w:type="character" w:customStyle="1" w:styleId="41">
    <w:name w:val="标题 3 字符"/>
    <w:link w:val="4"/>
    <w:qFormat/>
    <w:uiPriority w:val="0"/>
    <w:rPr>
      <w:rFonts w:ascii="宋体" w:hAnsi="宋体" w:eastAsia="宋体"/>
      <w:b/>
      <w:kern w:val="2"/>
      <w:sz w:val="30"/>
      <w:lang w:val="en-US" w:eastAsia="zh-CN" w:bidi="ar-SA"/>
    </w:rPr>
  </w:style>
  <w:style w:type="character" w:customStyle="1" w:styleId="42">
    <w:name w:val="标题 4 字符"/>
    <w:link w:val="5"/>
    <w:qFormat/>
    <w:uiPriority w:val="0"/>
    <w:rPr>
      <w:rFonts w:ascii="Arial" w:hAnsi="Arial" w:eastAsia="黑体"/>
      <w:b/>
      <w:bCs/>
      <w:kern w:val="2"/>
      <w:sz w:val="28"/>
      <w:szCs w:val="28"/>
      <w:lang w:val="en-US" w:eastAsia="zh-CN" w:bidi="ar-SA"/>
    </w:rPr>
  </w:style>
  <w:style w:type="character" w:customStyle="1" w:styleId="43">
    <w:name w:val="标题 5 字符"/>
    <w:link w:val="6"/>
    <w:qFormat/>
    <w:uiPriority w:val="0"/>
    <w:rPr>
      <w:rFonts w:ascii="宋体" w:hAnsi="宋体" w:eastAsia="宋体" w:cs="宋体"/>
      <w:b/>
      <w:bCs/>
      <w:sz w:val="24"/>
      <w:szCs w:val="24"/>
      <w:lang w:val="en-US" w:eastAsia="zh-CN" w:bidi="ar-SA"/>
    </w:rPr>
  </w:style>
  <w:style w:type="character" w:customStyle="1" w:styleId="44">
    <w:name w:val="标题 6 字符"/>
    <w:link w:val="7"/>
    <w:qFormat/>
    <w:uiPriority w:val="0"/>
    <w:rPr>
      <w:rFonts w:ascii="宋体" w:hAnsi="宋体" w:eastAsia="宋体" w:cs="宋体"/>
      <w:b/>
      <w:bCs/>
      <w:sz w:val="24"/>
      <w:szCs w:val="24"/>
      <w:lang w:val="en-US" w:eastAsia="zh-CN" w:bidi="ar-SA"/>
    </w:rPr>
  </w:style>
  <w:style w:type="character" w:customStyle="1" w:styleId="45">
    <w:name w:val="文档结构图 字符"/>
    <w:link w:val="10"/>
    <w:semiHidden/>
    <w:qFormat/>
    <w:uiPriority w:val="0"/>
    <w:rPr>
      <w:rFonts w:eastAsia="宋体"/>
      <w:kern w:val="2"/>
      <w:sz w:val="21"/>
      <w:lang w:val="en-US" w:eastAsia="zh-CN" w:bidi="ar-SA"/>
    </w:rPr>
  </w:style>
  <w:style w:type="character" w:customStyle="1" w:styleId="46">
    <w:name w:val="批注文字 字符"/>
    <w:link w:val="11"/>
    <w:qFormat/>
    <w:uiPriority w:val="0"/>
    <w:rPr>
      <w:rFonts w:eastAsia="宋体"/>
      <w:kern w:val="2"/>
      <w:sz w:val="21"/>
      <w:szCs w:val="24"/>
      <w:lang w:bidi="ar-SA"/>
    </w:rPr>
  </w:style>
  <w:style w:type="character" w:customStyle="1" w:styleId="47">
    <w:name w:val="正文文本 字符"/>
    <w:link w:val="12"/>
    <w:semiHidden/>
    <w:qFormat/>
    <w:locked/>
    <w:uiPriority w:val="0"/>
    <w:rPr>
      <w:rFonts w:ascii="华文中宋" w:eastAsia="华文中宋"/>
      <w:b/>
      <w:bCs/>
      <w:kern w:val="2"/>
      <w:sz w:val="44"/>
      <w:szCs w:val="24"/>
      <w:lang w:val="en-US" w:eastAsia="zh-CN" w:bidi="ar-SA"/>
    </w:rPr>
  </w:style>
  <w:style w:type="character" w:customStyle="1" w:styleId="48">
    <w:name w:val="正文文本缩进 字符"/>
    <w:link w:val="13"/>
    <w:qFormat/>
    <w:locked/>
    <w:uiPriority w:val="0"/>
    <w:rPr>
      <w:rFonts w:ascii="仿宋_GB2312" w:eastAsia="仿宋_GB2312"/>
      <w:kern w:val="2"/>
      <w:sz w:val="28"/>
      <w:szCs w:val="24"/>
      <w:lang w:val="en-US" w:eastAsia="zh-CN" w:bidi="ar-SA"/>
    </w:rPr>
  </w:style>
  <w:style w:type="character" w:customStyle="1" w:styleId="49">
    <w:name w:val="纯文本 字符"/>
    <w:link w:val="15"/>
    <w:qFormat/>
    <w:locked/>
    <w:uiPriority w:val="0"/>
    <w:rPr>
      <w:rFonts w:ascii="宋体" w:hAnsi="Courier New" w:eastAsia="宋体"/>
      <w:kern w:val="2"/>
      <w:sz w:val="21"/>
      <w:lang w:val="en-US" w:eastAsia="zh-CN" w:bidi="ar-SA"/>
    </w:rPr>
  </w:style>
  <w:style w:type="character" w:customStyle="1" w:styleId="50">
    <w:name w:val="批注框文本 字符"/>
    <w:link w:val="19"/>
    <w:semiHidden/>
    <w:qFormat/>
    <w:uiPriority w:val="0"/>
    <w:rPr>
      <w:rFonts w:eastAsia="宋体"/>
      <w:kern w:val="2"/>
      <w:sz w:val="18"/>
      <w:szCs w:val="18"/>
      <w:lang w:val="en-US" w:eastAsia="zh-CN" w:bidi="ar-SA"/>
    </w:rPr>
  </w:style>
  <w:style w:type="character" w:customStyle="1" w:styleId="51">
    <w:name w:val="页脚 字符"/>
    <w:link w:val="20"/>
    <w:qFormat/>
    <w:uiPriority w:val="99"/>
    <w:rPr>
      <w:rFonts w:eastAsia="宋体"/>
      <w:kern w:val="2"/>
      <w:sz w:val="18"/>
      <w:szCs w:val="18"/>
      <w:lang w:val="en-US" w:eastAsia="zh-CN" w:bidi="ar-SA"/>
    </w:rPr>
  </w:style>
  <w:style w:type="character" w:customStyle="1" w:styleId="52">
    <w:name w:val="页眉 字符"/>
    <w:link w:val="21"/>
    <w:qFormat/>
    <w:uiPriority w:val="0"/>
    <w:rPr>
      <w:rFonts w:eastAsia="宋体"/>
      <w:kern w:val="2"/>
      <w:sz w:val="18"/>
      <w:szCs w:val="18"/>
      <w:lang w:val="en-US" w:eastAsia="zh-CN" w:bidi="ar-SA"/>
    </w:rPr>
  </w:style>
  <w:style w:type="character" w:customStyle="1" w:styleId="53">
    <w:name w:val="标题 字符"/>
    <w:link w:val="28"/>
    <w:qFormat/>
    <w:uiPriority w:val="0"/>
    <w:rPr>
      <w:rFonts w:ascii="Arial" w:hAnsi="Arial" w:eastAsia="宋体" w:cs="Arial"/>
      <w:b/>
      <w:bCs/>
      <w:kern w:val="2"/>
      <w:sz w:val="32"/>
      <w:szCs w:val="32"/>
      <w:lang w:val="en-US" w:eastAsia="zh-CN" w:bidi="ar-SA"/>
    </w:rPr>
  </w:style>
  <w:style w:type="character" w:customStyle="1" w:styleId="54">
    <w:name w:val="批注主题 字符"/>
    <w:link w:val="29"/>
    <w:qFormat/>
    <w:uiPriority w:val="0"/>
    <w:rPr>
      <w:rFonts w:eastAsia="宋体"/>
      <w:b/>
      <w:bCs/>
      <w:kern w:val="2"/>
      <w:sz w:val="21"/>
      <w:szCs w:val="24"/>
      <w:lang w:bidi="ar-SA"/>
    </w:rPr>
  </w:style>
  <w:style w:type="paragraph" w:customStyle="1" w:styleId="55">
    <w:name w:val="Char Char Char Char"/>
    <w:basedOn w:val="1"/>
    <w:qFormat/>
    <w:uiPriority w:val="0"/>
    <w:pPr>
      <w:spacing w:line="360" w:lineRule="auto"/>
    </w:pPr>
    <w:rPr>
      <w:rFonts w:ascii="宋体" w:hAnsi="宋体"/>
      <w:sz w:val="24"/>
      <w:szCs w:val="20"/>
    </w:rPr>
  </w:style>
  <w:style w:type="paragraph" w:customStyle="1" w:styleId="56">
    <w:name w:val="Char Char Char"/>
    <w:basedOn w:val="1"/>
    <w:qFormat/>
    <w:uiPriority w:val="0"/>
    <w:rPr>
      <w:szCs w:val="20"/>
    </w:rPr>
  </w:style>
  <w:style w:type="character" w:customStyle="1" w:styleId="57">
    <w:name w:val="datatitle1"/>
    <w:qFormat/>
    <w:uiPriority w:val="0"/>
    <w:rPr>
      <w:b/>
      <w:bCs/>
      <w:color w:val="10619F"/>
      <w:sz w:val="21"/>
      <w:szCs w:val="21"/>
    </w:rPr>
  </w:style>
  <w:style w:type="paragraph" w:customStyle="1" w:styleId="58">
    <w:name w:val="Char Char Char Char Char Char Char"/>
    <w:basedOn w:val="1"/>
    <w:qFormat/>
    <w:uiPriority w:val="0"/>
    <w:pPr>
      <w:ind w:firstLine="617" w:firstLineChars="257"/>
    </w:pPr>
    <w:rPr>
      <w:rFonts w:ascii="仿宋_GB2312" w:hAnsi="Tahoma" w:eastAsia="仿宋_GB2312" w:cs="Arial"/>
      <w:sz w:val="24"/>
    </w:rPr>
  </w:style>
  <w:style w:type="paragraph" w:customStyle="1" w:styleId="59">
    <w:name w:val="Char"/>
    <w:basedOn w:val="1"/>
    <w:qFormat/>
    <w:uiPriority w:val="0"/>
    <w:pPr>
      <w:spacing w:line="360" w:lineRule="auto"/>
    </w:pPr>
    <w:rPr>
      <w:rFonts w:ascii="宋体" w:hAnsi="宋体"/>
      <w:snapToGrid w:val="0"/>
      <w:kern w:val="0"/>
      <w:sz w:val="24"/>
    </w:rPr>
  </w:style>
  <w:style w:type="paragraph" w:customStyle="1" w:styleId="60">
    <w:name w:val="Char1"/>
    <w:basedOn w:val="1"/>
    <w:qFormat/>
    <w:uiPriority w:val="0"/>
    <w:pPr>
      <w:snapToGrid w:val="0"/>
      <w:spacing w:line="360" w:lineRule="auto"/>
      <w:ind w:firstLine="200" w:firstLineChars="200"/>
    </w:pPr>
    <w:rPr>
      <w:rFonts w:eastAsia="仿宋_GB2312"/>
      <w:sz w:val="24"/>
    </w:rPr>
  </w:style>
  <w:style w:type="paragraph" w:customStyle="1" w:styleId="61">
    <w:name w:val="font5"/>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62">
    <w:name w:val="font6"/>
    <w:basedOn w:val="1"/>
    <w:qFormat/>
    <w:uiPriority w:val="0"/>
    <w:pPr>
      <w:widowControl/>
      <w:spacing w:before="100" w:beforeAutospacing="1" w:after="100" w:afterAutospacing="1"/>
      <w:jc w:val="left"/>
    </w:pPr>
    <w:rPr>
      <w:rFonts w:hint="eastAsia" w:ascii="宋体" w:hAnsi="宋体" w:cs="Arial Unicode MS"/>
      <w:b/>
      <w:bCs/>
      <w:kern w:val="0"/>
      <w:sz w:val="20"/>
      <w:szCs w:val="20"/>
    </w:rPr>
  </w:style>
  <w:style w:type="paragraph" w:customStyle="1" w:styleId="63">
    <w:name w:val="font7"/>
    <w:basedOn w:val="1"/>
    <w:qFormat/>
    <w:uiPriority w:val="0"/>
    <w:pPr>
      <w:widowControl/>
      <w:spacing w:before="100" w:beforeAutospacing="1" w:after="100" w:afterAutospacing="1"/>
      <w:jc w:val="left"/>
    </w:pPr>
    <w:rPr>
      <w:rFonts w:eastAsia="Arial Unicode MS"/>
      <w:b/>
      <w:bCs/>
      <w:kern w:val="0"/>
      <w:sz w:val="20"/>
      <w:szCs w:val="20"/>
    </w:rPr>
  </w:style>
  <w:style w:type="paragraph" w:customStyle="1" w:styleId="64">
    <w:name w:val="font8"/>
    <w:basedOn w:val="1"/>
    <w:qFormat/>
    <w:uiPriority w:val="0"/>
    <w:pPr>
      <w:widowControl/>
      <w:spacing w:before="100" w:beforeAutospacing="1" w:after="100" w:afterAutospacing="1"/>
      <w:jc w:val="left"/>
    </w:pPr>
    <w:rPr>
      <w:rFonts w:hint="eastAsia" w:ascii="Arial Unicode MS" w:hAnsi="Arial Unicode MS" w:eastAsia="Arial Unicode MS" w:cs="Arial Unicode MS"/>
      <w:b/>
      <w:bCs/>
      <w:kern w:val="0"/>
      <w:sz w:val="18"/>
      <w:szCs w:val="18"/>
    </w:rPr>
  </w:style>
  <w:style w:type="paragraph" w:customStyle="1" w:styleId="65">
    <w:name w:val="font9"/>
    <w:basedOn w:val="1"/>
    <w:qFormat/>
    <w:uiPriority w:val="0"/>
    <w:pPr>
      <w:widowControl/>
      <w:spacing w:before="100" w:beforeAutospacing="1" w:after="100" w:afterAutospacing="1"/>
      <w:jc w:val="left"/>
    </w:pPr>
    <w:rPr>
      <w:rFonts w:eastAsia="Arial Unicode MS"/>
      <w:b/>
      <w:bCs/>
      <w:kern w:val="0"/>
      <w:sz w:val="18"/>
      <w:szCs w:val="18"/>
    </w:rPr>
  </w:style>
  <w:style w:type="paragraph" w:customStyle="1" w:styleId="66">
    <w:name w:val="xl2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hint="eastAsia" w:ascii="Arial Unicode MS" w:hAnsi="Arial Unicode MS" w:eastAsia="Arial Unicode MS" w:cs="Arial Unicode MS"/>
      <w:b/>
      <w:bCs/>
      <w:kern w:val="0"/>
      <w:sz w:val="20"/>
      <w:szCs w:val="20"/>
    </w:rPr>
  </w:style>
  <w:style w:type="paragraph" w:customStyle="1" w:styleId="67">
    <w:name w:val="xl2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eastAsia="Arial Unicode MS"/>
      <w:b/>
      <w:bCs/>
      <w:kern w:val="0"/>
      <w:sz w:val="20"/>
      <w:szCs w:val="20"/>
    </w:rPr>
  </w:style>
  <w:style w:type="paragraph" w:customStyle="1" w:styleId="68">
    <w:name w:val="xl26"/>
    <w:basedOn w:val="1"/>
    <w:qFormat/>
    <w:uiPriority w:val="0"/>
    <w:pPr>
      <w:widowControl/>
      <w:pBdr>
        <w:bottom w:val="single" w:color="auto" w:sz="4" w:space="0"/>
      </w:pBdr>
      <w:spacing w:before="100" w:beforeAutospacing="1" w:after="100" w:afterAutospacing="1"/>
      <w:jc w:val="center"/>
    </w:pPr>
    <w:rPr>
      <w:rFonts w:eastAsia="Arial Unicode MS"/>
      <w:b/>
      <w:bCs/>
      <w:kern w:val="0"/>
      <w:sz w:val="20"/>
      <w:szCs w:val="20"/>
    </w:rPr>
  </w:style>
  <w:style w:type="paragraph" w:customStyle="1" w:styleId="6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kern w:val="0"/>
      <w:sz w:val="20"/>
      <w:szCs w:val="20"/>
    </w:rPr>
  </w:style>
  <w:style w:type="paragraph" w:customStyle="1" w:styleId="7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kern w:val="0"/>
      <w:sz w:val="20"/>
      <w:szCs w:val="20"/>
    </w:rPr>
  </w:style>
  <w:style w:type="paragraph" w:customStyle="1" w:styleId="71">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kern w:val="0"/>
      <w:sz w:val="20"/>
      <w:szCs w:val="20"/>
    </w:rPr>
  </w:style>
  <w:style w:type="paragraph" w:customStyle="1" w:styleId="7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kern w:val="0"/>
      <w:sz w:val="20"/>
      <w:szCs w:val="20"/>
    </w:rPr>
  </w:style>
  <w:style w:type="paragraph" w:customStyle="1" w:styleId="73">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kern w:val="0"/>
      <w:sz w:val="20"/>
      <w:szCs w:val="20"/>
    </w:rPr>
  </w:style>
  <w:style w:type="paragraph" w:customStyle="1" w:styleId="74">
    <w:name w:val="xl3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eastAsia="Arial Unicode MS"/>
      <w:b/>
      <w:bCs/>
      <w:kern w:val="0"/>
      <w:sz w:val="20"/>
      <w:szCs w:val="20"/>
    </w:rPr>
  </w:style>
  <w:style w:type="paragraph" w:customStyle="1" w:styleId="75">
    <w:name w:val="xl3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hint="eastAsia" w:ascii="Arial Unicode MS" w:hAnsi="Arial Unicode MS" w:eastAsia="Arial Unicode MS" w:cs="Arial Unicode MS"/>
      <w:b/>
      <w:bCs/>
      <w:kern w:val="0"/>
      <w:sz w:val="18"/>
      <w:szCs w:val="18"/>
    </w:rPr>
  </w:style>
  <w:style w:type="paragraph" w:customStyle="1" w:styleId="76">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kern w:val="0"/>
      <w:sz w:val="24"/>
    </w:rPr>
  </w:style>
  <w:style w:type="paragraph" w:customStyle="1" w:styleId="77">
    <w:name w:val="xl3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Arial Unicode MS" w:hAnsi="Arial Unicode MS" w:eastAsia="Arial Unicode MS" w:cs="Arial Unicode MS"/>
      <w:b/>
      <w:bCs/>
      <w:kern w:val="0"/>
      <w:sz w:val="20"/>
      <w:szCs w:val="20"/>
    </w:rPr>
  </w:style>
  <w:style w:type="paragraph" w:customStyle="1" w:styleId="78">
    <w:name w:val="xl36"/>
    <w:basedOn w:val="1"/>
    <w:qFormat/>
    <w:uiPriority w:val="0"/>
    <w:pPr>
      <w:widowControl/>
      <w:pBdr>
        <w:bottom w:val="single" w:color="auto" w:sz="4" w:space="0"/>
      </w:pBdr>
      <w:spacing w:before="100" w:beforeAutospacing="1" w:after="100" w:afterAutospacing="1"/>
      <w:jc w:val="center"/>
    </w:pPr>
    <w:rPr>
      <w:rFonts w:ascii="Arial Unicode MS" w:hAnsi="Arial Unicode MS" w:eastAsia="Arial Unicode MS" w:cs="Arial Unicode MS"/>
      <w:b/>
      <w:bCs/>
      <w:kern w:val="0"/>
      <w:sz w:val="28"/>
      <w:szCs w:val="28"/>
    </w:rPr>
  </w:style>
  <w:style w:type="paragraph" w:customStyle="1" w:styleId="79">
    <w:name w:val="xl37"/>
    <w:basedOn w:val="1"/>
    <w:qFormat/>
    <w:uiPriority w:val="0"/>
    <w:pPr>
      <w:widowControl/>
      <w:numPr>
        <w:ilvl w:val="0"/>
        <w:numId w:val="1"/>
      </w:numPr>
      <w:pBdr>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kern w:val="0"/>
      <w:sz w:val="28"/>
      <w:szCs w:val="28"/>
    </w:rPr>
  </w:style>
  <w:style w:type="paragraph" w:customStyle="1" w:styleId="80">
    <w:name w:val="xl38"/>
    <w:basedOn w:val="1"/>
    <w:qFormat/>
    <w:uiPriority w:val="0"/>
    <w:pPr>
      <w:widowControl/>
      <w:numPr>
        <w:ilvl w:val="1"/>
        <w:numId w:val="1"/>
      </w:numPr>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Arial Unicode MS" w:hAnsi="Arial Unicode MS" w:eastAsia="Arial Unicode MS" w:cs="Arial Unicode MS"/>
      <w:b/>
      <w:bCs/>
      <w:kern w:val="0"/>
      <w:sz w:val="20"/>
      <w:szCs w:val="20"/>
    </w:rPr>
  </w:style>
  <w:style w:type="paragraph" w:customStyle="1" w:styleId="81">
    <w:name w:val="xl39"/>
    <w:basedOn w:val="1"/>
    <w:qFormat/>
    <w:uiPriority w:val="0"/>
    <w:pPr>
      <w:widowControl/>
      <w:numPr>
        <w:ilvl w:val="2"/>
        <w:numId w:val="1"/>
      </w:numPr>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eastAsia="Arial Unicode MS"/>
      <w:b/>
      <w:bCs/>
      <w:kern w:val="0"/>
      <w:sz w:val="20"/>
      <w:szCs w:val="20"/>
    </w:rPr>
  </w:style>
  <w:style w:type="paragraph" w:customStyle="1" w:styleId="82">
    <w:name w:val="样式 标题 2 + 两端对齐"/>
    <w:basedOn w:val="3"/>
    <w:qFormat/>
    <w:uiPriority w:val="0"/>
    <w:pPr>
      <w:keepNext w:val="0"/>
      <w:keepLines w:val="0"/>
      <w:numPr>
        <w:ilvl w:val="4"/>
        <w:numId w:val="1"/>
      </w:numPr>
      <w:spacing w:before="312" w:beforeLines="100" w:after="312" w:afterLines="100" w:line="240" w:lineRule="auto"/>
    </w:pPr>
    <w:rPr>
      <w:rFonts w:ascii="Times New Roman" w:hAnsi="Times New Roman" w:eastAsia="方正北魏楷书简体" w:cs="宋体"/>
      <w:sz w:val="28"/>
      <w:szCs w:val="20"/>
    </w:rPr>
  </w:style>
  <w:style w:type="paragraph" w:customStyle="1" w:styleId="83">
    <w:name w:val="样式 标题 3 + 小四"/>
    <w:basedOn w:val="4"/>
    <w:qFormat/>
    <w:uiPriority w:val="0"/>
    <w:pPr>
      <w:numPr>
        <w:ilvl w:val="5"/>
        <w:numId w:val="1"/>
      </w:numPr>
      <w:spacing w:before="100" w:beforeLines="100" w:after="100" w:afterLines="100"/>
    </w:pPr>
    <w:rPr>
      <w:bCs/>
      <w:sz w:val="24"/>
    </w:rPr>
  </w:style>
  <w:style w:type="character" w:customStyle="1" w:styleId="84">
    <w:name w:val="text11"/>
    <w:qFormat/>
    <w:uiPriority w:val="0"/>
    <w:rPr>
      <w:sz w:val="23"/>
      <w:szCs w:val="23"/>
    </w:rPr>
  </w:style>
  <w:style w:type="character" w:customStyle="1" w:styleId="85">
    <w:name w:val="text1"/>
    <w:qFormat/>
    <w:uiPriority w:val="0"/>
    <w:rPr>
      <w:rFonts w:hint="eastAsia" w:ascii="新宋体" w:hAnsi="新宋体" w:eastAsia="新宋体"/>
      <w:sz w:val="21"/>
      <w:szCs w:val="21"/>
    </w:rPr>
  </w:style>
  <w:style w:type="paragraph" w:customStyle="1" w:styleId="86">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87">
    <w:name w:val="CM48"/>
    <w:basedOn w:val="86"/>
    <w:next w:val="86"/>
    <w:qFormat/>
    <w:uiPriority w:val="0"/>
    <w:pPr>
      <w:spacing w:after="140"/>
    </w:pPr>
    <w:rPr>
      <w:rFonts w:cs="Times New Roman"/>
      <w:color w:val="auto"/>
    </w:rPr>
  </w:style>
  <w:style w:type="paragraph" w:customStyle="1" w:styleId="88">
    <w:name w:val="附录标识"/>
    <w:basedOn w:val="1"/>
    <w:qFormat/>
    <w:uiPriority w:val="0"/>
    <w:pPr>
      <w:widowControl/>
      <w:shd w:val="clear" w:color="FFFFFF" w:fill="FFFFFF"/>
      <w:tabs>
        <w:tab w:val="left" w:pos="6405"/>
      </w:tabs>
      <w:spacing w:before="640" w:after="200"/>
      <w:jc w:val="center"/>
      <w:outlineLvl w:val="0"/>
    </w:pPr>
    <w:rPr>
      <w:rFonts w:ascii="黑体" w:eastAsia="黑体"/>
      <w:kern w:val="0"/>
      <w:szCs w:val="20"/>
    </w:rPr>
  </w:style>
  <w:style w:type="paragraph" w:customStyle="1" w:styleId="89">
    <w:name w:val="附录章标题"/>
    <w:next w:val="1"/>
    <w:qFormat/>
    <w:uiPriority w:val="0"/>
    <w:pPr>
      <w:wordWrap w:val="0"/>
      <w:overflowPunct w:val="0"/>
      <w:autoSpaceDE w:val="0"/>
      <w:spacing w:before="50" w:beforeLines="50" w:after="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0">
    <w:name w:val="附录一级条标题"/>
    <w:basedOn w:val="89"/>
    <w:next w:val="1"/>
    <w:qFormat/>
    <w:uiPriority w:val="0"/>
    <w:pPr>
      <w:autoSpaceDN w:val="0"/>
      <w:spacing w:before="0" w:beforeLines="0" w:after="0" w:afterLines="0"/>
      <w:outlineLvl w:val="2"/>
    </w:pPr>
  </w:style>
  <w:style w:type="paragraph" w:customStyle="1" w:styleId="91">
    <w:name w:val="附录二级条标题"/>
    <w:basedOn w:val="90"/>
    <w:next w:val="1"/>
    <w:qFormat/>
    <w:uiPriority w:val="0"/>
    <w:pPr>
      <w:numPr>
        <w:ilvl w:val="3"/>
        <w:numId w:val="1"/>
      </w:numPr>
      <w:outlineLvl w:val="3"/>
    </w:pPr>
  </w:style>
  <w:style w:type="paragraph" w:customStyle="1" w:styleId="92">
    <w:name w:val="附录三级条标题"/>
    <w:basedOn w:val="91"/>
    <w:next w:val="1"/>
    <w:qFormat/>
    <w:uiPriority w:val="0"/>
    <w:pPr>
      <w:numPr>
        <w:ilvl w:val="0"/>
        <w:numId w:val="0"/>
      </w:numPr>
      <w:outlineLvl w:val="4"/>
    </w:pPr>
  </w:style>
  <w:style w:type="paragraph" w:customStyle="1" w:styleId="93">
    <w:name w:val="附录四级条标题"/>
    <w:basedOn w:val="92"/>
    <w:next w:val="1"/>
    <w:qFormat/>
    <w:uiPriority w:val="0"/>
    <w:pPr>
      <w:outlineLvl w:val="5"/>
    </w:pPr>
  </w:style>
  <w:style w:type="paragraph" w:customStyle="1" w:styleId="94">
    <w:name w:val="附录五级条标题"/>
    <w:basedOn w:val="93"/>
    <w:next w:val="1"/>
    <w:qFormat/>
    <w:uiPriority w:val="0"/>
    <w:pPr>
      <w:numPr>
        <w:ilvl w:val="6"/>
        <w:numId w:val="1"/>
      </w:numPr>
      <w:outlineLvl w:val="6"/>
    </w:pPr>
  </w:style>
  <w:style w:type="paragraph" w:customStyle="1" w:styleId="95">
    <w:name w:val="Char Char2 Char"/>
    <w:basedOn w:val="1"/>
    <w:qFormat/>
    <w:uiPriority w:val="0"/>
    <w:pPr>
      <w:keepNext/>
      <w:keepLines/>
      <w:pageBreakBefore/>
      <w:tabs>
        <w:tab w:val="left" w:pos="390"/>
      </w:tabs>
      <w:ind w:left="390" w:hanging="390"/>
    </w:pPr>
    <w:rPr>
      <w:rFonts w:ascii="Tahoma" w:hAnsi="Tahoma"/>
      <w:sz w:val="24"/>
      <w:szCs w:val="20"/>
    </w:rPr>
  </w:style>
  <w:style w:type="paragraph" w:styleId="96">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7">
    <w:name w:val="图文框"/>
    <w:basedOn w:val="1"/>
    <w:qFormat/>
    <w:uiPriority w:val="0"/>
    <w:pPr>
      <w:spacing w:line="240" w:lineRule="atLeast"/>
    </w:pPr>
    <w:rPr>
      <w:szCs w:val="21"/>
    </w:rPr>
  </w:style>
  <w:style w:type="paragraph" w:customStyle="1" w:styleId="98">
    <w:name w:val="表格"/>
    <w:basedOn w:val="1"/>
    <w:qFormat/>
    <w:uiPriority w:val="0"/>
    <w:pPr>
      <w:spacing w:line="0" w:lineRule="atLeast"/>
    </w:pPr>
    <w:rPr>
      <w:rFonts w:eastAsia="仿宋_GB2312" w:cs="宋体"/>
      <w:szCs w:val="21"/>
    </w:rPr>
  </w:style>
  <w:style w:type="paragraph" w:customStyle="1" w:styleId="99">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00">
    <w:name w:val="章标题"/>
    <w:next w:val="1"/>
    <w:qFormat/>
    <w:uiPriority w:val="0"/>
    <w:pPr>
      <w:spacing w:before="50" w:beforeLines="50" w:after="50" w:afterLines="50"/>
      <w:jc w:val="both"/>
      <w:outlineLvl w:val="1"/>
    </w:pPr>
    <w:rPr>
      <w:rFonts w:ascii="黑体" w:hAnsi="Times New Roman" w:eastAsia="黑体" w:cs="Times New Roman"/>
      <w:sz w:val="21"/>
      <w:lang w:val="en-US" w:eastAsia="zh-CN" w:bidi="ar-SA"/>
    </w:rPr>
  </w:style>
  <w:style w:type="paragraph" w:customStyle="1" w:styleId="101">
    <w:name w:val="pos-nav-box1"/>
    <w:basedOn w:val="1"/>
    <w:qFormat/>
    <w:uiPriority w:val="0"/>
    <w:pPr>
      <w:widowControl/>
      <w:pBdr>
        <w:top w:val="single" w:color="CCCCCC" w:sz="6" w:space="0"/>
        <w:left w:val="single" w:color="CCCCCC" w:sz="6" w:space="8"/>
        <w:right w:val="single" w:color="CCCCCC" w:sz="6" w:space="8"/>
      </w:pBdr>
      <w:spacing w:before="100" w:beforeAutospacing="1" w:after="100" w:afterAutospacing="1" w:line="450" w:lineRule="atLeast"/>
      <w:jc w:val="left"/>
    </w:pPr>
    <w:rPr>
      <w:rFonts w:ascii="宋体" w:hAnsi="宋体" w:cs="宋体"/>
      <w:kern w:val="0"/>
      <w:sz w:val="24"/>
    </w:rPr>
  </w:style>
  <w:style w:type="character" w:customStyle="1" w:styleId="102">
    <w:name w:val="Char Char10"/>
    <w:qFormat/>
    <w:uiPriority w:val="0"/>
    <w:rPr>
      <w:rFonts w:ascii="宋体" w:hAnsi="Courier New" w:eastAsia="宋体"/>
      <w:kern w:val="2"/>
      <w:sz w:val="21"/>
      <w:lang w:val="en-US" w:eastAsia="zh-CN" w:bidi="ar-SA"/>
    </w:rPr>
  </w:style>
  <w:style w:type="character" w:customStyle="1" w:styleId="103">
    <w:name w:val="Char Char8"/>
    <w:qFormat/>
    <w:uiPriority w:val="0"/>
    <w:rPr>
      <w:rFonts w:eastAsia="宋体"/>
      <w:b/>
      <w:bCs/>
      <w:kern w:val="44"/>
      <w:sz w:val="44"/>
      <w:szCs w:val="44"/>
      <w:lang w:val="en-US" w:eastAsia="zh-CN" w:bidi="ar-SA"/>
    </w:rPr>
  </w:style>
  <w:style w:type="character" w:customStyle="1" w:styleId="104">
    <w:name w:val="Char Char1"/>
    <w:qFormat/>
    <w:uiPriority w:val="0"/>
    <w:rPr>
      <w:rFonts w:ascii="宋体" w:hAnsi="Courier New"/>
    </w:rPr>
  </w:style>
  <w:style w:type="character" w:customStyle="1" w:styleId="105">
    <w:name w:val="Char Char4"/>
    <w:qFormat/>
    <w:locked/>
    <w:uiPriority w:val="0"/>
    <w:rPr>
      <w:rFonts w:ascii="宋体" w:hAnsi="Courier New" w:eastAsia="宋体"/>
    </w:rPr>
  </w:style>
  <w:style w:type="character" w:customStyle="1" w:styleId="106">
    <w:name w:val="Char Char7"/>
    <w:qFormat/>
    <w:locked/>
    <w:uiPriority w:val="0"/>
    <w:rPr>
      <w:rFonts w:ascii="Cambria" w:hAnsi="Cambria" w:eastAsia="宋体" w:cs="Times New Roman"/>
      <w:b/>
      <w:bCs/>
      <w:sz w:val="32"/>
      <w:szCs w:val="32"/>
    </w:rPr>
  </w:style>
  <w:style w:type="character" w:customStyle="1" w:styleId="107">
    <w:name w:val="Char Char3"/>
    <w:qFormat/>
    <w:locked/>
    <w:uiPriority w:val="0"/>
    <w:rPr>
      <w:rFonts w:ascii="仿宋_GB2312" w:eastAsia="仿宋_GB2312"/>
      <w:sz w:val="24"/>
    </w:rPr>
  </w:style>
  <w:style w:type="character" w:customStyle="1" w:styleId="108">
    <w:name w:val="Char Char"/>
    <w:qFormat/>
    <w:uiPriority w:val="0"/>
    <w:rPr>
      <w:rFonts w:ascii="宋体" w:hAnsi="Courier New" w:eastAsia="宋体"/>
      <w:lang w:bidi="ar-SA"/>
    </w:rPr>
  </w:style>
  <w:style w:type="character" w:customStyle="1" w:styleId="109">
    <w:name w:val="Char Char6"/>
    <w:qFormat/>
    <w:locked/>
    <w:uiPriority w:val="0"/>
    <w:rPr>
      <w:rFonts w:eastAsia="宋体"/>
      <w:color w:val="000000"/>
      <w:sz w:val="18"/>
      <w:u w:color="000000"/>
    </w:rPr>
  </w:style>
  <w:style w:type="paragraph" w:styleId="110">
    <w:name w:val="List Paragraph"/>
    <w:basedOn w:val="1"/>
    <w:qFormat/>
    <w:uiPriority w:val="0"/>
    <w:pPr>
      <w:ind w:firstLine="420" w:firstLineChars="200"/>
    </w:pPr>
    <w:rPr>
      <w:rFonts w:ascii="Calibri" w:hAnsi="Calibri"/>
      <w:szCs w:val="22"/>
    </w:rPr>
  </w:style>
  <w:style w:type="character" w:customStyle="1" w:styleId="111">
    <w:name w:val="all hidden"/>
    <w:qFormat/>
    <w:uiPriority w:val="0"/>
  </w:style>
  <w:style w:type="paragraph" w:customStyle="1" w:styleId="112">
    <w:name w:val="p0"/>
    <w:basedOn w:val="1"/>
    <w:qFormat/>
    <w:uiPriority w:val="0"/>
    <w:pPr>
      <w:widowControl/>
    </w:pPr>
    <w:rPr>
      <w:kern w:val="0"/>
      <w:szCs w:val="21"/>
    </w:rPr>
  </w:style>
  <w:style w:type="character" w:customStyle="1" w:styleId="113">
    <w:name w:val="页脚 Char"/>
    <w:qFormat/>
    <w:locked/>
    <w:uiPriority w:val="0"/>
    <w:rPr>
      <w:rFonts w:ascii="Calibri" w:hAnsi="Calibri" w:eastAsia="宋体"/>
      <w:sz w:val="18"/>
      <w:szCs w:val="18"/>
      <w:lang w:bidi="ar-SA"/>
    </w:rPr>
  </w:style>
  <w:style w:type="paragraph" w:customStyle="1" w:styleId="114">
    <w:name w:val="TOC Heading"/>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15">
    <w:name w:val="Char Char Char Char Char Char Char Char Char Char Char Char Char Char"/>
    <w:qFormat/>
    <w:uiPriority w:val="0"/>
    <w:pPr>
      <w:widowControl w:val="0"/>
      <w:spacing w:line="480" w:lineRule="auto"/>
      <w:ind w:firstLine="200" w:firstLineChars="200"/>
      <w:jc w:val="both"/>
    </w:pPr>
    <w:rPr>
      <w:rFonts w:ascii="Times New Roman" w:hAnsi="Times New Roman" w:eastAsia="仿宋_GB2312" w:cs="Times New Roman"/>
      <w:kern w:val="2"/>
      <w:sz w:val="24"/>
      <w:szCs w:val="24"/>
      <w:lang w:val="en-US" w:eastAsia="zh-CN" w:bidi="ar-SA"/>
    </w:rPr>
  </w:style>
  <w:style w:type="paragraph" w:customStyle="1" w:styleId="116">
    <w:name w:val="List Paragraph_0"/>
    <w:basedOn w:val="1"/>
    <w:qFormat/>
    <w:uiPriority w:val="0"/>
    <w:pPr>
      <w:ind w:firstLine="420" w:firstLineChars="200"/>
    </w:pPr>
    <w:rPr>
      <w:rFonts w:ascii="Calibri" w:hAnsi="Calibri" w:cs="Calibri"/>
      <w:szCs w:val="21"/>
    </w:rPr>
  </w:style>
  <w:style w:type="paragraph" w:customStyle="1" w:styleId="117">
    <w:name w:val="Char Char Char Char1"/>
    <w:basedOn w:val="1"/>
    <w:qFormat/>
    <w:uiPriority w:val="0"/>
    <w:pPr>
      <w:spacing w:line="360" w:lineRule="auto"/>
    </w:pPr>
    <w:rPr>
      <w:rFonts w:ascii="宋体" w:hAnsi="宋体"/>
      <w:sz w:val="24"/>
      <w:szCs w:val="20"/>
    </w:rPr>
  </w:style>
  <w:style w:type="character" w:customStyle="1" w:styleId="118">
    <w:name w:val="Comment Text Char"/>
    <w:semiHidden/>
    <w:qFormat/>
    <w:locked/>
    <w:uiPriority w:val="0"/>
    <w:rPr>
      <w:rFonts w:ascii="Calibri" w:hAnsi="Calibri" w:eastAsia="宋体" w:cs="Calibri"/>
      <w:kern w:val="2"/>
      <w:sz w:val="21"/>
      <w:szCs w:val="21"/>
      <w:lang w:val="en-US" w:eastAsia="zh-CN" w:bidi="ar-SA"/>
    </w:rPr>
  </w:style>
  <w:style w:type="character" w:customStyle="1" w:styleId="119">
    <w:name w:val="hei141"/>
    <w:qFormat/>
    <w:uiPriority w:val="0"/>
    <w:rPr>
      <w:rFonts w:ascii="宋体" w:hAnsi="宋体" w:eastAsia="宋体" w:cs="宋体"/>
      <w:color w:val="000000"/>
      <w:sz w:val="19"/>
      <w:szCs w:val="19"/>
      <w:u w:val="none"/>
    </w:rPr>
  </w:style>
  <w:style w:type="paragraph" w:customStyle="1" w:styleId="120">
    <w:name w:val="p15"/>
    <w:basedOn w:val="1"/>
    <w:qFormat/>
    <w:uiPriority w:val="0"/>
    <w:pPr>
      <w:widowControl/>
    </w:pPr>
    <w:rPr>
      <w:rFonts w:ascii="宋体" w:hAnsi="宋体" w:cs="宋体"/>
      <w:kern w:val="0"/>
      <w:szCs w:val="21"/>
    </w:rPr>
  </w:style>
  <w:style w:type="paragraph" w:customStyle="1" w:styleId="121">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22">
    <w:name w:val="xl6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23">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24">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25">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26">
    <w:name w:val="xl6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27">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28">
    <w:name w:val="xl70"/>
    <w:basedOn w:val="1"/>
    <w:qFormat/>
    <w:uiPriority w:val="0"/>
    <w:pPr>
      <w:widowControl/>
      <w:shd w:val="clear" w:color="000000" w:fill="FFFFFF"/>
      <w:spacing w:before="100" w:beforeAutospacing="1" w:after="100" w:afterAutospacing="1"/>
      <w:jc w:val="center"/>
    </w:pPr>
    <w:rPr>
      <w:rFonts w:ascii="宋体" w:hAnsi="宋体" w:cs="宋体"/>
      <w:kern w:val="0"/>
      <w:sz w:val="24"/>
    </w:rPr>
  </w:style>
  <w:style w:type="paragraph" w:customStyle="1" w:styleId="129">
    <w:name w:val="xl71"/>
    <w:basedOn w:val="1"/>
    <w:qFormat/>
    <w:uiPriority w:val="0"/>
    <w:pPr>
      <w:widowControl/>
      <w:shd w:val="clear" w:color="000000" w:fill="FFFFFF"/>
      <w:spacing w:before="100" w:beforeAutospacing="1" w:after="100" w:afterAutospacing="1"/>
      <w:jc w:val="center"/>
    </w:pPr>
    <w:rPr>
      <w:rFonts w:ascii="宋体" w:hAnsi="宋体" w:cs="宋体"/>
      <w:kern w:val="0"/>
      <w:sz w:val="24"/>
    </w:rPr>
  </w:style>
  <w:style w:type="paragraph" w:customStyle="1" w:styleId="130">
    <w:name w:val="xl72"/>
    <w:basedOn w:val="1"/>
    <w:qFormat/>
    <w:uiPriority w:val="0"/>
    <w:pPr>
      <w:widowControl/>
      <w:shd w:val="clear" w:color="000000" w:fill="FFFF00"/>
      <w:spacing w:before="100" w:beforeAutospacing="1" w:after="100" w:afterAutospacing="1"/>
      <w:jc w:val="center"/>
    </w:pPr>
    <w:rPr>
      <w:rFonts w:ascii="宋体" w:hAnsi="宋体" w:cs="宋体"/>
      <w:kern w:val="0"/>
      <w:sz w:val="24"/>
    </w:rPr>
  </w:style>
  <w:style w:type="paragraph" w:customStyle="1" w:styleId="131">
    <w:name w:val="xl73"/>
    <w:basedOn w:val="1"/>
    <w:qFormat/>
    <w:uiPriority w:val="0"/>
    <w:pPr>
      <w:widowControl/>
      <w:shd w:val="clear" w:color="000000" w:fill="FFFF00"/>
      <w:spacing w:before="100" w:beforeAutospacing="1" w:after="100" w:afterAutospacing="1"/>
      <w:jc w:val="center"/>
    </w:pPr>
    <w:rPr>
      <w:rFonts w:ascii="宋体" w:hAnsi="宋体" w:cs="宋体"/>
      <w:kern w:val="0"/>
      <w:sz w:val="24"/>
    </w:rPr>
  </w:style>
  <w:style w:type="paragraph" w:customStyle="1" w:styleId="132">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33">
    <w:name w:val="xl7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34">
    <w:name w:val="xl7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35">
    <w:name w:val="xl7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36">
    <w:name w:val="xl7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kern w:val="0"/>
      <w:sz w:val="24"/>
    </w:rPr>
  </w:style>
  <w:style w:type="paragraph" w:customStyle="1" w:styleId="137">
    <w:name w:val="xl79"/>
    <w:basedOn w:val="1"/>
    <w:qFormat/>
    <w:uiPriority w:val="0"/>
    <w:pPr>
      <w:widowControl/>
      <w:pBdr>
        <w:top w:val="single" w:color="auto" w:sz="4" w:space="0"/>
        <w:bottom w:val="single" w:color="auto" w:sz="4" w:space="0"/>
      </w:pBdr>
      <w:spacing w:before="100" w:beforeAutospacing="1" w:after="100" w:afterAutospacing="1"/>
      <w:jc w:val="left"/>
    </w:pPr>
    <w:rPr>
      <w:rFonts w:ascii="仿宋" w:hAnsi="仿宋" w:eastAsia="仿宋" w:cs="宋体"/>
      <w:kern w:val="0"/>
      <w:sz w:val="24"/>
    </w:rPr>
  </w:style>
  <w:style w:type="paragraph" w:customStyle="1" w:styleId="138">
    <w:name w:val="xl8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kern w:val="0"/>
      <w:sz w:val="24"/>
    </w:rPr>
  </w:style>
  <w:style w:type="paragraph" w:customStyle="1" w:styleId="139">
    <w:name w:val="xl8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kern w:val="0"/>
      <w:sz w:val="24"/>
    </w:rPr>
  </w:style>
  <w:style w:type="paragraph" w:customStyle="1" w:styleId="140">
    <w:name w:val="xl8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kern w:val="0"/>
      <w:sz w:val="24"/>
    </w:rPr>
  </w:style>
  <w:style w:type="paragraph" w:customStyle="1" w:styleId="141">
    <w:name w:val="xl8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kern w:val="0"/>
      <w:sz w:val="24"/>
    </w:rPr>
  </w:style>
  <w:style w:type="paragraph" w:customStyle="1" w:styleId="142">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kern w:val="0"/>
      <w:sz w:val="24"/>
    </w:rPr>
  </w:style>
  <w:style w:type="paragraph" w:customStyle="1" w:styleId="143">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kern w:val="0"/>
      <w:sz w:val="24"/>
    </w:rPr>
  </w:style>
  <w:style w:type="paragraph" w:customStyle="1" w:styleId="144">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kern w:val="0"/>
      <w:sz w:val="24"/>
    </w:rPr>
  </w:style>
  <w:style w:type="paragraph" w:customStyle="1" w:styleId="145">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kern w:val="0"/>
      <w:sz w:val="24"/>
    </w:rPr>
  </w:style>
  <w:style w:type="paragraph" w:customStyle="1" w:styleId="146">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kern w:val="0"/>
      <w:sz w:val="24"/>
    </w:rPr>
  </w:style>
  <w:style w:type="paragraph" w:customStyle="1" w:styleId="147">
    <w:name w:val="xl89"/>
    <w:basedOn w:val="1"/>
    <w:qFormat/>
    <w:uiPriority w:val="0"/>
    <w:pPr>
      <w:widowControl/>
      <w:spacing w:before="100" w:beforeAutospacing="1" w:after="100" w:afterAutospacing="1"/>
      <w:jc w:val="center"/>
    </w:pPr>
    <w:rPr>
      <w:rFonts w:ascii="仿宋" w:hAnsi="仿宋" w:eastAsia="仿宋" w:cs="宋体"/>
      <w:kern w:val="0"/>
      <w:sz w:val="24"/>
    </w:rPr>
  </w:style>
  <w:style w:type="paragraph" w:customStyle="1" w:styleId="148">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kern w:val="0"/>
      <w:sz w:val="24"/>
    </w:rPr>
  </w:style>
  <w:style w:type="paragraph" w:customStyle="1" w:styleId="149">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24"/>
    </w:rPr>
  </w:style>
  <w:style w:type="paragraph" w:customStyle="1" w:styleId="150">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24"/>
    </w:rPr>
  </w:style>
  <w:style w:type="paragraph" w:customStyle="1" w:styleId="151">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24"/>
    </w:rPr>
  </w:style>
  <w:style w:type="paragraph" w:customStyle="1" w:styleId="152">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kern w:val="0"/>
      <w:sz w:val="24"/>
    </w:rPr>
  </w:style>
  <w:style w:type="paragraph" w:customStyle="1" w:styleId="153">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kern w:val="0"/>
      <w:sz w:val="24"/>
    </w:rPr>
  </w:style>
  <w:style w:type="paragraph" w:customStyle="1" w:styleId="154">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kern w:val="0"/>
      <w:sz w:val="24"/>
    </w:rPr>
  </w:style>
  <w:style w:type="paragraph" w:customStyle="1" w:styleId="155">
    <w:name w:val="xl9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kern w:val="0"/>
      <w:sz w:val="24"/>
    </w:rPr>
  </w:style>
  <w:style w:type="paragraph" w:customStyle="1" w:styleId="156">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kern w:val="0"/>
      <w:sz w:val="24"/>
    </w:rPr>
  </w:style>
  <w:style w:type="paragraph" w:customStyle="1" w:styleId="157">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kern w:val="0"/>
      <w:sz w:val="24"/>
    </w:rPr>
  </w:style>
  <w:style w:type="paragraph" w:customStyle="1" w:styleId="158">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kern w:val="0"/>
      <w:sz w:val="24"/>
    </w:rPr>
  </w:style>
  <w:style w:type="paragraph" w:customStyle="1" w:styleId="159">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kern w:val="0"/>
      <w:sz w:val="24"/>
    </w:rPr>
  </w:style>
  <w:style w:type="paragraph" w:customStyle="1" w:styleId="160">
    <w:name w:val="xl10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kern w:val="0"/>
      <w:sz w:val="24"/>
    </w:rPr>
  </w:style>
  <w:style w:type="paragraph" w:customStyle="1" w:styleId="161">
    <w:name w:val="xl103"/>
    <w:basedOn w:val="1"/>
    <w:qFormat/>
    <w:uiPriority w:val="0"/>
    <w:pPr>
      <w:widowControl/>
      <w:spacing w:before="100" w:beforeAutospacing="1" w:after="100" w:afterAutospacing="1"/>
      <w:jc w:val="center"/>
    </w:pPr>
    <w:rPr>
      <w:rFonts w:ascii="仿宋" w:hAnsi="仿宋" w:eastAsia="仿宋" w:cs="宋体"/>
      <w:kern w:val="0"/>
      <w:sz w:val="24"/>
    </w:rPr>
  </w:style>
  <w:style w:type="character" w:customStyle="1" w:styleId="162">
    <w:name w:val="Plain Text Char"/>
    <w:semiHidden/>
    <w:qFormat/>
    <w:locked/>
    <w:uiPriority w:val="0"/>
    <w:rPr>
      <w:rFonts w:ascii="宋体" w:hAnsi="Courier New" w:eastAsia="宋体" w:cs="宋体"/>
      <w:lang w:val="en-US" w:eastAsia="zh-CN" w:bidi="ar-SA"/>
    </w:rPr>
  </w:style>
  <w:style w:type="character" w:customStyle="1" w:styleId="163">
    <w:name w:val="Footer Char1"/>
    <w:qFormat/>
    <w:locked/>
    <w:uiPriority w:val="0"/>
    <w:rPr>
      <w:rFonts w:ascii="Calibri" w:hAnsi="Calibri" w:eastAsia="宋体" w:cs="Calibri"/>
      <w:kern w:val="2"/>
      <w:sz w:val="18"/>
      <w:szCs w:val="18"/>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微软中国</Company>
  <Pages>30</Pages>
  <Words>6704</Words>
  <Characters>1989</Characters>
  <Lines>16</Lines>
  <Paragraphs>17</Paragraphs>
  <TotalTime>23</TotalTime>
  <ScaleCrop>false</ScaleCrop>
  <LinksUpToDate>false</LinksUpToDate>
  <CharactersWithSpaces>8676</CharactersWithSpaces>
  <Application>WPS Office_11.8.2.11880_F1E327BC-269C-435d-A152-05C5408002CA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2023-11-01T01:26:00Z</dcterms:created>
  <dc:creator>王丽</dc:creator>
  <cp:lastModifiedBy>魏博磊</cp:lastModifiedBy>
  <cp:lastPrinted>2023-11-01T01:01:00Z</cp:lastPrinted>
  <dcterms:modified xsi:type="dcterms:W3CDTF">2023-10-31T15:29:18Z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7716FCAA69615AEFCEAC4065BBD0A050</vt:lpwstr>
  </property>
  <property fmtid="{D5CDD505-2E9C-101B-9397-08002B2CF9AE}" pid="3" name="KSOProductBuildVer">
    <vt:lpwstr>2052-11.8.2.11880</vt:lpwstr>
  </property>
</Properties>
</file>