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kinsoku/>
        <w:wordWrap/>
        <w:overflowPunct/>
        <w:topLinePunct w:val="0"/>
        <w:autoSpaceDE/>
        <w:autoSpaceDN/>
        <w:bidi w:val="0"/>
        <w:adjustRightInd w:val="0"/>
        <w:snapToGrid w:val="0"/>
        <w:spacing w:line="560" w:lineRule="exact"/>
        <w:jc w:val="center"/>
        <w:textAlignment w:val="auto"/>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lang w:val="en-US" w:eastAsia="zh-CN"/>
        </w:rPr>
        <w:t>2</w:t>
      </w:r>
      <w:r>
        <w:rPr>
          <w:rFonts w:hint="eastAsia" w:ascii="方正小标宋简体" w:hAnsi="方正小标宋简体" w:eastAsia="方正小标宋简体" w:cs="方正小标宋简体"/>
          <w:color w:val="auto"/>
          <w:sz w:val="44"/>
          <w:szCs w:val="44"/>
          <w:highlight w:val="none"/>
        </w:rPr>
        <w:t>022年度</w:t>
      </w:r>
      <w:r>
        <w:rPr>
          <w:rFonts w:hint="eastAsia" w:ascii="方正小标宋简体" w:hAnsi="方正小标宋简体" w:eastAsia="方正小标宋简体" w:cs="方正小标宋简体"/>
          <w:color w:val="auto"/>
          <w:sz w:val="44"/>
          <w:szCs w:val="44"/>
          <w:highlight w:val="none"/>
          <w:lang w:val="en-US" w:eastAsia="zh-CN"/>
        </w:rPr>
        <w:t>省级</w:t>
      </w:r>
      <w:r>
        <w:rPr>
          <w:rFonts w:hint="eastAsia" w:ascii="方正小标宋简体" w:hAnsi="方正小标宋简体" w:eastAsia="方正小标宋简体" w:cs="方正小标宋简体"/>
          <w:color w:val="auto"/>
          <w:sz w:val="44"/>
          <w:szCs w:val="44"/>
          <w:highlight w:val="none"/>
        </w:rPr>
        <w:t>少数民族工作专项资金</w:t>
      </w:r>
    </w:p>
    <w:p>
      <w:pPr>
        <w:pStyle w:val="3"/>
        <w:pageBreakBefore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绩效自评报告</w:t>
      </w:r>
    </w:p>
    <w:p>
      <w:pPr>
        <w:pageBreakBefore w:val="0"/>
        <w:kinsoku/>
        <w:wordWrap/>
        <w:overflowPunct/>
        <w:topLinePunct w:val="0"/>
        <w:autoSpaceDE/>
        <w:autoSpaceDN/>
        <w:bidi w:val="0"/>
        <w:spacing w:line="560" w:lineRule="exact"/>
        <w:jc w:val="left"/>
        <w:textAlignment w:val="auto"/>
      </w:pPr>
    </w:p>
    <w:p>
      <w:pPr>
        <w:pageBreakBefore w:val="0"/>
        <w:kinsoku/>
        <w:wordWrap/>
        <w:overflowPunct/>
        <w:topLinePunct w:val="0"/>
        <w:autoSpaceDE/>
        <w:autoSpaceDN/>
        <w:bidi w:val="0"/>
        <w:spacing w:line="560" w:lineRule="exact"/>
        <w:ind w:firstLine="640" w:firstLineChars="200"/>
        <w:textAlignment w:val="auto"/>
        <w:rPr>
          <w:rFonts w:ascii="Times New Roman" w:hAnsi="Times New Roman" w:eastAsia="方正仿宋_GB2312" w:cs="Times New Roman"/>
          <w:color w:val="auto"/>
          <w:kern w:val="0"/>
          <w:sz w:val="32"/>
          <w:szCs w:val="32"/>
          <w:highlight w:val="none"/>
        </w:rPr>
      </w:pPr>
      <w:r>
        <w:rPr>
          <w:rFonts w:hint="eastAsia" w:ascii="Times New Roman" w:hAnsi="Times New Roman" w:eastAsia="方正仿宋_GB2312" w:cs="Times New Roman"/>
          <w:color w:val="auto"/>
          <w:kern w:val="0"/>
          <w:sz w:val="32"/>
          <w:szCs w:val="32"/>
          <w:highlight w:val="none"/>
        </w:rPr>
        <w:t>为贯彻落实中央和省委省政府关于全面实施预算绩效管理的决策部署，强化绩效意识和支出责任，切实提高财政资金使用效益，根据</w:t>
      </w:r>
      <w:r>
        <w:rPr>
          <w:rFonts w:hint="eastAsia" w:ascii="Times New Roman" w:hAnsi="Times New Roman" w:eastAsia="方正仿宋_GB2312" w:cs="Times New Roman"/>
          <w:color w:val="auto"/>
          <w:kern w:val="0"/>
          <w:sz w:val="32"/>
          <w:szCs w:val="32"/>
          <w:highlight w:val="none"/>
          <w:lang w:val="en-US" w:eastAsia="zh-CN"/>
        </w:rPr>
        <w:t>中央及省相关要求</w:t>
      </w:r>
      <w:r>
        <w:rPr>
          <w:rFonts w:hint="eastAsia" w:ascii="Times New Roman" w:hAnsi="Times New Roman" w:eastAsia="方正仿宋_GB2312" w:cs="Times New Roman"/>
          <w:color w:val="auto"/>
          <w:kern w:val="0"/>
          <w:sz w:val="32"/>
          <w:szCs w:val="32"/>
          <w:highlight w:val="none"/>
        </w:rPr>
        <w:t>，我委对2022年少数民族工作专项资金进行了绩效自评，现将绩效自评情况汇报如下：</w:t>
      </w:r>
    </w:p>
    <w:p>
      <w:pPr>
        <w:pageBreakBefore w:val="0"/>
        <w:kinsoku/>
        <w:wordWrap/>
        <w:overflowPunct/>
        <w:topLinePunct w:val="0"/>
        <w:autoSpaceDE/>
        <w:autoSpaceDN/>
        <w:bidi w:val="0"/>
        <w:adjustRightInd w:val="0"/>
        <w:snapToGrid w:val="0"/>
        <w:spacing w:line="560" w:lineRule="exact"/>
        <w:ind w:firstLine="640" w:firstLineChars="200"/>
        <w:textAlignment w:val="auto"/>
        <w:rPr>
          <w:rFonts w:eastAsia="黑体"/>
          <w:color w:val="auto"/>
          <w:sz w:val="32"/>
          <w:szCs w:val="32"/>
          <w:highlight w:val="none"/>
        </w:rPr>
      </w:pPr>
      <w:r>
        <w:rPr>
          <w:rFonts w:eastAsia="黑体"/>
          <w:color w:val="auto"/>
          <w:sz w:val="32"/>
          <w:szCs w:val="32"/>
          <w:highlight w:val="none"/>
        </w:rPr>
        <w:t>一、专项基本情况</w:t>
      </w:r>
    </w:p>
    <w:p>
      <w:pPr>
        <w:pageBreakBefore w:val="0"/>
        <w:kinsoku/>
        <w:wordWrap/>
        <w:overflowPunct/>
        <w:topLinePunct w:val="0"/>
        <w:autoSpaceDE/>
        <w:autoSpaceDN/>
        <w:bidi w:val="0"/>
        <w:spacing w:line="560" w:lineRule="exact"/>
        <w:ind w:firstLine="643" w:firstLineChars="200"/>
        <w:textAlignment w:val="auto"/>
        <w:outlineLvl w:val="1"/>
        <w:rPr>
          <w:rFonts w:eastAsia="方正楷体_GB2312"/>
          <w:b/>
          <w:bCs/>
          <w:color w:val="auto"/>
          <w:sz w:val="32"/>
          <w:highlight w:val="none"/>
        </w:rPr>
      </w:pPr>
      <w:r>
        <w:rPr>
          <w:rFonts w:eastAsia="方正楷体_GB2312"/>
          <w:b/>
          <w:bCs/>
          <w:color w:val="auto"/>
          <w:sz w:val="32"/>
          <w:highlight w:val="none"/>
        </w:rPr>
        <w:t>（一）专项</w:t>
      </w:r>
      <w:r>
        <w:rPr>
          <w:rFonts w:hint="eastAsia" w:eastAsia="方正楷体_GB2312"/>
          <w:b/>
          <w:bCs/>
          <w:color w:val="auto"/>
          <w:sz w:val="32"/>
          <w:highlight w:val="none"/>
          <w:lang w:val="en-US" w:eastAsia="zh-CN"/>
        </w:rPr>
        <w:t>政策</w:t>
      </w:r>
      <w:r>
        <w:rPr>
          <w:rFonts w:hint="eastAsia" w:eastAsia="方正楷体_GB2312"/>
          <w:b/>
          <w:bCs/>
          <w:color w:val="auto"/>
          <w:sz w:val="32"/>
          <w:highlight w:val="none"/>
        </w:rPr>
        <w:t>背景</w:t>
      </w:r>
      <w:r>
        <w:rPr>
          <w:rFonts w:eastAsia="方正楷体_GB2312"/>
          <w:b/>
          <w:bCs/>
          <w:color w:val="auto"/>
          <w:sz w:val="32"/>
          <w:highlight w:val="none"/>
        </w:rPr>
        <w:t>概况</w:t>
      </w:r>
    </w:p>
    <w:p>
      <w:pPr>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方正仿宋_GB2312" w:cs="Times New Roman"/>
          <w:color w:val="auto"/>
          <w:kern w:val="0"/>
          <w:sz w:val="32"/>
          <w:szCs w:val="32"/>
          <w:highlight w:val="none"/>
        </w:rPr>
      </w:pPr>
      <w:r>
        <w:rPr>
          <w:rFonts w:hint="eastAsia" w:ascii="Times New Roman" w:hAnsi="Times New Roman" w:eastAsia="方正仿宋_GB2312" w:cs="Times New Roman"/>
          <w:color w:val="auto"/>
          <w:kern w:val="0"/>
          <w:sz w:val="32"/>
          <w:szCs w:val="32"/>
          <w:highlight w:val="none"/>
        </w:rPr>
        <w:t>在省委省政府的关心指导、省财政厅大力支持下，省级少数民族工作专项资金由散居少数民族发展资金、少数民族文化专项资金、民族工作专项补助经费、民族团结进步创建活动专项资金等四块资金整合于2017年合并设立，目前的资金总量是3013万元。该专项资金由我委相关处室提前做好项目库储备，委办公室协调汇总，按照“相对集中、动态调整、突出重点、绩效导向”的原则，资金分配方案经党组研究后报省财政厅审核并下达资金。</w:t>
      </w:r>
    </w:p>
    <w:p>
      <w:pPr>
        <w:pageBreakBefore w:val="0"/>
        <w:kinsoku/>
        <w:wordWrap/>
        <w:overflowPunct/>
        <w:topLinePunct w:val="0"/>
        <w:autoSpaceDE/>
        <w:autoSpaceDN/>
        <w:bidi w:val="0"/>
        <w:spacing w:line="560" w:lineRule="exact"/>
        <w:ind w:firstLine="643" w:firstLineChars="200"/>
        <w:textAlignment w:val="auto"/>
        <w:outlineLvl w:val="1"/>
        <w:rPr>
          <w:rFonts w:ascii="微软雅黑" w:hAnsi="微软雅黑" w:eastAsia="微软雅黑" w:cs="微软雅黑"/>
          <w:color w:val="auto"/>
          <w:highlight w:val="none"/>
        </w:rPr>
      </w:pPr>
      <w:r>
        <w:rPr>
          <w:rFonts w:hint="eastAsia" w:eastAsia="方正楷体_GB2312"/>
          <w:b/>
          <w:bCs/>
          <w:color w:val="auto"/>
          <w:sz w:val="32"/>
          <w:highlight w:val="none"/>
        </w:rPr>
        <w:t>（二）专项资金和绩效目标的设定及完成情况</w:t>
      </w:r>
    </w:p>
    <w:p>
      <w:pPr>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方正仿宋_GB2312" w:cs="Times New Roman"/>
          <w:color w:val="auto"/>
          <w:kern w:val="0"/>
          <w:sz w:val="32"/>
          <w:szCs w:val="32"/>
          <w:highlight w:val="none"/>
        </w:rPr>
      </w:pPr>
      <w:r>
        <w:rPr>
          <w:rFonts w:hint="eastAsia" w:ascii="Times New Roman" w:hAnsi="Times New Roman" w:eastAsia="方正仿宋_GB2312" w:cs="Times New Roman"/>
          <w:color w:val="auto"/>
          <w:kern w:val="0"/>
          <w:sz w:val="32"/>
          <w:szCs w:val="32"/>
          <w:highlight w:val="none"/>
        </w:rPr>
        <w:t>1.专项资金及绩效目标设定总体情况</w:t>
      </w:r>
    </w:p>
    <w:p>
      <w:pPr>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方正仿宋_GB2312" w:cs="Times New Roman"/>
          <w:color w:val="auto"/>
          <w:kern w:val="0"/>
          <w:sz w:val="32"/>
          <w:szCs w:val="32"/>
          <w:highlight w:val="none"/>
        </w:rPr>
      </w:pPr>
      <w:r>
        <w:rPr>
          <w:rFonts w:hint="eastAsia" w:ascii="Times New Roman" w:hAnsi="Times New Roman" w:eastAsia="方正仿宋_GB2312" w:cs="Times New Roman"/>
          <w:color w:val="auto"/>
          <w:kern w:val="0"/>
          <w:sz w:val="32"/>
          <w:szCs w:val="32"/>
          <w:highlight w:val="none"/>
        </w:rPr>
        <w:t xml:space="preserve"> 2022年少数民族工作专项资金绩效目标是依据我委职能职责及国家民委和我委2022年工作要点设定的，目标设定的依据充分。绩效目标明确、清晰，与我委的职能职责、事业发展规划密切相关：一是支持9个民族乡逢十庆典，支持84个民族乡经济社会和事业发展，支持14个民族乡民族特色村寨（结合乡村振兴），支持5个少数民族人口较多乡镇经济社会和事业发展、民族特色村寨（结合乡村振兴）和基础设施、产业发展等民生项目建设；二是举办第十届全省民族传统体育运动会；三是铸牢中华民族共同体意识教育示范学校，民族优秀文化进校园；四是支持民族文化传承示范基地建设；五是支持开展少数民族文化传承保护、节庆活动、设施建设；六是支持少数民族传统体育基地建设，参加全国性民族体育单项赛事、举办民族传统体育赛事活动及培训，支持市县举办民族运动会；七是举办第八届“建设伟大祖国建设美丽家乡”演讲比赛；八是支持民族工作机构顺利开展工作；九是鼓励各地民族工作机构积极承办和配合国家民委和我委开展重要专项工作或重大活动；十是促进各民族群众开展联谊交友，在交往交流交融中铸牢中华民族共同体意识；十一是继续开展民族团结进步创建工作，创立全国和全省各类不同类型示范区（单位），加大对重点支持的民族团结进步示范区（单位）的指导力度，开展民族团结进步创建工作互观互检活动，组织开展民族团结进步宣传月活动，妥处涉及民族因素的矛盾纠纷，为平安湖南建设、铸牢中华民族共同体意识作出贡献。</w:t>
      </w:r>
    </w:p>
    <w:p>
      <w:pPr>
        <w:pageBreakBefore w:val="0"/>
        <w:numPr>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方正仿宋_GB2312" w:cs="Times New Roman"/>
          <w:color w:val="auto"/>
          <w:kern w:val="0"/>
          <w:sz w:val="32"/>
          <w:szCs w:val="32"/>
          <w:highlight w:val="none"/>
        </w:rPr>
      </w:pPr>
      <w:r>
        <w:rPr>
          <w:rFonts w:hint="eastAsia" w:ascii="Times New Roman" w:hAnsi="Times New Roman" w:eastAsia="方正仿宋_GB2312" w:cs="Times New Roman"/>
          <w:color w:val="auto"/>
          <w:kern w:val="0"/>
          <w:sz w:val="32"/>
          <w:szCs w:val="32"/>
          <w:highlight w:val="none"/>
          <w:lang w:val="en-US" w:eastAsia="zh-CN"/>
        </w:rPr>
        <w:t>2.</w:t>
      </w:r>
      <w:r>
        <w:rPr>
          <w:rFonts w:hint="eastAsia" w:ascii="Times New Roman" w:hAnsi="Times New Roman" w:eastAsia="方正仿宋_GB2312" w:cs="Times New Roman"/>
          <w:color w:val="auto"/>
          <w:kern w:val="0"/>
          <w:sz w:val="32"/>
          <w:szCs w:val="32"/>
          <w:highlight w:val="none"/>
        </w:rPr>
        <w:t>专项资金各支出方向绩效目标</w:t>
      </w:r>
    </w:p>
    <w:p>
      <w:pPr>
        <w:pageBreakBefore w:val="0"/>
        <w:numPr>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方正仿宋_GB2312" w:cs="Times New Roman"/>
          <w:color w:val="auto"/>
          <w:kern w:val="0"/>
          <w:sz w:val="32"/>
          <w:szCs w:val="32"/>
          <w:highlight w:val="none"/>
        </w:rPr>
      </w:pPr>
      <w:r>
        <w:rPr>
          <w:rFonts w:hint="eastAsia" w:ascii="Times New Roman" w:hAnsi="Times New Roman" w:eastAsia="方正仿宋_GB2312" w:cs="Times New Roman"/>
          <w:color w:val="auto"/>
          <w:kern w:val="0"/>
          <w:sz w:val="32"/>
          <w:szCs w:val="32"/>
          <w:highlight w:val="none"/>
        </w:rPr>
        <w:t>（1）少数民族文化事业发展项目支出方向绩效目标：加强民族文化传承示范、民族体育训练基地建设，支持民族文化传承保护、民族文化进校园和节庆活动，支持民族古籍整理出版和音像制作，支持民族文化宣传交流和民族文化重点课题研究，繁荣发展我省少数民族文化事业。其中，2022年度目标为：举办第十届全省民族传统体育运动会；铸牢中华民族共同体意识教育示范学校，民族优秀文化进校园；支持民族文化传承示范基地建设；支持开展少数民族文化传承保护、节庆活动、设施建设；支持少数民族传统体育基地建设，参加全国性民族体育单项赛事、举办民族传统体育赛事活动及培训，支持市县举办民族运动会；举办第八届“建设伟大祖国  建设美丽家乡”演讲比赛。</w:t>
      </w:r>
    </w:p>
    <w:p>
      <w:pPr>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方正仿宋_GB2312" w:cs="Times New Roman"/>
          <w:color w:val="auto"/>
          <w:kern w:val="0"/>
          <w:sz w:val="32"/>
          <w:szCs w:val="32"/>
          <w:highlight w:val="none"/>
        </w:rPr>
      </w:pPr>
      <w:r>
        <w:rPr>
          <w:rFonts w:hint="eastAsia" w:ascii="Times New Roman" w:hAnsi="Times New Roman" w:eastAsia="方正仿宋_GB2312" w:cs="Times New Roman"/>
          <w:color w:val="auto"/>
          <w:kern w:val="0"/>
          <w:sz w:val="32"/>
          <w:szCs w:val="32"/>
          <w:highlight w:val="none"/>
        </w:rPr>
        <w:t>（2）民族团结进步创建支出方向绩效目标：宣传党和国家民族政策，全面开展民族团结进步创建工作，化解各种民族矛盾，促进民族团结，为全省经济发展和社会和谐文明进步做出贡献。其中2022年目标为：继续开展民族团结进步创建工作，创立全国和全省各类不同类型示范区（单位），加大对重点支持的民族团结进步示范区（单位）的指导力度，开展民族团结进步创建工作互观互检活动,组织开展民族团结进步宣传月活动，妥处涉及民族因素的矛盾纠纷，为平安湖南建设、铸牢中华民族共同体意识作出贡献。</w:t>
      </w:r>
    </w:p>
    <w:p>
      <w:pPr>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方正仿宋_GB2312" w:cs="Times New Roman"/>
          <w:color w:val="auto"/>
          <w:kern w:val="0"/>
          <w:sz w:val="32"/>
          <w:szCs w:val="32"/>
          <w:highlight w:val="none"/>
        </w:rPr>
      </w:pPr>
      <w:r>
        <w:rPr>
          <w:rFonts w:hint="eastAsia" w:ascii="Times New Roman" w:hAnsi="Times New Roman" w:eastAsia="方正仿宋_GB2312" w:cs="Times New Roman"/>
          <w:color w:val="auto"/>
          <w:kern w:val="0"/>
          <w:sz w:val="32"/>
          <w:szCs w:val="32"/>
          <w:highlight w:val="none"/>
        </w:rPr>
        <w:t>（3）散居少数民族发展支出方向绩效目标：支持民族乡逢十乡庆和民族特色村寨建设，改善民族乡和少数民族人口较多乡镇群众生产生活条件，促进民族乡经济社会发展、民族团结和谐稳定。其中2022年度目标为：支持9个民族乡逢十庆典，支持84个民族乡经济社会和事业发展，支持14个民族乡民族特色村寨（结合乡村振兴），支持5个少数民族人口较多乡镇经济社会和事业发展、民族特色村寨（结合乡村振兴）和基础设施、产业发展等民生项目建设。</w:t>
      </w:r>
    </w:p>
    <w:p>
      <w:pPr>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方正仿宋_GB2312" w:cs="Times New Roman"/>
          <w:color w:val="auto"/>
          <w:kern w:val="0"/>
          <w:sz w:val="32"/>
          <w:szCs w:val="32"/>
          <w:highlight w:val="none"/>
        </w:rPr>
      </w:pPr>
      <w:r>
        <w:rPr>
          <w:rFonts w:hint="eastAsia" w:ascii="Times New Roman" w:hAnsi="Times New Roman" w:eastAsia="方正仿宋_GB2312" w:cs="Times New Roman"/>
          <w:color w:val="auto"/>
          <w:kern w:val="0"/>
          <w:sz w:val="32"/>
          <w:szCs w:val="32"/>
          <w:highlight w:val="none"/>
        </w:rPr>
        <w:t>（4）民族事务服务体系建设支出方向绩效目标：一是支持民族工作机构顺利开展工作，完成年度重点任务；二是鼓励各地民族工作机构积极承办和配合国家民委和我委开展重要专项工作或重大活动；三是促进各民族群众开展联谊交友，在交往交流交融中铸牢中华民族共同体意识；四是调动各地积极性排查化解涉民族因素矛盾纠纷，维护社会稳定；五是开展对山南市、吐鲁番市的对口援助工作。</w:t>
      </w:r>
    </w:p>
    <w:p>
      <w:pPr>
        <w:pageBreakBefore w:val="0"/>
        <w:numPr>
          <w:ilvl w:val="0"/>
          <w:numId w:val="1"/>
        </w:numPr>
        <w:kinsoku/>
        <w:wordWrap/>
        <w:overflowPunct/>
        <w:topLinePunct w:val="0"/>
        <w:autoSpaceDE/>
        <w:autoSpaceDN/>
        <w:bidi w:val="0"/>
        <w:spacing w:line="560" w:lineRule="exact"/>
        <w:ind w:firstLine="643" w:firstLineChars="200"/>
        <w:textAlignment w:val="auto"/>
        <w:outlineLvl w:val="1"/>
        <w:rPr>
          <w:rFonts w:hint="eastAsia" w:eastAsia="方正楷体_GB2312"/>
          <w:b/>
          <w:bCs/>
          <w:color w:val="auto"/>
          <w:sz w:val="32"/>
          <w:highlight w:val="none"/>
        </w:rPr>
      </w:pPr>
      <w:r>
        <w:rPr>
          <w:rFonts w:hint="eastAsia" w:eastAsia="方正楷体_GB2312"/>
          <w:b/>
          <w:bCs/>
          <w:color w:val="auto"/>
          <w:sz w:val="32"/>
          <w:highlight w:val="none"/>
        </w:rPr>
        <w:t>专项资金</w:t>
      </w:r>
      <w:r>
        <w:rPr>
          <w:rFonts w:hint="eastAsia" w:eastAsia="方正楷体_GB2312"/>
          <w:b/>
          <w:bCs/>
          <w:color w:val="auto"/>
          <w:sz w:val="32"/>
          <w:highlight w:val="none"/>
          <w:lang w:val="en-US" w:eastAsia="zh-CN"/>
        </w:rPr>
        <w:t>分配、</w:t>
      </w:r>
      <w:r>
        <w:rPr>
          <w:rFonts w:hint="eastAsia" w:eastAsia="方正楷体_GB2312"/>
          <w:b/>
          <w:bCs/>
          <w:color w:val="auto"/>
          <w:sz w:val="32"/>
          <w:highlight w:val="none"/>
        </w:rPr>
        <w:t>使用管理情况</w:t>
      </w:r>
    </w:p>
    <w:p>
      <w:pPr>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方正仿宋_GB2312" w:cs="Times New Roman"/>
          <w:color w:val="auto"/>
          <w:kern w:val="0"/>
          <w:sz w:val="32"/>
          <w:szCs w:val="32"/>
          <w:highlight w:val="none"/>
        </w:rPr>
      </w:pPr>
      <w:r>
        <w:rPr>
          <w:rFonts w:hint="eastAsia" w:ascii="Times New Roman" w:hAnsi="Times New Roman" w:eastAsia="方正仿宋_GB2312" w:cs="Times New Roman"/>
          <w:color w:val="auto"/>
          <w:kern w:val="0"/>
          <w:sz w:val="32"/>
          <w:szCs w:val="32"/>
          <w:highlight w:val="none"/>
        </w:rPr>
        <w:t>1.资金落实及支出情况</w:t>
      </w:r>
    </w:p>
    <w:p>
      <w:pPr>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方正仿宋_GB2312" w:cs="Times New Roman"/>
          <w:color w:val="auto"/>
          <w:kern w:val="0"/>
          <w:sz w:val="32"/>
          <w:szCs w:val="32"/>
          <w:highlight w:val="none"/>
          <w:lang w:val="en-US" w:eastAsia="zh-CN"/>
        </w:rPr>
      </w:pPr>
      <w:r>
        <w:rPr>
          <w:rFonts w:hint="eastAsia" w:ascii="Times New Roman" w:hAnsi="Times New Roman" w:eastAsia="方正仿宋_GB2312" w:cs="Times New Roman"/>
          <w:color w:val="auto"/>
          <w:kern w:val="0"/>
          <w:sz w:val="32"/>
          <w:szCs w:val="32"/>
          <w:highlight w:val="none"/>
        </w:rPr>
        <w:t>2022年度少数民族工作专项资金共计安排3013万元。其中少数民族文化事业发展经费850万元；民族团结进步创建经费350万元；散居少数民族发展经费148</w:t>
      </w:r>
      <w:r>
        <w:rPr>
          <w:rFonts w:hint="eastAsia" w:ascii="Times New Roman" w:hAnsi="Times New Roman" w:eastAsia="方正仿宋_GB2312" w:cs="Times New Roman"/>
          <w:color w:val="auto"/>
          <w:kern w:val="0"/>
          <w:sz w:val="32"/>
          <w:szCs w:val="32"/>
          <w:highlight w:val="none"/>
          <w:lang w:val="en-US" w:eastAsia="zh-CN"/>
        </w:rPr>
        <w:t>5</w:t>
      </w:r>
      <w:r>
        <w:rPr>
          <w:rFonts w:hint="eastAsia" w:ascii="Times New Roman" w:hAnsi="Times New Roman" w:eastAsia="方正仿宋_GB2312" w:cs="Times New Roman"/>
          <w:color w:val="auto"/>
          <w:kern w:val="0"/>
          <w:sz w:val="32"/>
          <w:szCs w:val="32"/>
          <w:highlight w:val="none"/>
        </w:rPr>
        <w:t>万元；民族事务服务体系建设经费328万元；其中委本级项目417万元，省直单位项目118万元，对市县转移支付2478万元</w:t>
      </w:r>
      <w:r>
        <w:rPr>
          <w:rFonts w:hint="eastAsia" w:ascii="Times New Roman" w:hAnsi="Times New Roman" w:eastAsia="方正仿宋_GB2312" w:cs="Times New Roman"/>
          <w:color w:val="auto"/>
          <w:kern w:val="0"/>
          <w:sz w:val="32"/>
          <w:szCs w:val="32"/>
          <w:highlight w:val="none"/>
          <w:lang w:eastAsia="zh-CN"/>
        </w:rPr>
        <w:t>。</w:t>
      </w:r>
    </w:p>
    <w:p>
      <w:pPr>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方正仿宋_GB2312" w:cs="Times New Roman"/>
          <w:color w:val="auto"/>
          <w:kern w:val="0"/>
          <w:sz w:val="32"/>
          <w:szCs w:val="32"/>
          <w:highlight w:val="none"/>
        </w:rPr>
      </w:pPr>
      <w:r>
        <w:rPr>
          <w:rFonts w:hint="eastAsia" w:ascii="Times New Roman" w:hAnsi="Times New Roman" w:eastAsia="方正仿宋_GB2312" w:cs="Times New Roman"/>
          <w:color w:val="auto"/>
          <w:kern w:val="0"/>
          <w:sz w:val="32"/>
          <w:szCs w:val="32"/>
          <w:highlight w:val="none"/>
        </w:rPr>
        <w:t>2.专项资金组织管理</w:t>
      </w:r>
    </w:p>
    <w:p>
      <w:pPr>
        <w:pageBreakBefore w:val="0"/>
        <w:kinsoku/>
        <w:wordWrap/>
        <w:overflowPunct/>
        <w:topLinePunct w:val="0"/>
        <w:autoSpaceDE/>
        <w:autoSpaceDN/>
        <w:bidi w:val="0"/>
        <w:spacing w:line="560" w:lineRule="exact"/>
        <w:ind w:firstLine="643" w:firstLineChars="200"/>
        <w:textAlignment w:val="auto"/>
        <w:rPr>
          <w:rFonts w:hint="eastAsia" w:ascii="Times New Roman" w:hAnsi="Times New Roman" w:eastAsia="方正仿宋_GB2312" w:cs="Times New Roman"/>
          <w:color w:val="auto"/>
          <w:kern w:val="0"/>
          <w:sz w:val="32"/>
          <w:szCs w:val="32"/>
          <w:highlight w:val="none"/>
        </w:rPr>
      </w:pPr>
      <w:r>
        <w:rPr>
          <w:rFonts w:hint="eastAsia" w:ascii="Times New Roman" w:hAnsi="Times New Roman" w:eastAsia="方正仿宋_GB2312" w:cs="Times New Roman"/>
          <w:b/>
          <w:bCs/>
          <w:color w:val="auto"/>
          <w:kern w:val="0"/>
          <w:sz w:val="32"/>
          <w:szCs w:val="32"/>
          <w:highlight w:val="none"/>
        </w:rPr>
        <w:t>一是管理规范。</w:t>
      </w:r>
      <w:r>
        <w:rPr>
          <w:rFonts w:hint="eastAsia" w:ascii="Times New Roman" w:hAnsi="Times New Roman" w:eastAsia="方正仿宋_GB2312" w:cs="Times New Roman"/>
          <w:color w:val="auto"/>
          <w:kern w:val="0"/>
          <w:sz w:val="32"/>
          <w:szCs w:val="32"/>
          <w:highlight w:val="none"/>
        </w:rPr>
        <w:t>我委与财政厅联合制定下发了《湖南省省级少数民族工作专项资金管理办法》（湘财行〔2019〕13号），对资金的性质、使用范围、项目申报审批和监督检查进行了规范和规定，我委按照文件精神，切实加强资金的使用管理，有效地保障了省级少数民族专项资金项目效益的发挥。</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方正仿宋_GB2312" w:cs="Times New Roman"/>
          <w:b w:val="0"/>
          <w:bCs w:val="0"/>
          <w:color w:val="auto"/>
          <w:kern w:val="0"/>
          <w:sz w:val="32"/>
          <w:szCs w:val="32"/>
          <w:highlight w:val="none"/>
          <w:lang w:val="en-US" w:eastAsia="zh-CN" w:bidi="ar-SA"/>
        </w:rPr>
      </w:pPr>
      <w:r>
        <w:rPr>
          <w:rFonts w:hint="eastAsia" w:ascii="Times New Roman" w:hAnsi="Times New Roman" w:eastAsia="方正仿宋_GB2312" w:cs="Times New Roman"/>
          <w:color w:val="auto"/>
          <w:kern w:val="0"/>
          <w:sz w:val="32"/>
          <w:szCs w:val="32"/>
          <w:highlight w:val="none"/>
        </w:rPr>
        <w:t>二是项目申报审批规范。</w:t>
      </w:r>
      <w:r>
        <w:rPr>
          <w:rFonts w:hint="eastAsia" w:ascii="Times New Roman" w:hAnsi="Times New Roman" w:eastAsia="方正仿宋_GB2312" w:cs="Times New Roman"/>
          <w:b w:val="0"/>
          <w:bCs w:val="0"/>
          <w:color w:val="auto"/>
          <w:kern w:val="0"/>
          <w:sz w:val="32"/>
          <w:szCs w:val="32"/>
          <w:highlight w:val="none"/>
          <w:lang w:val="en-US" w:eastAsia="zh-CN" w:bidi="ar-SA"/>
        </w:rPr>
        <w:t>具体流程为：结合全年民族工作重点任务和各地实际，确定资金方案，下发通知，各市州按照通知要求牵头开展辖区内的项目考察、审核和汇总上报，我委相关处室接到各地上报项目材料，进行初审，处室集体讨论确定项目，</w:t>
      </w:r>
      <w:r>
        <w:rPr>
          <w:rFonts w:hint="default" w:ascii="Times New Roman" w:hAnsi="Times New Roman" w:eastAsia="方正仿宋_GB2312" w:cs="Times New Roman"/>
          <w:b w:val="0"/>
          <w:bCs w:val="0"/>
          <w:i w:val="0"/>
          <w:caps w:val="0"/>
          <w:color w:val="auto"/>
          <w:spacing w:val="0"/>
          <w:kern w:val="0"/>
          <w:sz w:val="32"/>
          <w:szCs w:val="32"/>
          <w:highlight w:val="none"/>
          <w:shd w:val="clear" w:color="auto" w:fill="FFFFFF"/>
          <w:lang w:val="en-US" w:eastAsia="zh-CN" w:bidi="ar"/>
        </w:rPr>
        <w:t>相关处室提前完成项目申报与审核，做好项目库储备工作。根据相关处室提出的重点项目，</w:t>
      </w:r>
      <w:r>
        <w:rPr>
          <w:rFonts w:hint="eastAsia" w:ascii="Times New Roman" w:hAnsi="Times New Roman" w:eastAsia="方正仿宋_GB2312" w:cs="Times New Roman"/>
          <w:b w:val="0"/>
          <w:bCs w:val="0"/>
          <w:i w:val="0"/>
          <w:caps w:val="0"/>
          <w:color w:val="auto"/>
          <w:spacing w:val="0"/>
          <w:kern w:val="0"/>
          <w:sz w:val="32"/>
          <w:szCs w:val="32"/>
          <w:highlight w:val="none"/>
          <w:shd w:val="clear" w:color="auto" w:fill="FFFFFF"/>
          <w:lang w:val="en-US" w:eastAsia="zh-CN" w:bidi="ar"/>
        </w:rPr>
        <w:t>办公室牵头</w:t>
      </w:r>
      <w:r>
        <w:rPr>
          <w:rFonts w:hint="default" w:ascii="Times New Roman" w:hAnsi="Times New Roman" w:eastAsia="方正仿宋_GB2312" w:cs="Times New Roman"/>
          <w:b w:val="0"/>
          <w:bCs w:val="0"/>
          <w:i w:val="0"/>
          <w:caps w:val="0"/>
          <w:color w:val="auto"/>
          <w:spacing w:val="0"/>
          <w:kern w:val="0"/>
          <w:sz w:val="32"/>
          <w:szCs w:val="32"/>
          <w:highlight w:val="none"/>
          <w:shd w:val="clear" w:color="auto" w:fill="FFFFFF"/>
          <w:lang w:val="en-US" w:eastAsia="zh-CN" w:bidi="ar"/>
        </w:rPr>
        <w:t>建立重点工作保障清单。</w:t>
      </w:r>
      <w:r>
        <w:rPr>
          <w:rFonts w:hint="eastAsia" w:ascii="Times New Roman" w:hAnsi="Times New Roman" w:eastAsia="方正仿宋_GB2312" w:cs="Times New Roman"/>
          <w:b w:val="0"/>
          <w:bCs w:val="0"/>
          <w:i w:val="0"/>
          <w:caps w:val="0"/>
          <w:color w:val="auto"/>
          <w:spacing w:val="0"/>
          <w:kern w:val="0"/>
          <w:sz w:val="32"/>
          <w:szCs w:val="32"/>
          <w:highlight w:val="none"/>
          <w:shd w:val="clear" w:color="auto" w:fill="FFFFFF"/>
          <w:lang w:val="en-US" w:eastAsia="zh-CN" w:bidi="ar"/>
        </w:rPr>
        <w:t>党组会</w:t>
      </w:r>
      <w:r>
        <w:rPr>
          <w:rFonts w:hint="default" w:ascii="Times New Roman" w:hAnsi="Times New Roman" w:eastAsia="方正仿宋_GB2312" w:cs="Times New Roman"/>
          <w:b w:val="0"/>
          <w:bCs w:val="0"/>
          <w:i w:val="0"/>
          <w:caps w:val="0"/>
          <w:color w:val="auto"/>
          <w:spacing w:val="0"/>
          <w:kern w:val="0"/>
          <w:sz w:val="32"/>
          <w:szCs w:val="32"/>
          <w:highlight w:val="none"/>
          <w:shd w:val="clear" w:color="auto" w:fill="FFFFFF"/>
          <w:lang w:val="en-US" w:eastAsia="zh-CN" w:bidi="ar"/>
        </w:rPr>
        <w:t>研究</w:t>
      </w:r>
      <w:r>
        <w:rPr>
          <w:rFonts w:hint="eastAsia" w:ascii="Times New Roman" w:hAnsi="Times New Roman" w:eastAsia="方正仿宋_GB2312" w:cs="Times New Roman"/>
          <w:b w:val="0"/>
          <w:bCs w:val="0"/>
          <w:i w:val="0"/>
          <w:caps w:val="0"/>
          <w:color w:val="auto"/>
          <w:spacing w:val="0"/>
          <w:kern w:val="0"/>
          <w:sz w:val="32"/>
          <w:szCs w:val="32"/>
          <w:highlight w:val="none"/>
          <w:shd w:val="clear" w:color="auto" w:fill="FFFFFF"/>
          <w:lang w:val="en-US" w:eastAsia="zh-CN" w:bidi="ar"/>
        </w:rPr>
        <w:t>分配方案，根据</w:t>
      </w:r>
      <w:r>
        <w:rPr>
          <w:rFonts w:hint="default" w:ascii="Times New Roman" w:hAnsi="Times New Roman" w:eastAsia="方正仿宋_GB2312" w:cs="Times New Roman"/>
          <w:b w:val="0"/>
          <w:bCs w:val="0"/>
          <w:i w:val="0"/>
          <w:caps w:val="0"/>
          <w:color w:val="auto"/>
          <w:spacing w:val="0"/>
          <w:kern w:val="0"/>
          <w:sz w:val="32"/>
          <w:szCs w:val="32"/>
          <w:highlight w:val="none"/>
          <w:shd w:val="clear" w:color="auto" w:fill="FFFFFF"/>
          <w:lang w:val="en-US" w:eastAsia="zh-CN" w:bidi="ar"/>
        </w:rPr>
        <w:t>大事要事保障清单，优先保障年度重点支出、刚性支出，其他支出结合部门预算统筹考虑。</w:t>
      </w:r>
      <w:r>
        <w:rPr>
          <w:rFonts w:hint="eastAsia" w:ascii="Times New Roman" w:hAnsi="Times New Roman" w:eastAsia="方正仿宋_GB2312" w:cs="Times New Roman"/>
          <w:b w:val="0"/>
          <w:bCs w:val="0"/>
          <w:i w:val="0"/>
          <w:caps w:val="0"/>
          <w:color w:val="auto"/>
          <w:spacing w:val="0"/>
          <w:kern w:val="0"/>
          <w:sz w:val="32"/>
          <w:szCs w:val="32"/>
          <w:highlight w:val="none"/>
          <w:shd w:val="clear" w:color="auto" w:fill="FFFFFF"/>
          <w:lang w:val="en-US" w:eastAsia="zh-CN" w:bidi="ar"/>
        </w:rPr>
        <w:t>办</w:t>
      </w:r>
      <w:r>
        <w:rPr>
          <w:rFonts w:hint="default" w:ascii="Times New Roman" w:hAnsi="Times New Roman" w:eastAsia="方正仿宋_GB2312" w:cs="Times New Roman"/>
          <w:b w:val="0"/>
          <w:bCs w:val="0"/>
          <w:i w:val="0"/>
          <w:caps w:val="0"/>
          <w:color w:val="auto"/>
          <w:spacing w:val="0"/>
          <w:kern w:val="0"/>
          <w:sz w:val="32"/>
          <w:szCs w:val="32"/>
          <w:highlight w:val="none"/>
          <w:shd w:val="clear" w:color="auto" w:fill="FFFFFF"/>
          <w:lang w:val="en-US" w:eastAsia="zh-CN" w:bidi="ar"/>
        </w:rPr>
        <w:t>公室将经党组</w:t>
      </w:r>
      <w:r>
        <w:rPr>
          <w:rFonts w:hint="eastAsia" w:ascii="Times New Roman" w:hAnsi="Times New Roman" w:eastAsia="方正仿宋_GB2312" w:cs="Times New Roman"/>
          <w:b w:val="0"/>
          <w:bCs w:val="0"/>
          <w:i w:val="0"/>
          <w:caps w:val="0"/>
          <w:color w:val="auto"/>
          <w:spacing w:val="0"/>
          <w:kern w:val="0"/>
          <w:sz w:val="32"/>
          <w:szCs w:val="32"/>
          <w:highlight w:val="none"/>
          <w:shd w:val="clear" w:color="auto" w:fill="FFFFFF"/>
          <w:lang w:val="en-US" w:eastAsia="zh-CN" w:bidi="ar"/>
        </w:rPr>
        <w:t>会</w:t>
      </w:r>
      <w:r>
        <w:rPr>
          <w:rFonts w:hint="default" w:ascii="Times New Roman" w:hAnsi="Times New Roman" w:eastAsia="方正仿宋_GB2312" w:cs="Times New Roman"/>
          <w:b w:val="0"/>
          <w:bCs w:val="0"/>
          <w:i w:val="0"/>
          <w:caps w:val="0"/>
          <w:color w:val="auto"/>
          <w:spacing w:val="0"/>
          <w:kern w:val="0"/>
          <w:sz w:val="32"/>
          <w:szCs w:val="32"/>
          <w:highlight w:val="none"/>
          <w:shd w:val="clear" w:color="auto" w:fill="FFFFFF"/>
          <w:lang w:val="en-US" w:eastAsia="zh-CN" w:bidi="ar"/>
        </w:rPr>
        <w:t>研究通过的分配方案报省财政厅审核，由省财政厅下达资金。</w:t>
      </w:r>
    </w:p>
    <w:p>
      <w:pPr>
        <w:pageBreakBefore w:val="0"/>
        <w:kinsoku/>
        <w:wordWrap/>
        <w:overflowPunct/>
        <w:topLinePunct w:val="0"/>
        <w:autoSpaceDE/>
        <w:autoSpaceDN/>
        <w:bidi w:val="0"/>
        <w:spacing w:line="560" w:lineRule="exact"/>
        <w:ind w:firstLine="643" w:firstLineChars="200"/>
        <w:textAlignment w:val="auto"/>
        <w:rPr>
          <w:rFonts w:hint="eastAsia" w:ascii="Times New Roman" w:hAnsi="Times New Roman" w:eastAsia="方正仿宋_GB2312" w:cs="Times New Roman"/>
          <w:color w:val="auto"/>
          <w:kern w:val="0"/>
          <w:sz w:val="32"/>
          <w:szCs w:val="32"/>
          <w:highlight w:val="none"/>
          <w:lang w:eastAsia="zh-CN"/>
        </w:rPr>
      </w:pPr>
      <w:r>
        <w:rPr>
          <w:rFonts w:hint="eastAsia" w:ascii="Times New Roman" w:hAnsi="Times New Roman" w:eastAsia="方正仿宋_GB2312" w:cs="Times New Roman"/>
          <w:b/>
          <w:bCs/>
          <w:color w:val="auto"/>
          <w:kern w:val="0"/>
          <w:sz w:val="32"/>
          <w:szCs w:val="32"/>
          <w:highlight w:val="none"/>
        </w:rPr>
        <w:t>三是项目安排合规。</w:t>
      </w:r>
      <w:r>
        <w:rPr>
          <w:rFonts w:hint="eastAsia" w:ascii="Times New Roman" w:hAnsi="Times New Roman" w:eastAsia="方正仿宋_GB2312" w:cs="Times New Roman"/>
          <w:color w:val="auto"/>
          <w:kern w:val="0"/>
          <w:sz w:val="32"/>
          <w:szCs w:val="32"/>
          <w:highlight w:val="none"/>
        </w:rPr>
        <w:t>《湖南省省级少数民族工作专项资金管理办法》（湘财行〔2019〕13号）明确规定，省级少数民族专项资金支持范围主要包括：少数民族文化事业发展经费用于少数民族文化体育事业发展，与少数民族文化事业发展密切相关的特殊困难扶持；民族团结进步创建经费用于组织开展民族团结进步创建工作和城市民族工作，协调处理涉及民族因素的矛盾纠纷；散居少数民族发展经费用于支持民族乡和少数民族人口较多乡镇经济社会事业发展，特别是民族乡逢十周年庆典项目建设、少数民族特色村镇建设；民族事务服务体系建设经费用于支持各级民族工作部门机关和民族联谊会建设，支持各级民族工作部门组织参加国家民委安排的民族活动和工作、省委省政府批准的重大民族活动、少数民族和民族地区重大节庆活动</w:t>
      </w:r>
      <w:r>
        <w:rPr>
          <w:rFonts w:hint="eastAsia" w:ascii="Times New Roman" w:hAnsi="Times New Roman" w:eastAsia="方正仿宋_GB2312" w:cs="Times New Roman"/>
          <w:color w:val="auto"/>
          <w:kern w:val="0"/>
          <w:sz w:val="32"/>
          <w:szCs w:val="32"/>
          <w:highlight w:val="none"/>
          <w:lang w:eastAsia="zh-CN"/>
        </w:rPr>
        <w:t>。</w:t>
      </w:r>
    </w:p>
    <w:p>
      <w:pPr>
        <w:pStyle w:val="12"/>
        <w:pageBreakBefore w:val="0"/>
        <w:numPr>
          <w:ilvl w:val="0"/>
          <w:numId w:val="1"/>
        </w:numPr>
        <w:kinsoku/>
        <w:wordWrap/>
        <w:overflowPunct/>
        <w:topLinePunct w:val="0"/>
        <w:autoSpaceDE/>
        <w:autoSpaceDN/>
        <w:bidi w:val="0"/>
        <w:spacing w:line="560" w:lineRule="exact"/>
        <w:ind w:left="0" w:leftChars="0" w:firstLine="643" w:firstLineChars="200"/>
        <w:jc w:val="left"/>
        <w:textAlignment w:val="auto"/>
        <w:rPr>
          <w:rFonts w:hint="eastAsia" w:ascii="Times New Roman" w:hAnsi="Times New Roman" w:eastAsia="方正仿宋_GB2312" w:cs="Times New Roman"/>
          <w:color w:val="auto"/>
          <w:kern w:val="0"/>
          <w:sz w:val="32"/>
          <w:szCs w:val="32"/>
          <w:highlight w:val="none"/>
          <w:lang w:val="en-US" w:eastAsia="zh-CN"/>
        </w:rPr>
      </w:pPr>
      <w:r>
        <w:rPr>
          <w:rFonts w:hint="eastAsia" w:ascii="Times New Roman" w:hAnsi="Times New Roman" w:eastAsia="方正仿宋_GB2312" w:cs="Times New Roman"/>
          <w:color w:val="auto"/>
          <w:kern w:val="0"/>
          <w:sz w:val="32"/>
          <w:szCs w:val="32"/>
          <w:highlight w:val="none"/>
          <w:lang w:val="en-US" w:eastAsia="zh-CN"/>
        </w:rPr>
        <w:t>项目管理情况</w:t>
      </w:r>
    </w:p>
    <w:p>
      <w:pPr>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2312" w:cs="Times New Roman"/>
          <w:color w:val="auto"/>
          <w:kern w:val="0"/>
          <w:sz w:val="32"/>
          <w:szCs w:val="32"/>
          <w:highlight w:val="none"/>
          <w:lang w:val="en-US" w:eastAsia="zh-CN"/>
        </w:rPr>
      </w:pPr>
      <w:r>
        <w:rPr>
          <w:rFonts w:hint="eastAsia" w:ascii="Times New Roman" w:hAnsi="Times New Roman" w:eastAsia="方正仿宋_GB2312" w:cs="Times New Roman"/>
          <w:color w:val="auto"/>
          <w:kern w:val="0"/>
          <w:sz w:val="32"/>
          <w:szCs w:val="32"/>
          <w:highlight w:val="none"/>
          <w:lang w:val="en-US" w:eastAsia="zh-CN"/>
        </w:rPr>
        <w:t>我委严格遵守财务制度，严格项目管理，主要采取了一下措施：一是建立项目库，按照专项资金管理办法的要求，确认支持范围及方式并认真完成绩效考核任务，提前做好项目储备。在项目支出前严格遵守审批流程、先申报项目获得批准后再实施。在项目实施中期严格把控成本、防止成本超支的情况出现。在项目完成后遵守验收程序，填报验收表等相关财务资料。二是我委每年按照省财政厅相关要求做好专项资金绩效自评工作，组织各市州主管部门开展辖区内上一年度专项资金的绩效自评工作，同时收集项目实施单位的自评报告、基础数据表以及自评打分表，我委将这套材料作为项目备案管理的重要依据。三是进行现场检查。相关业务处室在平时的工作中，会不定期指导、督促项目实施。我委成立专门的评价小组，组织开展现场评价，被抽中的市州区县单位积极配合第三方机构的现场评价，对于发现的问题，省级主管部门及时督促市州主管部门落实问题整改，履行监管责任。对于整改不到位的问题会下发整改通知，督促整改，旨在进一步规范资金的管理使用。</w:t>
      </w:r>
    </w:p>
    <w:p>
      <w:pPr>
        <w:pageBreakBefore w:val="0"/>
        <w:kinsoku/>
        <w:wordWrap/>
        <w:overflowPunct/>
        <w:topLinePunct w:val="0"/>
        <w:autoSpaceDE/>
        <w:autoSpaceDN/>
        <w:bidi w:val="0"/>
        <w:adjustRightInd w:val="0"/>
        <w:snapToGrid w:val="0"/>
        <w:spacing w:line="560" w:lineRule="exact"/>
        <w:ind w:firstLine="640" w:firstLineChars="200"/>
        <w:textAlignment w:val="auto"/>
        <w:rPr>
          <w:rFonts w:eastAsia="黑体"/>
          <w:color w:val="auto"/>
          <w:sz w:val="32"/>
          <w:szCs w:val="32"/>
          <w:highlight w:val="none"/>
        </w:rPr>
      </w:pPr>
      <w:r>
        <w:rPr>
          <w:rFonts w:eastAsia="黑体"/>
          <w:color w:val="auto"/>
          <w:sz w:val="32"/>
          <w:szCs w:val="32"/>
          <w:highlight w:val="none"/>
        </w:rPr>
        <w:t>二、绩效评价工作情况</w:t>
      </w:r>
    </w:p>
    <w:p>
      <w:pPr>
        <w:pageBreakBefore w:val="0"/>
        <w:kinsoku/>
        <w:wordWrap/>
        <w:overflowPunct/>
        <w:topLinePunct w:val="0"/>
        <w:autoSpaceDE/>
        <w:autoSpaceDN/>
        <w:bidi w:val="0"/>
        <w:spacing w:line="560" w:lineRule="exact"/>
        <w:ind w:firstLine="643" w:firstLineChars="200"/>
        <w:textAlignment w:val="auto"/>
        <w:outlineLvl w:val="1"/>
        <w:rPr>
          <w:rFonts w:eastAsia="方正楷体_GB2312"/>
          <w:b/>
          <w:bCs/>
          <w:color w:val="auto"/>
          <w:sz w:val="32"/>
          <w:highlight w:val="none"/>
        </w:rPr>
      </w:pPr>
      <w:r>
        <w:rPr>
          <w:rFonts w:eastAsia="方正楷体_GB2312"/>
          <w:b/>
          <w:bCs/>
          <w:color w:val="auto"/>
          <w:sz w:val="32"/>
          <w:highlight w:val="none"/>
        </w:rPr>
        <w:t>（一）绩效评价目的</w:t>
      </w:r>
    </w:p>
    <w:p>
      <w:pPr>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方正仿宋_GB2312" w:cs="Times New Roman"/>
          <w:color w:val="auto"/>
          <w:kern w:val="0"/>
          <w:sz w:val="32"/>
          <w:szCs w:val="32"/>
          <w:highlight w:val="none"/>
        </w:rPr>
      </w:pPr>
      <w:r>
        <w:rPr>
          <w:rFonts w:hint="eastAsia" w:ascii="Times New Roman" w:hAnsi="Times New Roman" w:eastAsia="方正仿宋_GB2312" w:cs="Times New Roman"/>
          <w:color w:val="auto"/>
          <w:kern w:val="0"/>
          <w:sz w:val="32"/>
          <w:szCs w:val="32"/>
          <w:highlight w:val="none"/>
        </w:rPr>
        <w:t>通过绩效评价，核实2022年度少数民族工作专项资金使用情况及取得的效果，总结资金管理的经验，发现资金管理中存在的问题，为提高专项资金的使用效益，加强财政支出的规范化管理，健全和完善支出项目和资金使用管理办法，完善预算编制、加强绩效目标管理和绩效考核工作提供重要的参考依据，以及提出相关的建议和应采取的措施等。</w:t>
      </w:r>
    </w:p>
    <w:p>
      <w:pPr>
        <w:pageBreakBefore w:val="0"/>
        <w:numPr>
          <w:ilvl w:val="0"/>
          <w:numId w:val="2"/>
        </w:numPr>
        <w:kinsoku/>
        <w:wordWrap/>
        <w:overflowPunct/>
        <w:topLinePunct w:val="0"/>
        <w:autoSpaceDE/>
        <w:autoSpaceDN/>
        <w:bidi w:val="0"/>
        <w:spacing w:line="560" w:lineRule="exact"/>
        <w:ind w:firstLine="643" w:firstLineChars="200"/>
        <w:textAlignment w:val="auto"/>
        <w:outlineLvl w:val="1"/>
        <w:rPr>
          <w:rFonts w:hint="eastAsia" w:eastAsia="方正楷体_GB2312"/>
          <w:b/>
          <w:bCs/>
          <w:color w:val="auto"/>
          <w:sz w:val="32"/>
          <w:highlight w:val="none"/>
          <w:lang w:val="en-US" w:eastAsia="zh-CN"/>
        </w:rPr>
      </w:pPr>
      <w:r>
        <w:rPr>
          <w:rFonts w:eastAsia="方正楷体_GB2312"/>
          <w:b/>
          <w:bCs/>
          <w:color w:val="auto"/>
          <w:sz w:val="32"/>
          <w:highlight w:val="none"/>
        </w:rPr>
        <w:t>绩效评价</w:t>
      </w:r>
      <w:r>
        <w:rPr>
          <w:rFonts w:hint="eastAsia" w:eastAsia="方正楷体_GB2312"/>
          <w:b/>
          <w:bCs/>
          <w:color w:val="auto"/>
          <w:sz w:val="32"/>
          <w:highlight w:val="none"/>
          <w:lang w:val="en-US" w:eastAsia="zh-CN"/>
        </w:rPr>
        <w:t>内容</w:t>
      </w:r>
    </w:p>
    <w:p>
      <w:pPr>
        <w:pageBreakBefore w:val="0"/>
        <w:kinsoku/>
        <w:wordWrap/>
        <w:overflowPunct/>
        <w:topLinePunct w:val="0"/>
        <w:autoSpaceDE/>
        <w:autoSpaceDN/>
        <w:bidi w:val="0"/>
        <w:spacing w:afterLines="0" w:line="560" w:lineRule="exact"/>
        <w:ind w:firstLine="643" w:firstLineChars="200"/>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楷体_GB2312" w:cs="Times New Roman"/>
          <w:b/>
          <w:color w:val="auto"/>
          <w:sz w:val="32"/>
          <w:szCs w:val="32"/>
          <w:highlight w:val="none"/>
        </w:rPr>
        <w:t>1、专项资金和项目绩效目标的设定及完成情况。</w:t>
      </w:r>
      <w:r>
        <w:rPr>
          <w:rFonts w:hint="default" w:ascii="Times New Roman" w:hAnsi="Times New Roman" w:eastAsia="方正仿宋_GB2312" w:cs="Times New Roman"/>
          <w:color w:val="auto"/>
          <w:sz w:val="32"/>
          <w:szCs w:val="32"/>
          <w:highlight w:val="none"/>
        </w:rPr>
        <w:t>包括绩效目标是否明确、清晰，是否细化量化为具体的绩效指标和标准，资金规模与绩效目标之间是否匹配。专项资金年度绩效目标完成情况如何，项目绩效目标完成情况如何。</w:t>
      </w:r>
    </w:p>
    <w:p>
      <w:pPr>
        <w:pageBreakBefore w:val="0"/>
        <w:kinsoku/>
        <w:wordWrap/>
        <w:overflowPunct/>
        <w:topLinePunct w:val="0"/>
        <w:autoSpaceDE/>
        <w:autoSpaceDN/>
        <w:bidi w:val="0"/>
        <w:spacing w:afterLines="0" w:line="560" w:lineRule="exact"/>
        <w:ind w:firstLine="643" w:firstLineChars="200"/>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楷体_GB2312" w:cs="Times New Roman"/>
          <w:b/>
          <w:color w:val="auto"/>
          <w:sz w:val="32"/>
          <w:szCs w:val="32"/>
          <w:highlight w:val="none"/>
        </w:rPr>
        <w:t>2、专项资金使用管理情况。</w:t>
      </w:r>
      <w:r>
        <w:rPr>
          <w:rFonts w:hint="default" w:ascii="Times New Roman" w:hAnsi="Times New Roman" w:eastAsia="方正仿宋_GB2312" w:cs="Times New Roman"/>
          <w:color w:val="auto"/>
          <w:sz w:val="32"/>
          <w:szCs w:val="32"/>
          <w:highlight w:val="none"/>
        </w:rPr>
        <w:t>包括项目安排是否“散、小、乱”；是否存在多头申报、重复安排资金的情况；是否按有关规定实行了公开招投标；是否存在不按专家评审结果确定项目的情况；市县财政部门是否及时拨付资金、项目单位承诺的相关配套资金是否按时到位。资金使用单位财务制度是否健全、会计核算是否规范、资金管理是否严格，是否按计划使用资金，是否按时、按质、按量完成项目投资和建设任务，有无资金缺口或结余，有无浪费行为，有无挤占挪用或套取资金等现象。</w:t>
      </w:r>
    </w:p>
    <w:p>
      <w:pPr>
        <w:pageBreakBefore w:val="0"/>
        <w:kinsoku/>
        <w:wordWrap/>
        <w:overflowPunct/>
        <w:topLinePunct w:val="0"/>
        <w:autoSpaceDE/>
        <w:autoSpaceDN/>
        <w:bidi w:val="0"/>
        <w:spacing w:afterLines="0" w:line="560" w:lineRule="exact"/>
        <w:ind w:firstLine="643" w:firstLineChars="200"/>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楷体_GB2312" w:cs="Times New Roman"/>
          <w:b/>
          <w:color w:val="auto"/>
          <w:sz w:val="32"/>
          <w:szCs w:val="32"/>
          <w:highlight w:val="none"/>
        </w:rPr>
        <w:t>3、专项资金绩效情况。</w:t>
      </w:r>
      <w:r>
        <w:rPr>
          <w:rFonts w:hint="default" w:ascii="Times New Roman" w:hAnsi="Times New Roman" w:eastAsia="方正仿宋_GB2312" w:cs="Times New Roman"/>
          <w:color w:val="auto"/>
          <w:sz w:val="32"/>
          <w:szCs w:val="32"/>
          <w:highlight w:val="none"/>
        </w:rPr>
        <w:t>重点是产出的数量、质量、时效、成本、经济效益、社会效益、生态效益、可持续影响等。要根据现场评价取得的第一手资料，围绕绩效目标，通过横向比较、纵向分析、问卷调查等方式，对专项资金使用的经济性、公平性、效率性、效益性、实施效果的可持续性、受益对象的满意度等进行评价，并提出政策性建议</w:t>
      </w:r>
      <w:r>
        <w:rPr>
          <w:rFonts w:hint="eastAsia" w:ascii="Times New Roman" w:hAnsi="Times New Roman" w:eastAsia="方正仿宋_GB2312" w:cs="Times New Roman"/>
          <w:color w:val="auto"/>
          <w:sz w:val="32"/>
          <w:szCs w:val="32"/>
          <w:highlight w:val="none"/>
          <w:lang w:eastAsia="zh-CN"/>
        </w:rPr>
        <w:t>或针对性措施</w:t>
      </w:r>
      <w:r>
        <w:rPr>
          <w:rFonts w:hint="default" w:ascii="Times New Roman" w:hAnsi="Times New Roman" w:eastAsia="方正仿宋_GB2312" w:cs="Times New Roman"/>
          <w:color w:val="auto"/>
          <w:sz w:val="32"/>
          <w:szCs w:val="32"/>
          <w:highlight w:val="none"/>
        </w:rPr>
        <w:t>。</w:t>
      </w:r>
    </w:p>
    <w:p>
      <w:pPr>
        <w:pStyle w:val="12"/>
        <w:pageBreakBefore w:val="0"/>
        <w:numPr>
          <w:ilvl w:val="0"/>
          <w:numId w:val="0"/>
        </w:numPr>
        <w:kinsoku/>
        <w:wordWrap/>
        <w:overflowPunct/>
        <w:topLinePunct w:val="0"/>
        <w:autoSpaceDE/>
        <w:autoSpaceDN/>
        <w:bidi w:val="0"/>
        <w:spacing w:line="560" w:lineRule="exact"/>
        <w:ind w:left="0" w:leftChars="0" w:firstLine="643" w:firstLineChars="200"/>
        <w:jc w:val="both"/>
        <w:textAlignment w:val="auto"/>
        <w:rPr>
          <w:rFonts w:hint="eastAsia"/>
          <w:color w:val="auto"/>
          <w:highlight w:val="none"/>
        </w:rPr>
      </w:pPr>
      <w:r>
        <w:rPr>
          <w:rFonts w:hint="default" w:ascii="Times New Roman" w:hAnsi="Times New Roman" w:eastAsia="方正楷体_GB2312" w:cs="Times New Roman"/>
          <w:b/>
          <w:color w:val="auto"/>
          <w:sz w:val="32"/>
          <w:szCs w:val="32"/>
          <w:highlight w:val="none"/>
        </w:rPr>
        <w:t>4、专项资金政策环境适应情况。</w:t>
      </w:r>
      <w:r>
        <w:rPr>
          <w:rFonts w:hint="default" w:ascii="Times New Roman" w:hAnsi="Times New Roman" w:eastAsia="方正仿宋_GB2312" w:cs="Times New Roman"/>
          <w:b w:val="0"/>
          <w:bCs w:val="0"/>
          <w:color w:val="auto"/>
          <w:kern w:val="2"/>
          <w:sz w:val="32"/>
          <w:szCs w:val="32"/>
          <w:highlight w:val="none"/>
          <w:lang w:val="en-US" w:eastAsia="zh-CN" w:bidi="ar-SA"/>
        </w:rPr>
        <w:t>专项资金政策的实施环境和条件是否发生变化；是否出现适用范围相似或相近的政</w:t>
      </w:r>
      <w:r>
        <w:rPr>
          <w:rFonts w:hint="default" w:ascii="Times New Roman" w:hAnsi="Times New Roman" w:eastAsia="方正仿宋_GB2312" w:cs="Times New Roman"/>
          <w:b w:val="0"/>
          <w:bCs w:val="0"/>
          <w:color w:val="auto"/>
          <w:kern w:val="0"/>
          <w:sz w:val="32"/>
          <w:szCs w:val="32"/>
          <w:highlight w:val="none"/>
          <w:lang w:val="en-US" w:eastAsia="zh-CN" w:bidi="ar-SA"/>
        </w:rPr>
        <w:t>策、可否归并或整合；是否出现不宜继续实施该专项资金的政策环境或者</w:t>
      </w:r>
      <w:r>
        <w:rPr>
          <w:rFonts w:hint="default" w:ascii="Times New Roman" w:hAnsi="Times New Roman" w:eastAsia="方正仿宋_GB2312" w:cs="Times New Roman"/>
          <w:b w:val="0"/>
          <w:bCs w:val="0"/>
          <w:color w:val="auto"/>
          <w:kern w:val="2"/>
          <w:sz w:val="32"/>
          <w:szCs w:val="32"/>
          <w:highlight w:val="none"/>
          <w:lang w:val="en-US" w:eastAsia="zh-CN" w:bidi="ar-SA"/>
        </w:rPr>
        <w:t>限制条件</w:t>
      </w:r>
      <w:r>
        <w:rPr>
          <w:rFonts w:hint="eastAsia" w:ascii="Times New Roman" w:hAnsi="Times New Roman" w:eastAsia="方正仿宋_GB2312" w:cs="Times New Roman"/>
          <w:b w:val="0"/>
          <w:bCs w:val="0"/>
          <w:color w:val="auto"/>
          <w:kern w:val="2"/>
          <w:sz w:val="32"/>
          <w:szCs w:val="32"/>
          <w:highlight w:val="none"/>
          <w:lang w:val="en-US" w:eastAsia="zh-CN" w:bidi="ar-SA"/>
        </w:rPr>
        <w:t>，</w:t>
      </w:r>
      <w:r>
        <w:rPr>
          <w:rFonts w:hint="default" w:ascii="Times New Roman" w:hAnsi="Times New Roman" w:eastAsia="方正仿宋_GB2312" w:cs="Times New Roman"/>
          <w:b w:val="0"/>
          <w:bCs w:val="0"/>
          <w:color w:val="auto"/>
          <w:kern w:val="2"/>
          <w:sz w:val="32"/>
          <w:szCs w:val="32"/>
          <w:highlight w:val="none"/>
          <w:lang w:val="en-US" w:eastAsia="zh-CN" w:bidi="ar-SA"/>
        </w:rPr>
        <w:t>是否</w:t>
      </w:r>
      <w:r>
        <w:rPr>
          <w:rFonts w:hint="eastAsia" w:ascii="Times New Roman" w:hAnsi="Times New Roman" w:eastAsia="方正仿宋_GB2312" w:cs="Times New Roman"/>
          <w:b w:val="0"/>
          <w:bCs w:val="0"/>
          <w:color w:val="auto"/>
          <w:kern w:val="2"/>
          <w:sz w:val="32"/>
          <w:szCs w:val="32"/>
          <w:highlight w:val="none"/>
          <w:lang w:val="en-US" w:eastAsia="zh-CN" w:bidi="ar-SA"/>
        </w:rPr>
        <w:t>需要调整该</w:t>
      </w:r>
      <w:r>
        <w:rPr>
          <w:rFonts w:hint="default" w:ascii="Times New Roman" w:hAnsi="Times New Roman" w:eastAsia="方正仿宋_GB2312" w:cs="Times New Roman"/>
          <w:b w:val="0"/>
          <w:bCs w:val="0"/>
          <w:color w:val="auto"/>
          <w:kern w:val="2"/>
          <w:sz w:val="32"/>
          <w:szCs w:val="32"/>
          <w:highlight w:val="none"/>
          <w:lang w:val="en-US" w:eastAsia="zh-CN" w:bidi="ar-SA"/>
        </w:rPr>
        <w:t>专项资金</w:t>
      </w:r>
      <w:r>
        <w:rPr>
          <w:rFonts w:hint="eastAsia" w:ascii="Times New Roman" w:hAnsi="Times New Roman" w:eastAsia="方正仿宋_GB2312" w:cs="Times New Roman"/>
          <w:b w:val="0"/>
          <w:bCs w:val="0"/>
          <w:color w:val="auto"/>
          <w:kern w:val="2"/>
          <w:sz w:val="32"/>
          <w:szCs w:val="32"/>
          <w:highlight w:val="none"/>
          <w:lang w:val="en-US" w:eastAsia="zh-CN" w:bidi="ar-SA"/>
        </w:rPr>
        <w:t>的有关</w:t>
      </w:r>
      <w:r>
        <w:rPr>
          <w:rFonts w:hint="default" w:ascii="Times New Roman" w:hAnsi="Times New Roman" w:eastAsia="方正仿宋_GB2312" w:cs="Times New Roman"/>
          <w:b w:val="0"/>
          <w:bCs w:val="0"/>
          <w:color w:val="auto"/>
          <w:kern w:val="2"/>
          <w:sz w:val="32"/>
          <w:szCs w:val="32"/>
          <w:highlight w:val="none"/>
          <w:lang w:val="en-US" w:eastAsia="zh-CN" w:bidi="ar-SA"/>
        </w:rPr>
        <w:t>政策。</w:t>
      </w:r>
    </w:p>
    <w:p>
      <w:pPr>
        <w:pageBreakBefore w:val="0"/>
        <w:kinsoku/>
        <w:wordWrap/>
        <w:overflowPunct/>
        <w:topLinePunct w:val="0"/>
        <w:autoSpaceDE/>
        <w:autoSpaceDN/>
        <w:bidi w:val="0"/>
        <w:spacing w:line="560" w:lineRule="exact"/>
        <w:ind w:firstLine="643" w:firstLineChars="200"/>
        <w:textAlignment w:val="auto"/>
        <w:outlineLvl w:val="1"/>
        <w:rPr>
          <w:rFonts w:eastAsia="方正楷体_GB2312"/>
          <w:b/>
          <w:bCs/>
          <w:color w:val="auto"/>
          <w:sz w:val="32"/>
          <w:highlight w:val="none"/>
        </w:rPr>
      </w:pPr>
      <w:r>
        <w:rPr>
          <w:rFonts w:hint="eastAsia" w:eastAsia="方正楷体_GB2312"/>
          <w:b/>
          <w:bCs/>
          <w:color w:val="auto"/>
          <w:sz w:val="32"/>
          <w:highlight w:val="none"/>
        </w:rPr>
        <w:t>（</w:t>
      </w:r>
      <w:r>
        <w:rPr>
          <w:rFonts w:hint="eastAsia" w:eastAsia="方正楷体_GB2312"/>
          <w:b/>
          <w:bCs/>
          <w:color w:val="auto"/>
          <w:sz w:val="32"/>
          <w:highlight w:val="none"/>
          <w:lang w:val="en-US" w:eastAsia="zh-CN"/>
        </w:rPr>
        <w:t>三</w:t>
      </w:r>
      <w:r>
        <w:rPr>
          <w:rFonts w:hint="eastAsia" w:eastAsia="方正楷体_GB2312"/>
          <w:b/>
          <w:bCs/>
          <w:color w:val="auto"/>
          <w:sz w:val="32"/>
          <w:highlight w:val="none"/>
        </w:rPr>
        <w:t>）绩效评价工作过程</w:t>
      </w:r>
    </w:p>
    <w:p>
      <w:pPr>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方正仿宋_GB2312" w:cs="Times New Roman"/>
          <w:color w:val="auto"/>
          <w:kern w:val="0"/>
          <w:sz w:val="32"/>
          <w:szCs w:val="32"/>
          <w:highlight w:val="none"/>
          <w:lang w:eastAsia="zh-CN"/>
        </w:rPr>
      </w:pPr>
      <w:r>
        <w:rPr>
          <w:rFonts w:hint="eastAsia" w:ascii="Times New Roman" w:hAnsi="Times New Roman" w:eastAsia="方正仿宋_GB2312" w:cs="Times New Roman"/>
          <w:color w:val="auto"/>
          <w:kern w:val="0"/>
          <w:sz w:val="32"/>
          <w:szCs w:val="32"/>
          <w:highlight w:val="none"/>
        </w:rPr>
        <w:t>1.成立绩效评价工作小组</w:t>
      </w:r>
      <w:r>
        <w:rPr>
          <w:rFonts w:hint="eastAsia" w:ascii="Times New Roman" w:hAnsi="Times New Roman" w:eastAsia="方正仿宋_GB2312" w:cs="Times New Roman"/>
          <w:color w:val="auto"/>
          <w:kern w:val="0"/>
          <w:sz w:val="32"/>
          <w:szCs w:val="32"/>
          <w:highlight w:val="none"/>
          <w:lang w:eastAsia="zh-CN"/>
        </w:rPr>
        <w:t>（</w:t>
      </w:r>
      <w:r>
        <w:rPr>
          <w:rFonts w:hint="eastAsia" w:ascii="Times New Roman" w:hAnsi="Times New Roman" w:eastAsia="方正仿宋_GB2312" w:cs="Times New Roman"/>
          <w:color w:val="auto"/>
          <w:kern w:val="0"/>
          <w:sz w:val="32"/>
          <w:szCs w:val="32"/>
          <w:highlight w:val="none"/>
          <w:lang w:val="en-US" w:eastAsia="zh-CN"/>
        </w:rPr>
        <w:t>3月上旬</w:t>
      </w:r>
      <w:r>
        <w:rPr>
          <w:rFonts w:hint="eastAsia" w:ascii="Times New Roman" w:hAnsi="Times New Roman" w:eastAsia="方正仿宋_GB2312" w:cs="Times New Roman"/>
          <w:color w:val="auto"/>
          <w:kern w:val="0"/>
          <w:sz w:val="32"/>
          <w:szCs w:val="32"/>
          <w:highlight w:val="none"/>
          <w:lang w:eastAsia="zh-CN"/>
        </w:rPr>
        <w:t>）</w:t>
      </w:r>
    </w:p>
    <w:p>
      <w:pPr>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方正仿宋_GB2312" w:cs="Times New Roman"/>
          <w:color w:val="auto"/>
          <w:kern w:val="0"/>
          <w:sz w:val="32"/>
          <w:szCs w:val="32"/>
          <w:highlight w:val="none"/>
        </w:rPr>
      </w:pPr>
      <w:r>
        <w:rPr>
          <w:rFonts w:hint="eastAsia" w:ascii="Times New Roman" w:hAnsi="Times New Roman" w:eastAsia="方正仿宋_GB2312" w:cs="Times New Roman"/>
          <w:color w:val="auto"/>
          <w:kern w:val="0"/>
          <w:sz w:val="32"/>
          <w:szCs w:val="32"/>
          <w:highlight w:val="none"/>
        </w:rPr>
        <w:t>为做好2022年少数民族工作专项资金绩效自评工作，根据《湖南省财政厅关于开展2022年度部门整体支出绩效自评工作的通知》的要求，我委制定并下发了《湖南省民宗委办公室关于开展2022年度省级少数民族工作专项资金绩效评价的通知》，成立了以</w:t>
      </w:r>
      <w:r>
        <w:rPr>
          <w:rFonts w:hint="eastAsia" w:ascii="Times New Roman" w:hAnsi="Times New Roman" w:eastAsia="方正仿宋_GB2312" w:cs="Times New Roman"/>
          <w:color w:val="auto"/>
          <w:kern w:val="0"/>
          <w:sz w:val="32"/>
          <w:szCs w:val="32"/>
          <w:highlight w:val="none"/>
          <w:lang w:val="en-US" w:eastAsia="zh-CN"/>
        </w:rPr>
        <w:t>单位主要负责人</w:t>
      </w:r>
      <w:r>
        <w:rPr>
          <w:rFonts w:hint="eastAsia" w:ascii="Times New Roman" w:hAnsi="Times New Roman" w:eastAsia="方正仿宋_GB2312" w:cs="Times New Roman"/>
          <w:color w:val="auto"/>
          <w:kern w:val="0"/>
          <w:sz w:val="32"/>
          <w:szCs w:val="32"/>
          <w:highlight w:val="none"/>
        </w:rPr>
        <w:t>为组长，各</w:t>
      </w:r>
      <w:r>
        <w:rPr>
          <w:rFonts w:hint="eastAsia" w:ascii="Times New Roman" w:hAnsi="Times New Roman" w:eastAsia="方正仿宋_GB2312" w:cs="Times New Roman"/>
          <w:color w:val="auto"/>
          <w:kern w:val="0"/>
          <w:sz w:val="32"/>
          <w:szCs w:val="32"/>
          <w:highlight w:val="none"/>
          <w:lang w:val="en-US" w:eastAsia="zh-CN"/>
        </w:rPr>
        <w:t>相关</w:t>
      </w:r>
      <w:r>
        <w:rPr>
          <w:rFonts w:hint="eastAsia" w:ascii="Times New Roman" w:hAnsi="Times New Roman" w:eastAsia="方正仿宋_GB2312" w:cs="Times New Roman"/>
          <w:color w:val="auto"/>
          <w:kern w:val="0"/>
          <w:sz w:val="32"/>
          <w:szCs w:val="32"/>
          <w:highlight w:val="none"/>
        </w:rPr>
        <w:t>业务处室处长任组员的绩效评价工作小组，</w:t>
      </w:r>
      <w:r>
        <w:rPr>
          <w:rFonts w:hint="default" w:ascii="Times New Roman" w:hAnsi="Times New Roman" w:eastAsia="方正仿宋_GB2312" w:cs="Times New Roman"/>
          <w:color w:val="auto"/>
          <w:spacing w:val="6"/>
          <w:sz w:val="32"/>
          <w:szCs w:val="32"/>
          <w:highlight w:val="none"/>
        </w:rPr>
        <w:t>包括省直部门财务机构</w:t>
      </w:r>
      <w:r>
        <w:rPr>
          <w:rFonts w:hint="eastAsia" w:ascii="Times New Roman" w:hAnsi="Times New Roman" w:eastAsia="方正仿宋_GB2312" w:cs="Times New Roman"/>
          <w:color w:val="auto"/>
          <w:spacing w:val="6"/>
          <w:sz w:val="32"/>
          <w:szCs w:val="32"/>
          <w:highlight w:val="none"/>
          <w:lang w:val="en-US" w:eastAsia="zh-CN"/>
        </w:rPr>
        <w:t>人员</w:t>
      </w:r>
      <w:r>
        <w:rPr>
          <w:rFonts w:hint="eastAsia" w:ascii="Times New Roman" w:hAnsi="Times New Roman" w:eastAsia="方正仿宋_GB2312" w:cs="Times New Roman"/>
          <w:color w:val="auto"/>
          <w:spacing w:val="6"/>
          <w:sz w:val="32"/>
          <w:szCs w:val="32"/>
          <w:highlight w:val="none"/>
          <w:lang w:eastAsia="zh-CN"/>
        </w:rPr>
        <w:t>、</w:t>
      </w:r>
      <w:r>
        <w:rPr>
          <w:rFonts w:hint="default" w:ascii="Times New Roman" w:hAnsi="Times New Roman" w:eastAsia="方正仿宋_GB2312" w:cs="Times New Roman"/>
          <w:color w:val="auto"/>
          <w:spacing w:val="6"/>
          <w:sz w:val="32"/>
          <w:szCs w:val="32"/>
          <w:highlight w:val="none"/>
        </w:rPr>
        <w:t>项目主管</w:t>
      </w:r>
      <w:r>
        <w:rPr>
          <w:rFonts w:hint="eastAsia" w:ascii="Times New Roman" w:hAnsi="Times New Roman" w:eastAsia="方正仿宋_GB2312" w:cs="Times New Roman"/>
          <w:color w:val="auto"/>
          <w:spacing w:val="6"/>
          <w:sz w:val="32"/>
          <w:szCs w:val="32"/>
          <w:highlight w:val="none"/>
          <w:lang w:val="en-US" w:eastAsia="zh-CN"/>
        </w:rPr>
        <w:t>处室负责人</w:t>
      </w:r>
      <w:r>
        <w:rPr>
          <w:rFonts w:hint="eastAsia" w:ascii="Times New Roman" w:hAnsi="Times New Roman" w:eastAsia="方正仿宋_GB2312" w:cs="Times New Roman"/>
          <w:color w:val="auto"/>
          <w:spacing w:val="6"/>
          <w:sz w:val="32"/>
          <w:szCs w:val="32"/>
          <w:highlight w:val="none"/>
          <w:lang w:eastAsia="zh-CN"/>
        </w:rPr>
        <w:t>、</w:t>
      </w:r>
      <w:r>
        <w:rPr>
          <w:rFonts w:hint="default" w:ascii="Times New Roman" w:hAnsi="Times New Roman" w:eastAsia="方正仿宋_GB2312" w:cs="Times New Roman"/>
          <w:color w:val="auto"/>
          <w:spacing w:val="6"/>
          <w:sz w:val="32"/>
          <w:szCs w:val="32"/>
          <w:highlight w:val="none"/>
        </w:rPr>
        <w:t>第三方机构</w:t>
      </w:r>
      <w:r>
        <w:rPr>
          <w:rFonts w:hint="eastAsia" w:ascii="Times New Roman" w:hAnsi="Times New Roman" w:eastAsia="方正仿宋_GB2312" w:cs="Times New Roman"/>
          <w:color w:val="auto"/>
          <w:spacing w:val="6"/>
          <w:sz w:val="32"/>
          <w:szCs w:val="32"/>
          <w:highlight w:val="none"/>
          <w:lang w:eastAsia="zh-CN"/>
        </w:rPr>
        <w:t>人员</w:t>
      </w:r>
      <w:r>
        <w:rPr>
          <w:rFonts w:hint="default" w:ascii="Times New Roman" w:hAnsi="Times New Roman" w:eastAsia="方正仿宋_GB2312" w:cs="Times New Roman"/>
          <w:color w:val="auto"/>
          <w:spacing w:val="6"/>
          <w:sz w:val="32"/>
          <w:szCs w:val="32"/>
          <w:highlight w:val="none"/>
        </w:rPr>
        <w:t>。</w:t>
      </w:r>
      <w:r>
        <w:rPr>
          <w:rFonts w:hint="eastAsia" w:ascii="Times New Roman" w:hAnsi="Times New Roman" w:eastAsia="方正仿宋_GB2312" w:cs="Times New Roman"/>
          <w:color w:val="auto"/>
          <w:kern w:val="0"/>
          <w:sz w:val="32"/>
          <w:szCs w:val="32"/>
          <w:highlight w:val="none"/>
        </w:rPr>
        <w:t>纳入现场评价的范围包括委本级、长沙地区、常德地区、郴州地区、永州地区，涉及资金额1,616万元，占2022年少数民族工作专项资金总额的53.63%，项目数量</w:t>
      </w:r>
      <w:r>
        <w:rPr>
          <w:rFonts w:hint="eastAsia" w:ascii="Times New Roman" w:hAnsi="Times New Roman" w:eastAsia="方正仿宋_GB2312" w:cs="Times New Roman"/>
          <w:color w:val="auto"/>
          <w:kern w:val="0"/>
          <w:sz w:val="32"/>
          <w:szCs w:val="32"/>
          <w:highlight w:val="none"/>
          <w:lang w:val="en-US" w:eastAsia="zh-CN"/>
        </w:rPr>
        <w:t>55</w:t>
      </w:r>
      <w:r>
        <w:rPr>
          <w:rFonts w:hint="eastAsia" w:ascii="Times New Roman" w:hAnsi="Times New Roman" w:eastAsia="方正仿宋_GB2312" w:cs="Times New Roman"/>
          <w:color w:val="auto"/>
          <w:kern w:val="0"/>
          <w:sz w:val="32"/>
          <w:szCs w:val="32"/>
          <w:highlight w:val="none"/>
        </w:rPr>
        <w:t>个，占项目总数量的</w:t>
      </w:r>
      <w:r>
        <w:rPr>
          <w:rFonts w:hint="eastAsia" w:ascii="Times New Roman" w:hAnsi="Times New Roman" w:eastAsia="方正仿宋_GB2312" w:cs="Times New Roman"/>
          <w:color w:val="auto"/>
          <w:kern w:val="0"/>
          <w:sz w:val="32"/>
          <w:szCs w:val="32"/>
          <w:highlight w:val="none"/>
          <w:lang w:val="en-US" w:eastAsia="zh-CN"/>
        </w:rPr>
        <w:t>30.73</w:t>
      </w:r>
      <w:r>
        <w:rPr>
          <w:rFonts w:hint="eastAsia" w:ascii="Times New Roman" w:hAnsi="Times New Roman" w:eastAsia="方正仿宋_GB2312" w:cs="Times New Roman"/>
          <w:color w:val="auto"/>
          <w:kern w:val="0"/>
          <w:sz w:val="32"/>
          <w:szCs w:val="32"/>
          <w:highlight w:val="none"/>
        </w:rPr>
        <w:t>%。</w:t>
      </w:r>
    </w:p>
    <w:p>
      <w:pPr>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方正仿宋_GB2312" w:cs="Times New Roman"/>
          <w:color w:val="auto"/>
          <w:kern w:val="0"/>
          <w:sz w:val="32"/>
          <w:szCs w:val="32"/>
          <w:highlight w:val="none"/>
          <w:lang w:eastAsia="zh-CN"/>
        </w:rPr>
      </w:pPr>
      <w:r>
        <w:rPr>
          <w:rFonts w:hint="eastAsia" w:ascii="Times New Roman" w:hAnsi="Times New Roman" w:eastAsia="方正仿宋_GB2312" w:cs="Times New Roman"/>
          <w:color w:val="auto"/>
          <w:kern w:val="0"/>
          <w:sz w:val="32"/>
          <w:szCs w:val="32"/>
          <w:highlight w:val="none"/>
        </w:rPr>
        <w:t>2.市州业务主管部门自查自评</w:t>
      </w:r>
      <w:r>
        <w:rPr>
          <w:rFonts w:hint="eastAsia" w:ascii="Times New Roman" w:hAnsi="Times New Roman" w:eastAsia="方正仿宋_GB2312" w:cs="Times New Roman"/>
          <w:color w:val="auto"/>
          <w:kern w:val="0"/>
          <w:sz w:val="32"/>
          <w:szCs w:val="32"/>
          <w:highlight w:val="none"/>
          <w:lang w:eastAsia="zh-CN"/>
        </w:rPr>
        <w:t>（</w:t>
      </w:r>
      <w:r>
        <w:rPr>
          <w:rFonts w:hint="eastAsia" w:ascii="Times New Roman" w:hAnsi="Times New Roman" w:eastAsia="方正仿宋_GB2312" w:cs="Times New Roman"/>
          <w:color w:val="auto"/>
          <w:kern w:val="0"/>
          <w:sz w:val="32"/>
          <w:szCs w:val="32"/>
          <w:highlight w:val="none"/>
          <w:lang w:val="en-US" w:eastAsia="zh-CN"/>
        </w:rPr>
        <w:t>3月中下旬</w:t>
      </w:r>
      <w:r>
        <w:rPr>
          <w:rFonts w:hint="eastAsia" w:ascii="Times New Roman" w:hAnsi="Times New Roman" w:eastAsia="方正仿宋_GB2312" w:cs="Times New Roman"/>
          <w:color w:val="auto"/>
          <w:kern w:val="0"/>
          <w:sz w:val="32"/>
          <w:szCs w:val="32"/>
          <w:highlight w:val="none"/>
          <w:lang w:eastAsia="zh-CN"/>
        </w:rPr>
        <w:t>）</w:t>
      </w:r>
    </w:p>
    <w:p>
      <w:pPr>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方正仿宋_GB2312" w:cs="Times New Roman"/>
          <w:color w:val="auto"/>
          <w:kern w:val="0"/>
          <w:sz w:val="32"/>
          <w:szCs w:val="32"/>
          <w:highlight w:val="none"/>
        </w:rPr>
      </w:pPr>
      <w:r>
        <w:rPr>
          <w:rFonts w:hint="eastAsia" w:ascii="Times New Roman" w:hAnsi="Times New Roman" w:eastAsia="方正仿宋_GB2312" w:cs="Times New Roman"/>
          <w:color w:val="auto"/>
          <w:kern w:val="0"/>
          <w:sz w:val="32"/>
          <w:szCs w:val="32"/>
          <w:highlight w:val="none"/>
        </w:rPr>
        <w:t>各市州主管部门业务科室对照年初项目绩效目标申报方案，对专项资金使用、管理和效益情况进行绩效自评，并撰写绩效评价报告。市州将报告、基础数据表、佐证材料等按时报送至我委办公室。</w:t>
      </w:r>
    </w:p>
    <w:p>
      <w:pPr>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2312" w:cs="Times New Roman"/>
          <w:color w:val="auto"/>
          <w:kern w:val="0"/>
          <w:sz w:val="32"/>
          <w:szCs w:val="32"/>
          <w:highlight w:val="none"/>
          <w:lang w:val="en-US" w:eastAsia="zh-CN"/>
        </w:rPr>
      </w:pPr>
      <w:r>
        <w:rPr>
          <w:rFonts w:hint="eastAsia" w:ascii="Times New Roman" w:hAnsi="Times New Roman" w:eastAsia="方正仿宋_GB2312" w:cs="Times New Roman"/>
          <w:color w:val="auto"/>
          <w:kern w:val="0"/>
          <w:sz w:val="32"/>
          <w:szCs w:val="32"/>
          <w:highlight w:val="none"/>
        </w:rPr>
        <w:t>3.绩效评价工作小组现场评价</w:t>
      </w:r>
      <w:r>
        <w:rPr>
          <w:rFonts w:hint="eastAsia" w:ascii="Times New Roman" w:hAnsi="Times New Roman" w:eastAsia="方正仿宋_GB2312" w:cs="Times New Roman"/>
          <w:color w:val="auto"/>
          <w:kern w:val="0"/>
          <w:sz w:val="32"/>
          <w:szCs w:val="32"/>
          <w:highlight w:val="none"/>
          <w:lang w:val="en-US" w:eastAsia="zh-CN"/>
        </w:rPr>
        <w:t>(3月下旬至4月上旬）</w:t>
      </w:r>
    </w:p>
    <w:p>
      <w:pPr>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方正仿宋_GB2312" w:cs="Times New Roman"/>
          <w:color w:val="auto"/>
          <w:kern w:val="0"/>
          <w:sz w:val="32"/>
          <w:szCs w:val="32"/>
          <w:highlight w:val="none"/>
        </w:rPr>
      </w:pPr>
      <w:r>
        <w:rPr>
          <w:rFonts w:hint="eastAsia" w:ascii="Times New Roman" w:hAnsi="Times New Roman" w:eastAsia="方正仿宋_GB2312" w:cs="Times New Roman"/>
          <w:color w:val="auto"/>
          <w:kern w:val="0"/>
          <w:sz w:val="32"/>
          <w:szCs w:val="32"/>
          <w:highlight w:val="none"/>
        </w:rPr>
        <w:t>绩效评价工作小组抽样确定进行现场评价的项目和实施地点并组织开展了现场评价工作，主要听取了项目建设情况介绍，核查了2022年专项资金使用和管理、财务账目等情况，征求项目受众意见，了解了建设效果及存在的问题。</w:t>
      </w:r>
    </w:p>
    <w:p>
      <w:pPr>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方正仿宋_GB2312" w:cs="Times New Roman"/>
          <w:color w:val="auto"/>
          <w:kern w:val="0"/>
          <w:sz w:val="32"/>
          <w:szCs w:val="32"/>
          <w:highlight w:val="none"/>
          <w:lang w:eastAsia="zh-CN"/>
        </w:rPr>
      </w:pPr>
      <w:r>
        <w:rPr>
          <w:rFonts w:hint="eastAsia" w:ascii="Times New Roman" w:hAnsi="Times New Roman" w:eastAsia="方正仿宋_GB2312" w:cs="Times New Roman"/>
          <w:color w:val="auto"/>
          <w:kern w:val="0"/>
          <w:sz w:val="32"/>
          <w:szCs w:val="32"/>
          <w:highlight w:val="none"/>
        </w:rPr>
        <w:t>4.形成绩效评价报告</w:t>
      </w:r>
      <w:r>
        <w:rPr>
          <w:rFonts w:hint="eastAsia" w:ascii="Times New Roman" w:hAnsi="Times New Roman" w:eastAsia="方正仿宋_GB2312" w:cs="Times New Roman"/>
          <w:color w:val="auto"/>
          <w:kern w:val="0"/>
          <w:sz w:val="32"/>
          <w:szCs w:val="32"/>
          <w:highlight w:val="none"/>
          <w:lang w:eastAsia="zh-CN"/>
        </w:rPr>
        <w:t>（</w:t>
      </w:r>
      <w:r>
        <w:rPr>
          <w:rFonts w:hint="eastAsia" w:ascii="Times New Roman" w:hAnsi="Times New Roman" w:eastAsia="方正仿宋_GB2312" w:cs="Times New Roman"/>
          <w:color w:val="auto"/>
          <w:kern w:val="0"/>
          <w:sz w:val="32"/>
          <w:szCs w:val="32"/>
          <w:highlight w:val="none"/>
          <w:lang w:val="en-US" w:eastAsia="zh-CN"/>
        </w:rPr>
        <w:t>4月中下旬</w:t>
      </w:r>
      <w:r>
        <w:rPr>
          <w:rFonts w:hint="eastAsia" w:ascii="Times New Roman" w:hAnsi="Times New Roman" w:eastAsia="方正仿宋_GB2312" w:cs="Times New Roman"/>
          <w:color w:val="auto"/>
          <w:kern w:val="0"/>
          <w:sz w:val="32"/>
          <w:szCs w:val="32"/>
          <w:highlight w:val="none"/>
          <w:lang w:eastAsia="zh-CN"/>
        </w:rPr>
        <w:t>）</w:t>
      </w:r>
    </w:p>
    <w:p>
      <w:pPr>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方正仿宋_GB2312" w:cs="Times New Roman"/>
          <w:color w:val="auto"/>
          <w:kern w:val="0"/>
          <w:sz w:val="32"/>
          <w:szCs w:val="32"/>
          <w:highlight w:val="none"/>
        </w:rPr>
      </w:pPr>
      <w:r>
        <w:rPr>
          <w:rFonts w:hint="eastAsia" w:ascii="Times New Roman" w:hAnsi="Times New Roman" w:eastAsia="方正仿宋_GB2312" w:cs="Times New Roman"/>
          <w:color w:val="auto"/>
          <w:kern w:val="0"/>
          <w:sz w:val="32"/>
          <w:szCs w:val="32"/>
          <w:highlight w:val="none"/>
        </w:rPr>
        <w:t>绩效评价工作小组通过对项目实施单位提交的材料查证复核和对现场评价情况进行综合分析，最终形成绩效评价报告。</w:t>
      </w:r>
    </w:p>
    <w:p>
      <w:pPr>
        <w:pageBreakBefore w:val="0"/>
        <w:widowControl/>
        <w:kinsoku/>
        <w:wordWrap/>
        <w:overflowPunct/>
        <w:topLinePunct w:val="0"/>
        <w:autoSpaceDE/>
        <w:autoSpaceDN/>
        <w:bidi w:val="0"/>
        <w:spacing w:line="560" w:lineRule="exact"/>
        <w:ind w:firstLine="640" w:firstLineChars="200"/>
        <w:textAlignment w:val="auto"/>
        <w:rPr>
          <w:rFonts w:ascii="黑体" w:eastAsia="黑体"/>
          <w:color w:val="auto"/>
          <w:kern w:val="0"/>
          <w:sz w:val="32"/>
          <w:szCs w:val="32"/>
          <w:highlight w:val="none"/>
        </w:rPr>
      </w:pPr>
      <w:r>
        <w:rPr>
          <w:rFonts w:hint="eastAsia" w:ascii="黑体" w:hAnsi="仿宋" w:eastAsia="黑体"/>
          <w:color w:val="auto"/>
          <w:kern w:val="0"/>
          <w:sz w:val="32"/>
          <w:szCs w:val="32"/>
          <w:highlight w:val="none"/>
        </w:rPr>
        <w:t>三、综合评价情况及评价结论</w:t>
      </w:r>
    </w:p>
    <w:p>
      <w:pPr>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2312" w:cs="Times New Roman"/>
          <w:color w:val="auto"/>
          <w:kern w:val="0"/>
          <w:sz w:val="32"/>
          <w:szCs w:val="32"/>
          <w:highlight w:val="none"/>
          <w:lang w:val="en-US" w:eastAsia="zh-CN"/>
        </w:rPr>
      </w:pPr>
      <w:r>
        <w:rPr>
          <w:rFonts w:hint="eastAsia" w:ascii="Times New Roman" w:hAnsi="Times New Roman" w:eastAsia="方正仿宋_GB2312" w:cs="Times New Roman"/>
          <w:color w:val="auto"/>
          <w:kern w:val="0"/>
          <w:sz w:val="32"/>
          <w:szCs w:val="32"/>
          <w:highlight w:val="none"/>
          <w:lang w:val="en-US" w:eastAsia="zh-CN"/>
        </w:rPr>
        <w:t>我委在2022年省级少数民族工作专项资金分配3013万，散居少数民族发展资金数量为1485万、少数民族文化事业发展资金数量为850万、民族团结进步创建资金数量为350万、民族事务服务体系建设资金数量为328万。其中少数民族文化事业发展有力保护了少数民族古籍，传承少数民族文化。有效推动了民族地区巩固和拓展脱贫攻坚成果同乡村振兴有效衔接。散居少数民族发展促进了铸牢中华民族共同体意识的发展。民族团结进步创建促进民族团结事业全面进步。</w:t>
      </w:r>
    </w:p>
    <w:p>
      <w:pPr>
        <w:pageBreakBefore w:val="0"/>
        <w:kinsoku/>
        <w:wordWrap/>
        <w:overflowPunct/>
        <w:topLinePunct w:val="0"/>
        <w:autoSpaceDE/>
        <w:autoSpaceDN/>
        <w:bidi w:val="0"/>
        <w:spacing w:line="560" w:lineRule="exact"/>
        <w:ind w:firstLine="640" w:firstLineChars="200"/>
        <w:textAlignment w:val="auto"/>
        <w:rPr>
          <w:color w:val="auto"/>
          <w:highlight w:val="none"/>
        </w:rPr>
      </w:pPr>
      <w:r>
        <w:rPr>
          <w:rFonts w:hint="eastAsia" w:ascii="Times New Roman" w:hAnsi="Times New Roman" w:eastAsia="方正仿宋_GB2312" w:cs="Times New Roman"/>
          <w:color w:val="auto"/>
          <w:kern w:val="0"/>
          <w:sz w:val="32"/>
          <w:szCs w:val="32"/>
          <w:highlight w:val="none"/>
        </w:rPr>
        <w:t xml:space="preserve">根据少数民族工作专项中各个子项的综合评分，得出2022年度少数民族工作专项资金绩效评价得分为 </w:t>
      </w:r>
      <w:r>
        <w:rPr>
          <w:rFonts w:hint="eastAsia" w:ascii="Times New Roman" w:hAnsi="Times New Roman" w:eastAsia="方正仿宋_GB2312" w:cs="Times New Roman"/>
          <w:color w:val="auto"/>
          <w:kern w:val="0"/>
          <w:sz w:val="32"/>
          <w:szCs w:val="32"/>
          <w:highlight w:val="none"/>
          <w:lang w:val="en-US" w:eastAsia="zh-CN"/>
        </w:rPr>
        <w:t>96.68</w:t>
      </w:r>
      <w:r>
        <w:rPr>
          <w:rFonts w:hint="eastAsia" w:ascii="Times New Roman" w:hAnsi="Times New Roman" w:eastAsia="方正仿宋_GB2312" w:cs="Times New Roman"/>
          <w:color w:val="auto"/>
          <w:kern w:val="0"/>
          <w:sz w:val="32"/>
          <w:szCs w:val="32"/>
          <w:highlight w:val="none"/>
        </w:rPr>
        <w:t>分，财政支出绩效等级为“优秀”（评价指标表见附表1）。</w:t>
      </w:r>
    </w:p>
    <w:p>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highlight w:val="none"/>
        </w:rPr>
      </w:pPr>
      <w:r>
        <w:rPr>
          <w:rFonts w:hint="eastAsia" w:ascii="仿宋" w:hAnsi="仿宋" w:eastAsia="仿宋" w:cs="仿宋"/>
          <w:color w:val="auto"/>
          <w:kern w:val="0"/>
          <w:sz w:val="32"/>
          <w:szCs w:val="32"/>
          <w:highlight w:val="none"/>
          <w:lang w:val="en-US" w:eastAsia="zh-CN"/>
        </w:rPr>
        <w:t>指标扣分情况。资金使用合规性指标满分为7分，资金使用不规范2例，扣0.9分； 管理制度健全性指标满分为4分，专项资金管理办法规定的使用范围不明确，扣1分；制度执行有效性指标满分4分，3例不规范扣0.3分；建档率指标满分2分，部分资料缺失扣0.8分；实际完成率指标满分8分，实际项目未完成扣0.01分；质量达标率指标满分6分，部分项目验收不规范扣0.2分；项目实施及时率指标满分5分，部分未及时实施扣0.01分。</w:t>
      </w:r>
    </w:p>
    <w:p>
      <w:pPr>
        <w:pageBreakBefore w:val="0"/>
        <w:tabs>
          <w:tab w:val="center" w:pos="4473"/>
        </w:tabs>
        <w:kinsoku/>
        <w:wordWrap/>
        <w:overflowPunct/>
        <w:topLinePunct w:val="0"/>
        <w:autoSpaceDE/>
        <w:autoSpaceDN/>
        <w:bidi w:val="0"/>
        <w:adjustRightInd w:val="0"/>
        <w:snapToGrid w:val="0"/>
        <w:spacing w:line="560" w:lineRule="exact"/>
        <w:ind w:firstLine="640" w:firstLineChars="200"/>
        <w:textAlignment w:val="auto"/>
        <w:rPr>
          <w:rFonts w:eastAsia="黑体"/>
          <w:color w:val="auto"/>
          <w:sz w:val="32"/>
          <w:szCs w:val="32"/>
          <w:highlight w:val="none"/>
        </w:rPr>
      </w:pPr>
      <w:r>
        <w:rPr>
          <w:rFonts w:hint="eastAsia" w:eastAsia="黑体"/>
          <w:color w:val="auto"/>
          <w:sz w:val="32"/>
          <w:szCs w:val="32"/>
          <w:highlight w:val="none"/>
        </w:rPr>
        <w:t>四</w:t>
      </w:r>
      <w:r>
        <w:rPr>
          <w:rFonts w:eastAsia="黑体"/>
          <w:color w:val="auto"/>
          <w:sz w:val="32"/>
          <w:szCs w:val="32"/>
          <w:highlight w:val="none"/>
        </w:rPr>
        <w:t>、</w:t>
      </w:r>
      <w:r>
        <w:rPr>
          <w:rFonts w:hint="eastAsia" w:eastAsia="黑体"/>
          <w:color w:val="auto"/>
          <w:sz w:val="32"/>
          <w:szCs w:val="32"/>
          <w:highlight w:val="none"/>
        </w:rPr>
        <w:t>主要绩效情况</w:t>
      </w:r>
      <w:r>
        <w:rPr>
          <w:rFonts w:eastAsia="黑体"/>
          <w:color w:val="auto"/>
          <w:sz w:val="32"/>
          <w:szCs w:val="32"/>
          <w:highlight w:val="none"/>
        </w:rPr>
        <w:tab/>
      </w:r>
    </w:p>
    <w:p>
      <w:pPr>
        <w:pageBreakBefore w:val="0"/>
        <w:kinsoku/>
        <w:wordWrap/>
        <w:overflowPunct/>
        <w:topLinePunct w:val="0"/>
        <w:autoSpaceDE/>
        <w:autoSpaceDN/>
        <w:bidi w:val="0"/>
        <w:spacing w:line="560" w:lineRule="exact"/>
        <w:ind w:firstLine="643" w:firstLineChars="200"/>
        <w:textAlignment w:val="auto"/>
        <w:outlineLvl w:val="1"/>
        <w:rPr>
          <w:rFonts w:eastAsia="方正楷体_GB2312"/>
          <w:b/>
          <w:bCs/>
          <w:color w:val="auto"/>
          <w:sz w:val="32"/>
          <w:highlight w:val="none"/>
        </w:rPr>
      </w:pPr>
      <w:r>
        <w:rPr>
          <w:rFonts w:hint="eastAsia" w:eastAsia="方正楷体_GB2312"/>
          <w:b/>
          <w:bCs/>
          <w:color w:val="auto"/>
          <w:sz w:val="32"/>
          <w:highlight w:val="none"/>
        </w:rPr>
        <w:t>（一）少数民族文化事业发展</w:t>
      </w:r>
    </w:p>
    <w:p>
      <w:pPr>
        <w:pStyle w:val="11"/>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方正仿宋_GB2312"/>
          <w:color w:val="auto"/>
          <w:sz w:val="32"/>
          <w:szCs w:val="32"/>
          <w:highlight w:val="none"/>
        </w:rPr>
      </w:pPr>
      <w:r>
        <w:rPr>
          <w:rFonts w:hint="eastAsia" w:ascii="Times New Roman" w:hAnsi="Times New Roman" w:eastAsia="方正仿宋_GB2312" w:cs="Times New Roman"/>
          <w:color w:val="auto"/>
          <w:kern w:val="0"/>
          <w:sz w:val="32"/>
          <w:szCs w:val="32"/>
          <w:highlight w:val="none"/>
        </w:rPr>
        <w:t>2022年少数民族文化资金850</w:t>
      </w:r>
      <w:r>
        <w:rPr>
          <w:rFonts w:hint="eastAsia" w:ascii="Times New Roman" w:hAnsi="Times New Roman" w:eastAsia="方正仿宋_GB2312" w:cs="Times New Roman"/>
          <w:color w:val="auto"/>
          <w:kern w:val="0"/>
          <w:sz w:val="32"/>
          <w:szCs w:val="32"/>
          <w:highlight w:val="none"/>
          <w:lang w:val="en-US" w:eastAsia="zh-CN"/>
        </w:rPr>
        <w:t>.00</w:t>
      </w:r>
      <w:r>
        <w:rPr>
          <w:rFonts w:hint="eastAsia" w:ascii="Times New Roman" w:hAnsi="Times New Roman" w:eastAsia="方正仿宋_GB2312" w:cs="Times New Roman"/>
          <w:color w:val="auto"/>
          <w:kern w:val="0"/>
          <w:sz w:val="32"/>
          <w:szCs w:val="32"/>
          <w:highlight w:val="none"/>
        </w:rPr>
        <w:t>万元主要用于支持文艺调演、民族文化传承保护、民族传统体育训练基地建设、民族节庆活动等重点项目；打造民族文化进校园进社区特色项目；支持文化建设、古籍整理及影视拍摄收集、全民健身等项目，均发挥了较好的效益。如第八届湖南省“两个建设”主题演讲</w:t>
      </w:r>
      <w:r>
        <w:rPr>
          <w:rFonts w:hint="eastAsia" w:ascii="Times New Roman" w:hAnsi="Times New Roman" w:eastAsia="方正仿宋_GB2312" w:cs="Times New Roman"/>
          <w:color w:val="auto"/>
          <w:kern w:val="0"/>
          <w:sz w:val="32"/>
          <w:szCs w:val="32"/>
          <w:highlight w:val="none"/>
          <w:lang w:val="en-US" w:eastAsia="zh-CN"/>
        </w:rPr>
        <w:t>比赛</w:t>
      </w:r>
      <w:r>
        <w:rPr>
          <w:rFonts w:hint="eastAsia" w:ascii="Times New Roman" w:hAnsi="Times New Roman" w:eastAsia="方正仿宋_GB2312" w:cs="Times New Roman"/>
          <w:color w:val="auto"/>
          <w:kern w:val="0"/>
          <w:sz w:val="32"/>
          <w:szCs w:val="32"/>
          <w:highlight w:val="none"/>
        </w:rPr>
        <w:t>成功举办，联合省教育厅、团省委做好了第八届湖南省“铸牛中华民族共同体意识 建设伟大祖国 建设美丽家乡”主题演讲比赛各项组织工作，在长沙成功举办主题演讲比赛，本次大赛共有192名选手报名参赛，分为高中组和高校组两大组别，经过评审专家初评后，来自全省32所学校、11个民族的32名选手们同合竞技，抒发对家乡和祖国的热爱之情，表达永远跟党走的信心和决心。</w:t>
      </w:r>
      <w:r>
        <w:rPr>
          <w:rFonts w:hint="eastAsia" w:ascii="Times New Roman" w:hAnsi="Times New Roman" w:eastAsia="方正仿宋_GB2312" w:cs="Times New Roman"/>
          <w:color w:val="auto"/>
          <w:kern w:val="0"/>
          <w:sz w:val="32"/>
          <w:szCs w:val="32"/>
          <w:highlight w:val="none"/>
          <w:lang w:val="en-US" w:eastAsia="zh-CN"/>
        </w:rPr>
        <w:t>常德市</w:t>
      </w:r>
      <w:r>
        <w:rPr>
          <w:rFonts w:hint="eastAsia" w:ascii="仿宋" w:hAnsi="仿宋" w:eastAsia="仿宋" w:cs="仿宋"/>
          <w:color w:val="auto"/>
          <w:kern w:val="2"/>
          <w:sz w:val="32"/>
          <w:szCs w:val="32"/>
          <w:highlight w:val="none"/>
          <w:lang w:val="en-US" w:eastAsia="zh-CN" w:bidi="ar-SA"/>
        </w:rPr>
        <w:t>石门县开展铸牢中华民族共同体意识知识竞赛。比赛为期三天，县直组、乡镇组共50支队伍、150名选手参加比赛。分别角逐出一等奖2名，二等奖4名，三等奖4名。石门电视台分段录播，石门融媒、石门全媒、石门新闻网实时跟进报道，扩大宣传面，营造浓厚氛围，充实了9月份民族团结进步宣传月活动，有效推进了铸牢中华民族共同体意识宣传教育，将中央、省委民族工作会议精神以干部群众喜闻乐见的方式全县普及。娄底市</w:t>
      </w:r>
      <w:r>
        <w:rPr>
          <w:rFonts w:hint="eastAsia" w:ascii="Times New Roman" w:hAnsi="Times New Roman" w:eastAsia="方正仿宋_GB2312"/>
          <w:color w:val="auto"/>
          <w:sz w:val="32"/>
          <w:szCs w:val="32"/>
          <w:highlight w:val="none"/>
        </w:rPr>
        <w:t>土坪村</w:t>
      </w:r>
      <w:r>
        <w:rPr>
          <w:rFonts w:hint="eastAsia" w:ascii="Times New Roman" w:hAnsi="Times New Roman" w:eastAsia="方正仿宋_GB2312"/>
          <w:color w:val="auto"/>
          <w:sz w:val="32"/>
          <w:szCs w:val="32"/>
          <w:highlight w:val="none"/>
          <w:lang w:val="en-US" w:eastAsia="zh-CN"/>
        </w:rPr>
        <w:t>开展</w:t>
      </w:r>
      <w:r>
        <w:rPr>
          <w:rFonts w:hint="eastAsia" w:ascii="Times New Roman" w:hAnsi="Times New Roman" w:eastAsia="方正仿宋_GB2312"/>
          <w:color w:val="auto"/>
          <w:sz w:val="32"/>
          <w:szCs w:val="32"/>
          <w:highlight w:val="none"/>
        </w:rPr>
        <w:t>非遗保护项目新化山歌--《瑶旺天边外》周末常态化演出，2022年度常态化演出13场次（受疫情等原因影响）</w:t>
      </w:r>
      <w:r>
        <w:rPr>
          <w:rFonts w:hint="eastAsia" w:ascii="Times New Roman" w:hAnsi="Times New Roman" w:eastAsia="方正仿宋_GB2312"/>
          <w:color w:val="auto"/>
          <w:sz w:val="32"/>
          <w:szCs w:val="32"/>
          <w:highlight w:val="none"/>
          <w:lang w:eastAsia="zh-CN"/>
        </w:rPr>
        <w:t>。</w:t>
      </w:r>
      <w:r>
        <w:rPr>
          <w:rFonts w:hint="eastAsia" w:ascii="Times New Roman" w:hAnsi="Times New Roman" w:eastAsia="方正仿宋_GB2312"/>
          <w:color w:val="auto"/>
          <w:sz w:val="32"/>
          <w:szCs w:val="32"/>
          <w:highlight w:val="none"/>
        </w:rPr>
        <w:t>化山歌系列之《瑶旺天边外》民俗演艺项目以新化山歌为主要表现形式，以天门乡本土物质文化遗产的挖掘、整理为基础，对原始民俗演出方式进行艺术改造。</w:t>
      </w:r>
      <w:r>
        <w:rPr>
          <w:rFonts w:hint="eastAsia" w:ascii="Times New Roman" w:hAnsi="Times New Roman" w:eastAsia="方正仿宋_GB2312" w:cs="Times New Roman"/>
          <w:color w:val="auto"/>
          <w:kern w:val="0"/>
          <w:sz w:val="32"/>
          <w:szCs w:val="32"/>
          <w:highlight w:val="none"/>
          <w:lang w:val="en-US" w:eastAsia="zh-CN"/>
        </w:rPr>
        <w:t>现场评价长沙、郴州、永州、常德中少数民族事业文化发展数量13个。</w:t>
      </w:r>
    </w:p>
    <w:p>
      <w:pPr>
        <w:pageBreakBefore w:val="0"/>
        <w:kinsoku/>
        <w:wordWrap/>
        <w:overflowPunct/>
        <w:topLinePunct w:val="0"/>
        <w:autoSpaceDE/>
        <w:autoSpaceDN/>
        <w:bidi w:val="0"/>
        <w:spacing w:line="560" w:lineRule="exact"/>
        <w:ind w:firstLine="643" w:firstLineChars="200"/>
        <w:textAlignment w:val="auto"/>
        <w:outlineLvl w:val="1"/>
        <w:rPr>
          <w:rFonts w:eastAsia="方正楷体_GB2312"/>
          <w:b/>
          <w:bCs/>
          <w:color w:val="auto"/>
          <w:sz w:val="32"/>
          <w:highlight w:val="none"/>
        </w:rPr>
      </w:pPr>
      <w:r>
        <w:rPr>
          <w:rFonts w:hint="eastAsia" w:eastAsia="方正楷体_GB2312"/>
          <w:b/>
          <w:bCs/>
          <w:color w:val="auto"/>
          <w:sz w:val="32"/>
          <w:highlight w:val="none"/>
        </w:rPr>
        <w:t>（二）</w:t>
      </w:r>
      <w:r>
        <w:rPr>
          <w:rFonts w:eastAsia="方正楷体_GB2312"/>
          <w:b/>
          <w:bCs/>
          <w:color w:val="auto"/>
          <w:sz w:val="32"/>
          <w:highlight w:val="none"/>
        </w:rPr>
        <w:t>民族团结进步创建</w:t>
      </w:r>
    </w:p>
    <w:p>
      <w:pPr>
        <w:pStyle w:val="11"/>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2312" w:cs="Times New Roman"/>
          <w:color w:val="auto"/>
          <w:kern w:val="0"/>
          <w:sz w:val="32"/>
          <w:szCs w:val="32"/>
          <w:highlight w:val="none"/>
          <w:lang w:val="en-US" w:eastAsia="zh-CN"/>
        </w:rPr>
      </w:pPr>
      <w:r>
        <w:rPr>
          <w:rFonts w:hint="eastAsia" w:ascii="Times New Roman" w:hAnsi="Times New Roman" w:eastAsia="方正仿宋_GB2312" w:cs="Times New Roman"/>
          <w:color w:val="auto"/>
          <w:kern w:val="0"/>
          <w:sz w:val="32"/>
          <w:szCs w:val="32"/>
          <w:highlight w:val="none"/>
        </w:rPr>
        <w:t>2022年民族团结进步创建资金350万元主要用于加大对重点支持的民族团结进步示范区（单位）的指导力。实施《湖南省武陵山片区民族团结进步创建工作方案（2020—2023）》，指导武陵山片区张家界、怀化、湘西州、邵阳等地创建全国民族团结进步示范市（州），湘西州</w:t>
      </w:r>
      <w:r>
        <w:rPr>
          <w:rFonts w:hint="eastAsia" w:ascii="Times New Roman" w:hAnsi="Times New Roman" w:eastAsia="方正仿宋_GB2312" w:cs="Times New Roman"/>
          <w:color w:val="auto"/>
          <w:kern w:val="0"/>
          <w:sz w:val="32"/>
          <w:szCs w:val="32"/>
          <w:highlight w:val="none"/>
          <w:lang w:val="en-US" w:eastAsia="zh-CN"/>
        </w:rPr>
        <w:t>重获全国民族团结进步示范州</w:t>
      </w:r>
      <w:r>
        <w:rPr>
          <w:rFonts w:hint="eastAsia" w:ascii="Times New Roman" w:hAnsi="Times New Roman" w:eastAsia="方正仿宋_GB2312" w:cs="Times New Roman"/>
          <w:color w:val="auto"/>
          <w:kern w:val="0"/>
          <w:sz w:val="32"/>
          <w:szCs w:val="32"/>
          <w:highlight w:val="none"/>
        </w:rPr>
        <w:t>。建立</w:t>
      </w:r>
      <w:r>
        <w:rPr>
          <w:rFonts w:hint="eastAsia" w:ascii="Times New Roman" w:hAnsi="Times New Roman" w:eastAsia="方正仿宋_GB2312" w:cs="Times New Roman"/>
          <w:color w:val="auto"/>
          <w:kern w:val="0"/>
          <w:sz w:val="32"/>
          <w:szCs w:val="32"/>
          <w:highlight w:val="none"/>
          <w:lang w:val="en-US" w:eastAsia="zh-CN"/>
        </w:rPr>
        <w:t>健全</w:t>
      </w:r>
      <w:r>
        <w:rPr>
          <w:rFonts w:hint="eastAsia" w:ascii="Times New Roman" w:hAnsi="Times New Roman" w:eastAsia="方正仿宋_GB2312" w:cs="Times New Roman"/>
          <w:color w:val="auto"/>
          <w:kern w:val="0"/>
          <w:sz w:val="32"/>
          <w:szCs w:val="32"/>
          <w:highlight w:val="none"/>
        </w:rPr>
        <w:t>民族团结进步创建工作第三方评估制度，完善测评指标体系和考核办法，加强对已命名示范区（单位）的动态管理。2022 年向国家民委推荐 14 个全国民族团结进步示范区（单位），</w:t>
      </w:r>
      <w:r>
        <w:rPr>
          <w:rFonts w:hint="eastAsia" w:ascii="Times New Roman" w:hAnsi="Times New Roman" w:eastAsia="方正仿宋_GB2312" w:cs="Times New Roman"/>
          <w:color w:val="auto"/>
          <w:kern w:val="0"/>
          <w:sz w:val="32"/>
          <w:szCs w:val="32"/>
          <w:highlight w:val="none"/>
          <w:lang w:val="en-US" w:eastAsia="zh-CN"/>
        </w:rPr>
        <w:t>有6个单位获评全国民族团结进步示范单位，我省</w:t>
      </w:r>
      <w:r>
        <w:rPr>
          <w:rFonts w:hint="eastAsia" w:ascii="Times New Roman" w:hAnsi="Times New Roman" w:eastAsia="方正仿宋_GB2312" w:cs="Times New Roman"/>
          <w:color w:val="auto"/>
          <w:kern w:val="0"/>
          <w:sz w:val="32"/>
          <w:szCs w:val="32"/>
          <w:highlight w:val="none"/>
        </w:rPr>
        <w:t>新命名30 个全省民族团结进步示范区（单位）、10个全省民族团结进步教育基地。</w:t>
      </w:r>
      <w:r>
        <w:rPr>
          <w:rFonts w:hint="eastAsia" w:ascii="Times New Roman" w:hAnsi="Times New Roman" w:eastAsia="方正仿宋_GB2312" w:cs="Times New Roman"/>
          <w:color w:val="auto"/>
          <w:kern w:val="0"/>
          <w:sz w:val="32"/>
          <w:szCs w:val="32"/>
          <w:highlight w:val="none"/>
          <w:lang w:val="en-US" w:eastAsia="zh-CN"/>
        </w:rPr>
        <w:t>在常德市桃源县召开</w:t>
      </w:r>
      <w:r>
        <w:rPr>
          <w:rFonts w:hint="eastAsia" w:ascii="仿宋" w:hAnsi="仿宋" w:eastAsia="仿宋" w:cs="仿宋"/>
          <w:color w:val="auto"/>
          <w:sz w:val="32"/>
          <w:szCs w:val="32"/>
          <w:highlight w:val="none"/>
          <w:lang w:val="en-US" w:eastAsia="zh-CN"/>
        </w:rPr>
        <w:t>现场推进会和落实“三项计划”启动仪式，旨在促进各民族交流交往交融，有效推进铸牢中华民族共同体意识宣传教育。对长沙、郴州、永州市的12个创全国和全省民族团结进步示范区（单位）进行了现场评估。</w:t>
      </w:r>
    </w:p>
    <w:p>
      <w:pPr>
        <w:pageBreakBefore w:val="0"/>
        <w:kinsoku/>
        <w:wordWrap/>
        <w:overflowPunct/>
        <w:topLinePunct w:val="0"/>
        <w:autoSpaceDE/>
        <w:autoSpaceDN/>
        <w:bidi w:val="0"/>
        <w:spacing w:line="560" w:lineRule="exact"/>
        <w:ind w:firstLine="643" w:firstLineChars="200"/>
        <w:textAlignment w:val="auto"/>
        <w:outlineLvl w:val="1"/>
        <w:rPr>
          <w:rFonts w:eastAsia="方正楷体_GB2312"/>
          <w:b/>
          <w:bCs/>
          <w:color w:val="auto"/>
          <w:sz w:val="32"/>
          <w:highlight w:val="none"/>
        </w:rPr>
      </w:pPr>
      <w:r>
        <w:rPr>
          <w:rFonts w:hint="eastAsia" w:eastAsia="方正楷体_GB2312"/>
          <w:b/>
          <w:bCs/>
          <w:color w:val="auto"/>
          <w:sz w:val="32"/>
          <w:highlight w:val="none"/>
        </w:rPr>
        <w:t>（三）</w:t>
      </w:r>
      <w:r>
        <w:rPr>
          <w:rFonts w:eastAsia="方正楷体_GB2312"/>
          <w:b/>
          <w:bCs/>
          <w:color w:val="auto"/>
          <w:sz w:val="32"/>
          <w:highlight w:val="none"/>
        </w:rPr>
        <w:t>散居少数民族发展</w:t>
      </w:r>
    </w:p>
    <w:p>
      <w:pPr>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方正仿宋_GB2312" w:cs="Times New Roman"/>
          <w:color w:val="auto"/>
          <w:kern w:val="0"/>
          <w:sz w:val="32"/>
          <w:szCs w:val="32"/>
          <w:highlight w:val="none"/>
        </w:rPr>
      </w:pPr>
      <w:r>
        <w:rPr>
          <w:rFonts w:hint="eastAsia" w:ascii="Times New Roman" w:hAnsi="Times New Roman" w:eastAsia="方正仿宋_GB2312" w:cs="Times New Roman"/>
          <w:color w:val="auto"/>
          <w:kern w:val="0"/>
          <w:sz w:val="32"/>
          <w:szCs w:val="32"/>
          <w:highlight w:val="none"/>
        </w:rPr>
        <w:t>2022年散居少数民族发展资金1,485万元共安排到10个市40个区县。由于按照因素法分配资金，资金项目安排权在县市区，有利于基层统筹整合资源集中使用办大事，解决了大问题，产生了大效益。一是支持民族乡乡庆，推动民族乡经济社会发展。乡庆项目是省级民族专项（散居）资金扶持的重点，尽管资金量有限，但撬动效果十分明显。各级民族工作部门充分发挥散居资金的引导作用，很好地撬动其它方面资金的支持，有力推动了民族乡经济社会发展和全面建成小康社会步伐。2022年我委联系指导永州、邵阳、怀化3市5县9个民族乡乡庆项目实施和筹备工作，并根据疫情情况对民族乡乡庆活动适时调整。通过举行庆典活动，撬动其它支持乡庆资金，充分展示民族乡经济社会发展成果和各种干部群众的奋发向上精神面貌，营造了民族团结进步的和谐氛围。</w:t>
      </w:r>
    </w:p>
    <w:p>
      <w:pPr>
        <w:pStyle w:val="11"/>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方正仿宋_GB2312" w:cs="Times New Roman"/>
          <w:color w:val="auto"/>
          <w:kern w:val="0"/>
          <w:sz w:val="32"/>
          <w:szCs w:val="32"/>
          <w:highlight w:val="none"/>
        </w:rPr>
      </w:pPr>
      <w:r>
        <w:rPr>
          <w:rFonts w:hint="eastAsia" w:ascii="Times New Roman" w:hAnsi="Times New Roman" w:eastAsia="方正仿宋_GB2312" w:cs="Times New Roman"/>
          <w:color w:val="auto"/>
          <w:kern w:val="0"/>
          <w:sz w:val="32"/>
          <w:szCs w:val="32"/>
          <w:highlight w:val="none"/>
        </w:rPr>
        <w:t>二是加强少数民族特色村寨保护发展、支持利用少数民族文化资源推动乡风文明建设、支持十五个乡村重点帮扶县跨越式发展、继续做好驻村帮扶、加强农村宗教工作等六方面具体工作举措。按照《湖南省民族工作“十四五”发展规划》，深入开展了第二批民族乡村振兴试点单位评审工作，共新增认定 35家省级民族乡村振兴试点单位，充分发挥试点乡村的示范引领作用。对首批获评的民族客栈及示范单位进行挂牌，将民族客栈评定列入常态化工作</w:t>
      </w:r>
      <w:r>
        <w:rPr>
          <w:rFonts w:hint="eastAsia" w:ascii="Times New Roman" w:hAnsi="Times New Roman" w:eastAsia="方正仿宋_GB2312" w:cs="Times New Roman"/>
          <w:color w:val="auto"/>
          <w:kern w:val="0"/>
          <w:sz w:val="32"/>
          <w:szCs w:val="32"/>
          <w:highlight w:val="none"/>
          <w:lang w:eastAsia="zh-CN"/>
        </w:rPr>
        <w:t>。</w:t>
      </w:r>
      <w:r>
        <w:rPr>
          <w:rFonts w:hint="eastAsia" w:ascii="Times New Roman" w:hAnsi="Times New Roman" w:eastAsia="方正仿宋_GB2312" w:cs="Times New Roman"/>
          <w:color w:val="auto"/>
          <w:kern w:val="0"/>
          <w:sz w:val="32"/>
          <w:szCs w:val="32"/>
          <w:highlight w:val="none"/>
          <w:lang w:val="en-US" w:eastAsia="zh-CN"/>
        </w:rPr>
        <w:t>我委于2022年</w:t>
      </w:r>
      <w:r>
        <w:rPr>
          <w:rFonts w:ascii="方正仿宋_GB2312" w:hAnsi="方正仿宋_GB2312" w:eastAsia="方正仿宋_GB2312" w:cs="方正仿宋_GB2312"/>
          <w:color w:val="auto"/>
          <w:sz w:val="32"/>
          <w:szCs w:val="32"/>
          <w:highlight w:val="none"/>
        </w:rPr>
        <w:t>支持</w:t>
      </w:r>
      <w:r>
        <w:rPr>
          <w:rFonts w:hint="eastAsia" w:ascii="方正仿宋_GB2312" w:hAnsi="方正仿宋_GB2312" w:eastAsia="方正仿宋_GB2312" w:cs="方正仿宋_GB2312"/>
          <w:color w:val="auto"/>
          <w:sz w:val="32"/>
          <w:szCs w:val="32"/>
          <w:highlight w:val="none"/>
          <w:lang w:val="en-US" w:eastAsia="zh-CN"/>
        </w:rPr>
        <w:t>了9</w:t>
      </w:r>
      <w:r>
        <w:rPr>
          <w:rFonts w:ascii="方正仿宋_GB2312" w:hAnsi="方正仿宋_GB2312" w:eastAsia="方正仿宋_GB2312" w:cs="方正仿宋_GB2312"/>
          <w:color w:val="auto"/>
          <w:sz w:val="32"/>
          <w:szCs w:val="32"/>
          <w:highlight w:val="none"/>
        </w:rPr>
        <w:t>个民族乡逢十庆典，支持</w:t>
      </w:r>
      <w:r>
        <w:rPr>
          <w:rFonts w:hint="eastAsia" w:ascii="方正仿宋_GB2312" w:hAnsi="方正仿宋_GB2312" w:eastAsia="方正仿宋_GB2312" w:cs="方正仿宋_GB2312"/>
          <w:color w:val="auto"/>
          <w:sz w:val="32"/>
          <w:szCs w:val="32"/>
          <w:highlight w:val="none"/>
          <w:lang w:val="en-US" w:eastAsia="zh-CN"/>
        </w:rPr>
        <w:t>了</w:t>
      </w:r>
      <w:r>
        <w:rPr>
          <w:rFonts w:ascii="方正仿宋_GB2312" w:hAnsi="方正仿宋_GB2312" w:eastAsia="方正仿宋_GB2312" w:cs="方正仿宋_GB2312"/>
          <w:color w:val="auto"/>
          <w:sz w:val="32"/>
          <w:szCs w:val="32"/>
          <w:highlight w:val="none"/>
        </w:rPr>
        <w:t>84个民族乡</w:t>
      </w:r>
      <w:r>
        <w:rPr>
          <w:rFonts w:hint="eastAsia" w:ascii="方正仿宋_GB2312" w:hAnsi="方正仿宋_GB2312" w:eastAsia="方正仿宋_GB2312" w:cs="方正仿宋_GB2312"/>
          <w:color w:val="auto"/>
          <w:sz w:val="32"/>
          <w:szCs w:val="32"/>
          <w:highlight w:val="none"/>
          <w:lang w:eastAsia="zh-CN"/>
        </w:rPr>
        <w:t>经济社会和事业发展，支持</w:t>
      </w:r>
      <w:r>
        <w:rPr>
          <w:rFonts w:hint="eastAsia" w:ascii="方正仿宋_GB2312" w:hAnsi="方正仿宋_GB2312" w:eastAsia="方正仿宋_GB2312" w:cs="方正仿宋_GB2312"/>
          <w:color w:val="auto"/>
          <w:sz w:val="32"/>
          <w:szCs w:val="32"/>
          <w:highlight w:val="none"/>
          <w:lang w:val="en-US" w:eastAsia="zh-CN"/>
        </w:rPr>
        <w:t>了14个民族乡民族特色村寨（结合乡村振兴），支持了5个少数民族人口较多乡镇经济社会和事业发展、巩固拓展脱贫攻坚与乡村振兴有效衔接</w:t>
      </w:r>
      <w:r>
        <w:rPr>
          <w:rFonts w:ascii="方正仿宋_GB2312" w:hAnsi="方正仿宋_GB2312" w:eastAsia="方正仿宋_GB2312" w:cs="方正仿宋_GB2312"/>
          <w:color w:val="auto"/>
          <w:sz w:val="32"/>
          <w:szCs w:val="32"/>
          <w:highlight w:val="none"/>
        </w:rPr>
        <w:t>和</w:t>
      </w:r>
      <w:r>
        <w:rPr>
          <w:rFonts w:hint="eastAsia" w:ascii="方正仿宋_GB2312" w:hAnsi="方正仿宋_GB2312" w:eastAsia="方正仿宋_GB2312" w:cs="方正仿宋_GB2312"/>
          <w:color w:val="auto"/>
          <w:sz w:val="32"/>
          <w:szCs w:val="32"/>
          <w:highlight w:val="none"/>
          <w:lang w:eastAsia="zh-CN"/>
        </w:rPr>
        <w:t>基础设施、产业发展等民生项目建设。</w:t>
      </w:r>
      <w:r>
        <w:rPr>
          <w:rFonts w:hint="eastAsia" w:ascii="仿宋" w:hAnsi="仿宋" w:eastAsia="仿宋" w:cs="仿宋"/>
          <w:color w:val="auto"/>
          <w:sz w:val="32"/>
          <w:szCs w:val="32"/>
          <w:highlight w:val="none"/>
          <w:lang w:val="en-US" w:eastAsia="zh-CN"/>
        </w:rPr>
        <w:t>现场评价</w:t>
      </w:r>
      <w:r>
        <w:rPr>
          <w:rFonts w:hint="eastAsia" w:ascii="Times New Roman" w:hAnsi="Times New Roman" w:eastAsia="方正仿宋_GB2312" w:cs="Times New Roman"/>
          <w:color w:val="auto"/>
          <w:kern w:val="0"/>
          <w:sz w:val="32"/>
          <w:szCs w:val="32"/>
          <w:highlight w:val="none"/>
          <w:lang w:val="en-US" w:eastAsia="zh-CN"/>
        </w:rPr>
        <w:t>长沙、郴州、永州、常德中散居少数民族发展数量59个。</w:t>
      </w:r>
    </w:p>
    <w:p>
      <w:pPr>
        <w:pageBreakBefore w:val="0"/>
        <w:kinsoku/>
        <w:wordWrap/>
        <w:overflowPunct/>
        <w:topLinePunct w:val="0"/>
        <w:autoSpaceDE/>
        <w:autoSpaceDN/>
        <w:bidi w:val="0"/>
        <w:spacing w:line="560" w:lineRule="exact"/>
        <w:ind w:left="640"/>
        <w:textAlignment w:val="auto"/>
        <w:rPr>
          <w:rFonts w:ascii="楷体" w:hAnsi="楷体" w:eastAsia="楷体" w:cs="楷体"/>
          <w:color w:val="auto"/>
          <w:sz w:val="32"/>
          <w:szCs w:val="32"/>
          <w:highlight w:val="none"/>
        </w:rPr>
      </w:pPr>
      <w:r>
        <w:rPr>
          <w:rFonts w:hint="eastAsia" w:eastAsia="方正楷体_GB2312"/>
          <w:b/>
          <w:bCs/>
          <w:color w:val="auto"/>
          <w:sz w:val="32"/>
          <w:highlight w:val="none"/>
        </w:rPr>
        <w:t>（四）民族事务服务体系建设</w:t>
      </w:r>
    </w:p>
    <w:p>
      <w:pPr>
        <w:pStyle w:val="11"/>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方正仿宋_GB2312" w:cs="Times New Roman"/>
          <w:color w:val="auto"/>
          <w:kern w:val="0"/>
          <w:sz w:val="32"/>
          <w:szCs w:val="32"/>
          <w:highlight w:val="none"/>
        </w:rPr>
      </w:pPr>
      <w:r>
        <w:rPr>
          <w:rFonts w:hint="eastAsia" w:ascii="Times New Roman" w:hAnsi="Times New Roman" w:eastAsia="方正仿宋_GB2312" w:cs="Times New Roman"/>
          <w:color w:val="auto"/>
          <w:kern w:val="0"/>
          <w:sz w:val="32"/>
          <w:szCs w:val="32"/>
          <w:highlight w:val="none"/>
        </w:rPr>
        <w:t>2022年民族事务服务体系建设资金328万元主要用于支持民族宗教工作部门、支持中央统战部、国家民委信息直报点、支持承担国家民委、承担疫情防控。一是支持各级民族工作机构顺利开展工作，有利于及时排查化解民族因素矛盾纠纷，维护了社会稳定；二是配合国家民委和我委完成好各项民族工作任务，组织了各项民族活动；三是开展对西藏山南市、新疆吐鲁番市的援助工作，促进了与边疆民族工作部门的民族交往和联系。民族事务服务体系经费为维护民族团结和社会稳定、大力推动民族地区又好又快发展，发挥了积极作用，取得了较好的效益。</w:t>
      </w:r>
      <w:r>
        <w:rPr>
          <w:rFonts w:hint="eastAsia" w:ascii="仿宋" w:hAnsi="仿宋" w:eastAsia="仿宋" w:cs="仿宋"/>
          <w:color w:val="auto"/>
          <w:sz w:val="32"/>
          <w:szCs w:val="32"/>
          <w:highlight w:val="none"/>
          <w:lang w:val="en-US" w:eastAsia="zh-CN"/>
        </w:rPr>
        <w:t>现场评价</w:t>
      </w:r>
      <w:r>
        <w:rPr>
          <w:rFonts w:hint="eastAsia" w:ascii="Times New Roman" w:hAnsi="Times New Roman" w:eastAsia="方正仿宋_GB2312" w:cs="Times New Roman"/>
          <w:color w:val="auto"/>
          <w:kern w:val="0"/>
          <w:sz w:val="32"/>
          <w:szCs w:val="32"/>
          <w:highlight w:val="none"/>
          <w:lang w:val="en-US" w:eastAsia="zh-CN"/>
        </w:rPr>
        <w:t>长沙、郴州、永州、常德中民族事务服务体系数量4个。</w:t>
      </w:r>
    </w:p>
    <w:p>
      <w:pPr>
        <w:pageBreakBefore w:val="0"/>
        <w:numPr>
          <w:ilvl w:val="0"/>
          <w:numId w:val="3"/>
        </w:numPr>
        <w:kinsoku/>
        <w:wordWrap/>
        <w:overflowPunct/>
        <w:topLinePunct w:val="0"/>
        <w:autoSpaceDE/>
        <w:autoSpaceDN/>
        <w:bidi w:val="0"/>
        <w:adjustRightInd w:val="0"/>
        <w:snapToGrid w:val="0"/>
        <w:spacing w:line="560" w:lineRule="exact"/>
        <w:ind w:firstLine="640" w:firstLineChars="200"/>
        <w:textAlignment w:val="auto"/>
        <w:rPr>
          <w:rFonts w:eastAsia="黑体"/>
          <w:color w:val="auto"/>
          <w:sz w:val="32"/>
          <w:szCs w:val="32"/>
          <w:highlight w:val="none"/>
        </w:rPr>
      </w:pPr>
      <w:r>
        <w:rPr>
          <w:rFonts w:eastAsia="黑体"/>
          <w:color w:val="auto"/>
          <w:sz w:val="32"/>
          <w:szCs w:val="32"/>
          <w:highlight w:val="none"/>
        </w:rPr>
        <w:t>存在的问题</w:t>
      </w:r>
    </w:p>
    <w:p>
      <w:pPr>
        <w:pageBreakBefore w:val="0"/>
        <w:kinsoku/>
        <w:wordWrap/>
        <w:overflowPunct/>
        <w:topLinePunct w:val="0"/>
        <w:autoSpaceDE/>
        <w:autoSpaceDN/>
        <w:bidi w:val="0"/>
        <w:spacing w:line="560" w:lineRule="exact"/>
        <w:ind w:firstLine="420" w:firstLineChars="200"/>
        <w:textAlignment w:val="auto"/>
        <w:rPr>
          <w:rFonts w:hint="default" w:eastAsiaTheme="minorEastAsia"/>
          <w:color w:val="auto"/>
          <w:highlight w:val="none"/>
          <w:lang w:val="en-US" w:eastAsia="zh-CN"/>
        </w:rPr>
      </w:pPr>
      <w:r>
        <w:rPr>
          <w:rFonts w:hint="eastAsia"/>
          <w:color w:val="auto"/>
          <w:highlight w:val="none"/>
          <w:lang w:val="en-US" w:eastAsia="zh-CN"/>
        </w:rPr>
        <w:t xml:space="preserve">   </w:t>
      </w:r>
      <w:r>
        <w:rPr>
          <w:rFonts w:hint="eastAsia" w:ascii="仿宋" w:hAnsi="仿宋" w:eastAsia="仿宋" w:cs="仿宋"/>
          <w:color w:val="auto"/>
          <w:sz w:val="32"/>
          <w:szCs w:val="32"/>
          <w:highlight w:val="none"/>
          <w:lang w:val="en-US" w:eastAsia="zh-CN"/>
        </w:rPr>
        <w:t xml:space="preserve"> 2022年专</w:t>
      </w:r>
      <w:r>
        <w:rPr>
          <w:rFonts w:hint="eastAsia" w:eastAsia="仿宋" w:cs="仿宋"/>
          <w:color w:val="auto"/>
          <w:sz w:val="32"/>
          <w:szCs w:val="32"/>
          <w:highlight w:val="none"/>
          <w:lang w:val="en-US" w:eastAsia="zh-CN"/>
        </w:rPr>
        <w:t>项资金使用总体效益明显，通过支持民族文化、民族体育、民族团结进步创建、民族节庆活动、改善基础设施等项目，丰富了群众生活，解决了群众实际生活困难问题，增进了各民族交往交流交融，</w:t>
      </w:r>
      <w:r>
        <w:rPr>
          <w:rFonts w:hint="eastAsia" w:ascii="Times New Roman" w:hAnsi="Times New Roman" w:eastAsia="方正仿宋_GB2312" w:cs="Times New Roman"/>
          <w:color w:val="auto"/>
          <w:kern w:val="0"/>
          <w:sz w:val="32"/>
          <w:szCs w:val="32"/>
          <w:highlight w:val="none"/>
        </w:rPr>
        <w:t>在铸牢中华民族共同体意识，维护民族团结、社会稳定，大力推进民族地区又好又快发展方面发挥了重要作用，让民族地区的干部群众感受到党和政府的阳光雨露，</w:t>
      </w:r>
      <w:r>
        <w:rPr>
          <w:rFonts w:hint="eastAsia" w:ascii="Times New Roman" w:hAnsi="Times New Roman" w:eastAsia="方正仿宋_GB2312" w:cs="Times New Roman"/>
          <w:color w:val="auto"/>
          <w:kern w:val="0"/>
          <w:sz w:val="32"/>
          <w:szCs w:val="32"/>
          <w:highlight w:val="none"/>
          <w:lang w:val="en-US" w:eastAsia="zh-CN"/>
        </w:rPr>
        <w:t>工作和生活</w:t>
      </w:r>
      <w:r>
        <w:rPr>
          <w:rFonts w:hint="eastAsia" w:eastAsia="仿宋" w:cs="仿宋"/>
          <w:color w:val="auto"/>
          <w:sz w:val="32"/>
          <w:szCs w:val="32"/>
          <w:highlight w:val="none"/>
          <w:lang w:val="en-US" w:eastAsia="zh-CN"/>
        </w:rPr>
        <w:t>更有幸福感、获得感，社会满意度较高。但是通过绩效评价，发现了一些存在的问题：</w:t>
      </w:r>
    </w:p>
    <w:p>
      <w:pPr>
        <w:pageBreakBefore w:val="0"/>
        <w:kinsoku/>
        <w:wordWrap/>
        <w:overflowPunct/>
        <w:topLinePunct w:val="0"/>
        <w:autoSpaceDE/>
        <w:autoSpaceDN/>
        <w:bidi w:val="0"/>
        <w:spacing w:line="560" w:lineRule="exact"/>
        <w:ind w:firstLine="643" w:firstLineChars="200"/>
        <w:textAlignment w:val="auto"/>
        <w:outlineLvl w:val="1"/>
        <w:rPr>
          <w:rFonts w:eastAsia="方正楷体_GB2312"/>
          <w:b/>
          <w:bCs/>
          <w:color w:val="auto"/>
          <w:sz w:val="32"/>
          <w:highlight w:val="none"/>
        </w:rPr>
      </w:pPr>
      <w:r>
        <w:rPr>
          <w:rFonts w:hint="eastAsia" w:eastAsia="方正楷体_GB2312"/>
          <w:b/>
          <w:bCs/>
          <w:color w:val="auto"/>
          <w:sz w:val="32"/>
          <w:highlight w:val="none"/>
        </w:rPr>
        <w:t>（一）</w:t>
      </w:r>
      <w:r>
        <w:rPr>
          <w:rFonts w:hint="eastAsia" w:eastAsia="方正楷体_GB2312"/>
          <w:b/>
          <w:bCs/>
          <w:color w:val="auto"/>
          <w:sz w:val="32"/>
          <w:highlight w:val="none"/>
          <w:lang w:val="en-US" w:eastAsia="zh-CN"/>
        </w:rPr>
        <w:t>资金分配</w:t>
      </w:r>
      <w:r>
        <w:rPr>
          <w:rFonts w:hint="eastAsia" w:eastAsia="方正楷体_GB2312"/>
          <w:b/>
          <w:bCs/>
          <w:color w:val="auto"/>
          <w:sz w:val="32"/>
          <w:highlight w:val="none"/>
        </w:rPr>
        <w:t>结构欠合理</w:t>
      </w:r>
    </w:p>
    <w:p>
      <w:pPr>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方正仿宋_GB2312" w:cs="Times New Roman"/>
          <w:color w:val="auto"/>
          <w:kern w:val="0"/>
          <w:sz w:val="32"/>
          <w:szCs w:val="32"/>
          <w:highlight w:val="none"/>
        </w:rPr>
      </w:pPr>
      <w:r>
        <w:rPr>
          <w:rFonts w:hint="eastAsia" w:ascii="Times New Roman" w:hAnsi="Times New Roman" w:eastAsia="方正仿宋_GB2312" w:cs="Times New Roman"/>
          <w:color w:val="auto"/>
          <w:kern w:val="0"/>
          <w:sz w:val="32"/>
          <w:szCs w:val="32"/>
          <w:highlight w:val="none"/>
        </w:rPr>
        <w:t>2022年度少数民族工作专项共计3013</w:t>
      </w:r>
      <w:r>
        <w:rPr>
          <w:rFonts w:hint="eastAsia" w:ascii="Times New Roman" w:hAnsi="Times New Roman" w:eastAsia="方正仿宋_GB2312" w:cs="Times New Roman"/>
          <w:color w:val="auto"/>
          <w:kern w:val="0"/>
          <w:sz w:val="32"/>
          <w:szCs w:val="32"/>
          <w:highlight w:val="none"/>
          <w:lang w:val="en-US" w:eastAsia="zh-CN"/>
        </w:rPr>
        <w:t>万</w:t>
      </w:r>
      <w:r>
        <w:rPr>
          <w:rFonts w:hint="eastAsia" w:ascii="Times New Roman" w:hAnsi="Times New Roman" w:eastAsia="方正仿宋_GB2312" w:cs="Times New Roman"/>
          <w:color w:val="auto"/>
          <w:kern w:val="0"/>
          <w:sz w:val="32"/>
          <w:szCs w:val="32"/>
          <w:highlight w:val="none"/>
        </w:rPr>
        <w:t>元，对应支持项目数量为</w:t>
      </w:r>
      <w:r>
        <w:rPr>
          <w:rFonts w:hint="eastAsia" w:ascii="Times New Roman" w:hAnsi="Times New Roman" w:eastAsia="方正仿宋_GB2312" w:cs="Times New Roman"/>
          <w:color w:val="auto"/>
          <w:kern w:val="0"/>
          <w:sz w:val="32"/>
          <w:szCs w:val="32"/>
          <w:highlight w:val="none"/>
          <w:lang w:val="en-US" w:eastAsia="zh-CN"/>
        </w:rPr>
        <w:t>179</w:t>
      </w:r>
      <w:r>
        <w:rPr>
          <w:rFonts w:hint="eastAsia" w:ascii="Times New Roman" w:hAnsi="Times New Roman" w:eastAsia="方正仿宋_GB2312" w:cs="Times New Roman"/>
          <w:color w:val="auto"/>
          <w:kern w:val="0"/>
          <w:sz w:val="32"/>
          <w:szCs w:val="32"/>
          <w:highlight w:val="none"/>
        </w:rPr>
        <w:t>个，平均每个项目支持额度为</w:t>
      </w:r>
      <w:r>
        <w:rPr>
          <w:rFonts w:hint="eastAsia" w:ascii="Times New Roman" w:hAnsi="Times New Roman" w:eastAsia="方正仿宋_GB2312" w:cs="Times New Roman"/>
          <w:color w:val="auto"/>
          <w:kern w:val="0"/>
          <w:sz w:val="32"/>
          <w:szCs w:val="32"/>
          <w:highlight w:val="none"/>
          <w:lang w:val="en-US" w:eastAsia="zh-CN"/>
        </w:rPr>
        <w:t>16.83</w:t>
      </w:r>
      <w:r>
        <w:rPr>
          <w:rFonts w:hint="eastAsia" w:ascii="Times New Roman" w:hAnsi="Times New Roman" w:eastAsia="方正仿宋_GB2312" w:cs="Times New Roman"/>
          <w:color w:val="auto"/>
          <w:kern w:val="0"/>
          <w:sz w:val="32"/>
          <w:szCs w:val="32"/>
          <w:highlight w:val="none"/>
        </w:rPr>
        <w:t>万元</w:t>
      </w:r>
      <w:r>
        <w:rPr>
          <w:rFonts w:hint="eastAsia" w:ascii="Times New Roman" w:hAnsi="Times New Roman" w:eastAsia="方正仿宋_GB2312" w:cs="Times New Roman"/>
          <w:color w:val="auto"/>
          <w:kern w:val="0"/>
          <w:sz w:val="32"/>
          <w:szCs w:val="32"/>
          <w:highlight w:val="none"/>
          <w:lang w:eastAsia="zh-CN"/>
        </w:rPr>
        <w:t>。</w:t>
      </w:r>
      <w:r>
        <w:rPr>
          <w:rFonts w:hint="eastAsia" w:ascii="Times New Roman" w:hAnsi="Times New Roman" w:eastAsia="方正仿宋_GB2312" w:cs="Times New Roman"/>
          <w:color w:val="auto"/>
          <w:kern w:val="0"/>
          <w:sz w:val="32"/>
          <w:szCs w:val="32"/>
          <w:highlight w:val="none"/>
        </w:rPr>
        <w:t>项目金额区间小于等于10.00万的项目数量为</w:t>
      </w:r>
      <w:r>
        <w:rPr>
          <w:rFonts w:hint="eastAsia" w:ascii="Times New Roman" w:hAnsi="Times New Roman" w:eastAsia="方正仿宋_GB2312" w:cs="Times New Roman"/>
          <w:color w:val="auto"/>
          <w:kern w:val="0"/>
          <w:sz w:val="32"/>
          <w:szCs w:val="32"/>
          <w:highlight w:val="none"/>
          <w:lang w:val="en-US" w:eastAsia="zh-CN"/>
        </w:rPr>
        <w:t>137</w:t>
      </w:r>
      <w:r>
        <w:rPr>
          <w:rFonts w:hint="eastAsia" w:ascii="Times New Roman" w:hAnsi="Times New Roman" w:eastAsia="方正仿宋_GB2312" w:cs="Times New Roman"/>
          <w:color w:val="auto"/>
          <w:kern w:val="0"/>
          <w:sz w:val="32"/>
          <w:szCs w:val="32"/>
          <w:highlight w:val="none"/>
        </w:rPr>
        <w:t>个，对应项目资金共计</w:t>
      </w:r>
      <w:r>
        <w:rPr>
          <w:rFonts w:hint="eastAsia" w:ascii="Times New Roman" w:hAnsi="Times New Roman" w:eastAsia="方正仿宋_GB2312" w:cs="Times New Roman"/>
          <w:color w:val="auto"/>
          <w:kern w:val="0"/>
          <w:sz w:val="32"/>
          <w:szCs w:val="32"/>
          <w:highlight w:val="none"/>
          <w:lang w:val="en-US" w:eastAsia="zh-CN"/>
        </w:rPr>
        <w:t>866</w:t>
      </w:r>
      <w:r>
        <w:rPr>
          <w:rFonts w:hint="eastAsia" w:ascii="Times New Roman" w:hAnsi="Times New Roman" w:eastAsia="方正仿宋_GB2312" w:cs="Times New Roman"/>
          <w:color w:val="auto"/>
          <w:kern w:val="0"/>
          <w:sz w:val="32"/>
          <w:szCs w:val="32"/>
          <w:highlight w:val="none"/>
        </w:rPr>
        <w:t>万元，项目数量占比</w:t>
      </w:r>
      <w:r>
        <w:rPr>
          <w:rFonts w:hint="eastAsia" w:ascii="Times New Roman" w:hAnsi="Times New Roman" w:eastAsia="方正仿宋_GB2312" w:cs="Times New Roman"/>
          <w:color w:val="auto"/>
          <w:kern w:val="0"/>
          <w:sz w:val="32"/>
          <w:szCs w:val="32"/>
          <w:highlight w:val="none"/>
          <w:lang w:val="en-US" w:eastAsia="zh-CN"/>
        </w:rPr>
        <w:t>81.07</w:t>
      </w:r>
      <w:r>
        <w:rPr>
          <w:rFonts w:hint="eastAsia" w:ascii="Times New Roman" w:hAnsi="Times New Roman" w:eastAsia="方正仿宋_GB2312" w:cs="Times New Roman"/>
          <w:color w:val="auto"/>
          <w:kern w:val="0"/>
          <w:sz w:val="32"/>
          <w:szCs w:val="32"/>
          <w:highlight w:val="none"/>
        </w:rPr>
        <w:t>%，项目资金占比</w:t>
      </w:r>
      <w:r>
        <w:rPr>
          <w:rFonts w:hint="eastAsia" w:ascii="Times New Roman" w:hAnsi="Times New Roman" w:eastAsia="方正仿宋_GB2312" w:cs="Times New Roman"/>
          <w:color w:val="auto"/>
          <w:kern w:val="0"/>
          <w:sz w:val="32"/>
          <w:szCs w:val="32"/>
          <w:highlight w:val="none"/>
          <w:lang w:val="en-US" w:eastAsia="zh-CN"/>
        </w:rPr>
        <w:t>53.59</w:t>
      </w:r>
      <w:r>
        <w:rPr>
          <w:rFonts w:hint="eastAsia" w:ascii="Times New Roman" w:hAnsi="Times New Roman" w:eastAsia="方正仿宋_GB2312" w:cs="Times New Roman"/>
          <w:color w:val="auto"/>
          <w:kern w:val="0"/>
          <w:sz w:val="32"/>
          <w:szCs w:val="32"/>
          <w:highlight w:val="none"/>
        </w:rPr>
        <w:t>%，项目资金区间分布数据详见下表</w:t>
      </w:r>
      <w:r>
        <w:rPr>
          <w:rFonts w:hint="eastAsia" w:ascii="Times New Roman" w:hAnsi="Times New Roman" w:eastAsia="方正仿宋_GB2312" w:cs="Times New Roman"/>
          <w:color w:val="auto"/>
          <w:kern w:val="0"/>
          <w:sz w:val="32"/>
          <w:szCs w:val="32"/>
          <w:highlight w:val="none"/>
          <w:lang w:eastAsia="zh-CN"/>
        </w:rPr>
        <w:t>（</w:t>
      </w:r>
      <w:r>
        <w:rPr>
          <w:rFonts w:hint="eastAsia" w:ascii="Times New Roman" w:hAnsi="Times New Roman" w:eastAsia="方正仿宋_GB2312" w:cs="Times New Roman"/>
          <w:color w:val="auto"/>
          <w:kern w:val="0"/>
          <w:sz w:val="32"/>
          <w:szCs w:val="32"/>
          <w:highlight w:val="none"/>
          <w:lang w:val="en-US" w:eastAsia="zh-CN"/>
        </w:rPr>
        <w:t>表1</w:t>
      </w:r>
      <w:r>
        <w:rPr>
          <w:rFonts w:hint="eastAsia" w:ascii="Times New Roman" w:hAnsi="Times New Roman" w:eastAsia="方正仿宋_GB2312" w:cs="Times New Roman"/>
          <w:color w:val="auto"/>
          <w:kern w:val="0"/>
          <w:sz w:val="32"/>
          <w:szCs w:val="32"/>
          <w:highlight w:val="none"/>
          <w:lang w:eastAsia="zh-CN"/>
        </w:rPr>
        <w:t>）</w:t>
      </w:r>
      <w:r>
        <w:rPr>
          <w:rFonts w:hint="eastAsia" w:ascii="Times New Roman" w:hAnsi="Times New Roman" w:eastAsia="方正仿宋_GB2312" w:cs="Times New Roman"/>
          <w:color w:val="auto"/>
          <w:kern w:val="0"/>
          <w:sz w:val="32"/>
          <w:szCs w:val="32"/>
          <w:highlight w:val="none"/>
        </w:rPr>
        <w:t>：</w:t>
      </w:r>
    </w:p>
    <w:p>
      <w:pPr>
        <w:pStyle w:val="12"/>
        <w:pageBreakBefore w:val="0"/>
        <w:kinsoku/>
        <w:wordWrap/>
        <w:overflowPunct/>
        <w:topLinePunct w:val="0"/>
        <w:autoSpaceDE/>
        <w:autoSpaceDN/>
        <w:bidi w:val="0"/>
        <w:spacing w:line="560" w:lineRule="exact"/>
        <w:textAlignment w:val="auto"/>
        <w:rPr>
          <w:rFonts w:hint="eastAsia" w:ascii="Times New Roman" w:hAnsi="Times New Roman" w:eastAsia="方正仿宋_GB2312" w:cs="Times New Roman"/>
          <w:color w:val="auto"/>
          <w:kern w:val="0"/>
          <w:sz w:val="32"/>
          <w:szCs w:val="32"/>
          <w:highlight w:val="none"/>
          <w:lang w:val="en-US" w:eastAsia="zh-CN"/>
        </w:rPr>
      </w:pPr>
      <w:r>
        <w:rPr>
          <w:rFonts w:hint="eastAsia" w:ascii="Times New Roman" w:hAnsi="Times New Roman" w:eastAsia="方正仿宋_GB2312" w:cs="Times New Roman"/>
          <w:color w:val="auto"/>
          <w:kern w:val="0"/>
          <w:sz w:val="32"/>
          <w:szCs w:val="32"/>
          <w:highlight w:val="none"/>
          <w:lang w:val="en-US" w:eastAsia="zh-CN"/>
        </w:rPr>
        <w:t>表1  专项资金项目数量及项目金额比例</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宋体" w:cs="Times New Roman"/>
          <w:color w:val="auto"/>
          <w:sz w:val="20"/>
          <w:szCs w:val="16"/>
          <w:highlight w:val="none"/>
          <w:lang w:val="en-US" w:eastAsia="zh-CN"/>
        </w:rPr>
      </w:pPr>
      <w:r>
        <w:rPr>
          <w:rFonts w:hint="eastAsia" w:ascii="Times New Roman" w:hAnsi="Times New Roman" w:eastAsia="宋体" w:cs="Times New Roman"/>
          <w:color w:val="auto"/>
          <w:sz w:val="20"/>
          <w:szCs w:val="16"/>
          <w:highlight w:val="none"/>
          <w:lang w:val="en-US" w:eastAsia="zh-CN"/>
        </w:rPr>
        <w:t>单位：万元</w:t>
      </w:r>
    </w:p>
    <w:tbl>
      <w:tblPr>
        <w:tblStyle w:val="1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3"/>
        <w:gridCol w:w="827"/>
        <w:gridCol w:w="1420"/>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13"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color w:val="auto"/>
                <w:sz w:val="21"/>
                <w:szCs w:val="22"/>
                <w:highlight w:val="none"/>
                <w:vertAlign w:val="baseline"/>
              </w:rPr>
            </w:pPr>
            <w:r>
              <w:rPr>
                <w:rFonts w:hint="eastAsia" w:ascii="Times New Roman" w:hAnsi="Times New Roman" w:eastAsia="宋体" w:cs="Times New Roman"/>
                <w:color w:val="auto"/>
                <w:sz w:val="20"/>
                <w:szCs w:val="16"/>
                <w:highlight w:val="none"/>
              </w:rPr>
              <w:t>项目金额区间</w:t>
            </w:r>
          </w:p>
        </w:tc>
        <w:tc>
          <w:tcPr>
            <w:tcW w:w="827"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color w:val="auto"/>
                <w:sz w:val="21"/>
                <w:szCs w:val="22"/>
                <w:highlight w:val="none"/>
                <w:vertAlign w:val="baseline"/>
              </w:rPr>
            </w:pPr>
            <w:r>
              <w:rPr>
                <w:rFonts w:hint="eastAsia" w:ascii="Times New Roman" w:hAnsi="Times New Roman" w:eastAsia="宋体" w:cs="Times New Roman"/>
                <w:color w:val="auto"/>
                <w:sz w:val="20"/>
                <w:szCs w:val="16"/>
                <w:highlight w:val="none"/>
              </w:rPr>
              <w:t>项目数量</w:t>
            </w:r>
          </w:p>
        </w:tc>
        <w:tc>
          <w:tcPr>
            <w:tcW w:w="1420"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color w:val="auto"/>
                <w:sz w:val="21"/>
                <w:szCs w:val="22"/>
                <w:highlight w:val="none"/>
                <w:vertAlign w:val="baseline"/>
              </w:rPr>
            </w:pPr>
            <w:r>
              <w:rPr>
                <w:rFonts w:hint="eastAsia" w:ascii="Times New Roman" w:hAnsi="Times New Roman" w:eastAsia="宋体" w:cs="Times New Roman"/>
                <w:color w:val="auto"/>
                <w:sz w:val="20"/>
                <w:szCs w:val="16"/>
                <w:highlight w:val="none"/>
              </w:rPr>
              <w:t>数量比例（%）</w:t>
            </w:r>
          </w:p>
        </w:tc>
        <w:tc>
          <w:tcPr>
            <w:tcW w:w="1420"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color w:val="auto"/>
                <w:sz w:val="21"/>
                <w:szCs w:val="22"/>
                <w:highlight w:val="none"/>
                <w:vertAlign w:val="baseline"/>
              </w:rPr>
            </w:pPr>
            <w:r>
              <w:rPr>
                <w:rFonts w:hint="eastAsia" w:ascii="Times New Roman" w:hAnsi="Times New Roman" w:eastAsia="宋体" w:cs="Times New Roman"/>
                <w:color w:val="auto"/>
                <w:sz w:val="20"/>
                <w:szCs w:val="16"/>
                <w:highlight w:val="none"/>
              </w:rPr>
              <w:t>项目金额</w:t>
            </w:r>
          </w:p>
        </w:tc>
        <w:tc>
          <w:tcPr>
            <w:tcW w:w="1421"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color w:val="auto"/>
                <w:sz w:val="21"/>
                <w:szCs w:val="22"/>
                <w:highlight w:val="none"/>
                <w:vertAlign w:val="baseline"/>
              </w:rPr>
            </w:pPr>
            <w:r>
              <w:rPr>
                <w:rFonts w:hint="eastAsia" w:ascii="Times New Roman" w:hAnsi="Times New Roman" w:eastAsia="宋体" w:cs="Times New Roman"/>
                <w:color w:val="auto"/>
                <w:sz w:val="20"/>
                <w:szCs w:val="16"/>
                <w:highlight w:val="none"/>
              </w:rPr>
              <w:t>金额比例（%）</w:t>
            </w:r>
          </w:p>
        </w:tc>
        <w:tc>
          <w:tcPr>
            <w:tcW w:w="1421"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color w:val="auto"/>
                <w:sz w:val="21"/>
                <w:szCs w:val="22"/>
                <w:highlight w:val="none"/>
                <w:vertAlign w:val="baseline"/>
              </w:rPr>
            </w:pPr>
            <w:r>
              <w:rPr>
                <w:rFonts w:hint="eastAsia" w:ascii="Times New Roman" w:hAnsi="Times New Roman" w:eastAsia="宋体" w:cs="Times New Roman"/>
                <w:color w:val="auto"/>
                <w:sz w:val="20"/>
                <w:szCs w:val="16"/>
                <w:highlight w:val="none"/>
              </w:rPr>
              <w:t>平均支持额度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13"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color w:val="auto"/>
                <w:sz w:val="21"/>
                <w:szCs w:val="22"/>
                <w:highlight w:val="none"/>
                <w:vertAlign w:val="baseline"/>
              </w:rPr>
            </w:pPr>
            <w:r>
              <w:rPr>
                <w:rFonts w:hint="eastAsia" w:ascii="Times New Roman" w:hAnsi="Times New Roman" w:eastAsia="宋体" w:cs="Times New Roman"/>
                <w:color w:val="auto"/>
                <w:sz w:val="20"/>
                <w:szCs w:val="16"/>
                <w:highlight w:val="none"/>
              </w:rPr>
              <w:t>小于等于10万</w:t>
            </w:r>
          </w:p>
        </w:tc>
        <w:tc>
          <w:tcPr>
            <w:tcW w:w="827"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color w:val="auto"/>
                <w:sz w:val="21"/>
                <w:szCs w:val="22"/>
                <w:highlight w:val="none"/>
                <w:vertAlign w:val="baseline"/>
              </w:rPr>
            </w:pPr>
            <w:r>
              <w:rPr>
                <w:rFonts w:ascii="Times New Roman" w:hAnsi="Times New Roman" w:eastAsia="宋体" w:cs="Times New Roman"/>
                <w:color w:val="auto"/>
                <w:sz w:val="21"/>
                <w:szCs w:val="22"/>
                <w:highlight w:val="none"/>
              </w:rPr>
              <w:t>137</w:t>
            </w:r>
          </w:p>
        </w:tc>
        <w:tc>
          <w:tcPr>
            <w:tcW w:w="1420"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color w:val="auto"/>
                <w:sz w:val="21"/>
                <w:szCs w:val="22"/>
                <w:highlight w:val="none"/>
                <w:vertAlign w:val="baseline"/>
              </w:rPr>
            </w:pPr>
            <w:r>
              <w:rPr>
                <w:rFonts w:ascii="Times New Roman" w:hAnsi="Times New Roman" w:eastAsia="宋体" w:cs="Times New Roman"/>
                <w:color w:val="auto"/>
                <w:sz w:val="21"/>
                <w:szCs w:val="22"/>
                <w:highlight w:val="none"/>
              </w:rPr>
              <w:t>81.07%</w:t>
            </w:r>
          </w:p>
        </w:tc>
        <w:tc>
          <w:tcPr>
            <w:tcW w:w="1420"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color w:val="auto"/>
                <w:sz w:val="21"/>
                <w:szCs w:val="22"/>
                <w:highlight w:val="none"/>
                <w:vertAlign w:val="baseline"/>
              </w:rPr>
            </w:pPr>
            <w:r>
              <w:rPr>
                <w:rFonts w:ascii="Times New Roman" w:hAnsi="Times New Roman" w:eastAsia="宋体" w:cs="Times New Roman"/>
                <w:color w:val="auto"/>
                <w:sz w:val="21"/>
                <w:szCs w:val="22"/>
                <w:highlight w:val="none"/>
              </w:rPr>
              <w:t>866</w:t>
            </w:r>
          </w:p>
        </w:tc>
        <w:tc>
          <w:tcPr>
            <w:tcW w:w="1421"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color w:val="auto"/>
                <w:sz w:val="21"/>
                <w:szCs w:val="22"/>
                <w:highlight w:val="none"/>
                <w:vertAlign w:val="baseline"/>
              </w:rPr>
            </w:pPr>
            <w:r>
              <w:rPr>
                <w:rFonts w:ascii="Times New Roman" w:hAnsi="Times New Roman" w:eastAsia="宋体" w:cs="Times New Roman"/>
                <w:color w:val="auto"/>
                <w:sz w:val="21"/>
                <w:szCs w:val="22"/>
                <w:highlight w:val="none"/>
              </w:rPr>
              <w:t>53.59%</w:t>
            </w:r>
          </w:p>
        </w:tc>
        <w:tc>
          <w:tcPr>
            <w:tcW w:w="1421"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color w:val="auto"/>
                <w:sz w:val="21"/>
                <w:szCs w:val="22"/>
                <w:highlight w:val="none"/>
                <w:vertAlign w:val="baseline"/>
              </w:rPr>
            </w:pPr>
            <w:r>
              <w:rPr>
                <w:rFonts w:ascii="Times New Roman" w:hAnsi="Times New Roman" w:eastAsia="宋体" w:cs="Times New Roman"/>
                <w:color w:val="auto"/>
                <w:sz w:val="21"/>
                <w:szCs w:val="22"/>
                <w:highlight w:val="none"/>
              </w:rPr>
              <w:t>6.32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13"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color w:val="auto"/>
                <w:sz w:val="21"/>
                <w:szCs w:val="22"/>
                <w:highlight w:val="none"/>
                <w:vertAlign w:val="baseline"/>
              </w:rPr>
            </w:pPr>
            <w:r>
              <w:rPr>
                <w:rFonts w:hint="eastAsia" w:ascii="Times New Roman" w:hAnsi="Times New Roman" w:eastAsia="宋体" w:cs="Times New Roman"/>
                <w:color w:val="auto"/>
                <w:sz w:val="20"/>
                <w:szCs w:val="16"/>
                <w:highlight w:val="none"/>
              </w:rPr>
              <w:t>大于10万小于50万</w:t>
            </w:r>
          </w:p>
        </w:tc>
        <w:tc>
          <w:tcPr>
            <w:tcW w:w="827"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color w:val="auto"/>
                <w:sz w:val="21"/>
                <w:szCs w:val="22"/>
                <w:highlight w:val="none"/>
                <w:vertAlign w:val="baseline"/>
              </w:rPr>
            </w:pPr>
            <w:r>
              <w:rPr>
                <w:rFonts w:ascii="Times New Roman" w:hAnsi="Times New Roman" w:eastAsia="宋体" w:cs="Times New Roman"/>
                <w:color w:val="auto"/>
                <w:sz w:val="21"/>
                <w:szCs w:val="22"/>
                <w:highlight w:val="none"/>
              </w:rPr>
              <w:t>32</w:t>
            </w:r>
          </w:p>
        </w:tc>
        <w:tc>
          <w:tcPr>
            <w:tcW w:w="1420"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color w:val="auto"/>
                <w:sz w:val="21"/>
                <w:szCs w:val="22"/>
                <w:highlight w:val="none"/>
                <w:vertAlign w:val="baseline"/>
              </w:rPr>
            </w:pPr>
            <w:r>
              <w:rPr>
                <w:rFonts w:ascii="Times New Roman" w:hAnsi="Times New Roman" w:eastAsia="宋体" w:cs="Times New Roman"/>
                <w:color w:val="auto"/>
                <w:sz w:val="21"/>
                <w:szCs w:val="22"/>
                <w:highlight w:val="none"/>
              </w:rPr>
              <w:t>18.93%</w:t>
            </w:r>
          </w:p>
        </w:tc>
        <w:tc>
          <w:tcPr>
            <w:tcW w:w="1420"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color w:val="auto"/>
                <w:sz w:val="21"/>
                <w:szCs w:val="22"/>
                <w:highlight w:val="none"/>
                <w:vertAlign w:val="baseline"/>
              </w:rPr>
            </w:pPr>
            <w:r>
              <w:rPr>
                <w:rFonts w:ascii="Times New Roman" w:hAnsi="Times New Roman" w:eastAsia="宋体" w:cs="Times New Roman"/>
                <w:color w:val="auto"/>
                <w:sz w:val="21"/>
                <w:szCs w:val="22"/>
                <w:highlight w:val="none"/>
              </w:rPr>
              <w:t>750</w:t>
            </w:r>
          </w:p>
        </w:tc>
        <w:tc>
          <w:tcPr>
            <w:tcW w:w="1421"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color w:val="auto"/>
                <w:sz w:val="21"/>
                <w:szCs w:val="22"/>
                <w:highlight w:val="none"/>
                <w:vertAlign w:val="baseline"/>
              </w:rPr>
            </w:pPr>
            <w:r>
              <w:rPr>
                <w:rFonts w:ascii="Times New Roman" w:hAnsi="Times New Roman" w:eastAsia="宋体" w:cs="Times New Roman"/>
                <w:color w:val="auto"/>
                <w:sz w:val="21"/>
                <w:szCs w:val="22"/>
                <w:highlight w:val="none"/>
              </w:rPr>
              <w:t>46.41%</w:t>
            </w:r>
          </w:p>
        </w:tc>
        <w:tc>
          <w:tcPr>
            <w:tcW w:w="1421"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color w:val="auto"/>
                <w:sz w:val="21"/>
                <w:szCs w:val="22"/>
                <w:highlight w:val="none"/>
                <w:vertAlign w:val="baseline"/>
              </w:rPr>
            </w:pPr>
            <w:r>
              <w:rPr>
                <w:rFonts w:ascii="Times New Roman" w:hAnsi="Times New Roman" w:eastAsia="宋体" w:cs="Times New Roman"/>
                <w:color w:val="auto"/>
                <w:sz w:val="21"/>
                <w:szCs w:val="22"/>
                <w:highlight w:val="none"/>
              </w:rPr>
              <w:t>23.44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13" w:type="dxa"/>
            <w:vAlign w:val="top"/>
          </w:tcPr>
          <w:p>
            <w:pPr>
              <w:keepNext w:val="0"/>
              <w:keepLines w:val="0"/>
              <w:pageBreakBefore w:val="0"/>
              <w:widowControl w:val="0"/>
              <w:kinsoku/>
              <w:wordWrap/>
              <w:overflowPunct/>
              <w:topLinePunct w:val="0"/>
              <w:autoSpaceDE/>
              <w:autoSpaceDN/>
              <w:bidi w:val="0"/>
              <w:adjustRightInd/>
              <w:snapToGrid/>
              <w:spacing w:line="560" w:lineRule="exact"/>
              <w:ind w:firstLine="400" w:firstLineChars="200"/>
              <w:jc w:val="center"/>
              <w:textAlignment w:val="auto"/>
              <w:rPr>
                <w:color w:val="auto"/>
                <w:sz w:val="21"/>
                <w:szCs w:val="22"/>
                <w:highlight w:val="none"/>
                <w:vertAlign w:val="baseline"/>
              </w:rPr>
            </w:pPr>
            <w:r>
              <w:rPr>
                <w:rFonts w:hint="eastAsia" w:ascii="Times New Roman" w:hAnsi="Times New Roman" w:eastAsia="宋体" w:cs="Times New Roman"/>
                <w:color w:val="auto"/>
                <w:sz w:val="20"/>
                <w:szCs w:val="16"/>
                <w:highlight w:val="none"/>
              </w:rPr>
              <w:t>合计</w:t>
            </w:r>
          </w:p>
        </w:tc>
        <w:tc>
          <w:tcPr>
            <w:tcW w:w="827"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color w:val="auto"/>
                <w:sz w:val="21"/>
                <w:szCs w:val="22"/>
                <w:highlight w:val="none"/>
                <w:vertAlign w:val="baseline"/>
              </w:rPr>
            </w:pPr>
            <w:r>
              <w:rPr>
                <w:rFonts w:ascii="Times New Roman" w:hAnsi="Times New Roman" w:eastAsia="宋体" w:cs="Times New Roman"/>
                <w:color w:val="auto"/>
                <w:sz w:val="21"/>
                <w:szCs w:val="22"/>
                <w:highlight w:val="none"/>
              </w:rPr>
              <w:t>169</w:t>
            </w:r>
          </w:p>
        </w:tc>
        <w:tc>
          <w:tcPr>
            <w:tcW w:w="1420"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color w:val="auto"/>
                <w:sz w:val="21"/>
                <w:szCs w:val="22"/>
                <w:highlight w:val="none"/>
                <w:vertAlign w:val="baseline"/>
              </w:rPr>
            </w:pPr>
            <w:r>
              <w:rPr>
                <w:rFonts w:ascii="Times New Roman" w:hAnsi="Times New Roman" w:eastAsia="宋体" w:cs="Times New Roman"/>
                <w:color w:val="auto"/>
                <w:sz w:val="21"/>
                <w:szCs w:val="22"/>
                <w:highlight w:val="none"/>
              </w:rPr>
              <w:t>100.00%</w:t>
            </w:r>
          </w:p>
        </w:tc>
        <w:tc>
          <w:tcPr>
            <w:tcW w:w="1420"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color w:val="auto"/>
                <w:sz w:val="21"/>
                <w:szCs w:val="22"/>
                <w:highlight w:val="none"/>
                <w:vertAlign w:val="baseline"/>
              </w:rPr>
            </w:pPr>
            <w:r>
              <w:rPr>
                <w:rFonts w:ascii="Times New Roman" w:hAnsi="Times New Roman" w:eastAsia="宋体" w:cs="Times New Roman"/>
                <w:color w:val="auto"/>
                <w:sz w:val="21"/>
                <w:szCs w:val="22"/>
                <w:highlight w:val="none"/>
              </w:rPr>
              <w:t>1616</w:t>
            </w:r>
          </w:p>
        </w:tc>
        <w:tc>
          <w:tcPr>
            <w:tcW w:w="1421"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color w:val="auto"/>
                <w:sz w:val="21"/>
                <w:szCs w:val="22"/>
                <w:highlight w:val="none"/>
                <w:vertAlign w:val="baseline"/>
              </w:rPr>
            </w:pPr>
            <w:r>
              <w:rPr>
                <w:rFonts w:ascii="Times New Roman" w:hAnsi="Times New Roman" w:eastAsia="宋体" w:cs="Times New Roman"/>
                <w:color w:val="auto"/>
                <w:sz w:val="21"/>
                <w:szCs w:val="22"/>
                <w:highlight w:val="none"/>
              </w:rPr>
              <w:t>100.00%</w:t>
            </w:r>
          </w:p>
        </w:tc>
        <w:tc>
          <w:tcPr>
            <w:tcW w:w="1421"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color w:val="auto"/>
                <w:sz w:val="21"/>
                <w:szCs w:val="22"/>
                <w:highlight w:val="none"/>
                <w:vertAlign w:val="baseline"/>
              </w:rPr>
            </w:pPr>
            <w:r>
              <w:rPr>
                <w:rFonts w:ascii="Times New Roman" w:hAnsi="Times New Roman" w:eastAsia="宋体" w:cs="Times New Roman"/>
                <w:color w:val="auto"/>
                <w:sz w:val="21"/>
                <w:szCs w:val="22"/>
                <w:highlight w:val="none"/>
              </w:rPr>
              <w:t>9.56</w:t>
            </w:r>
          </w:p>
        </w:tc>
      </w:tr>
    </w:tbl>
    <w:p>
      <w:pPr>
        <w:pageBreakBefore w:val="0"/>
        <w:kinsoku/>
        <w:wordWrap/>
        <w:overflowPunct/>
        <w:topLinePunct w:val="0"/>
        <w:autoSpaceDE/>
        <w:autoSpaceDN/>
        <w:bidi w:val="0"/>
        <w:spacing w:line="560" w:lineRule="exact"/>
        <w:ind w:firstLine="640" w:firstLineChars="200"/>
        <w:textAlignment w:val="auto"/>
        <w:outlineLvl w:val="1"/>
        <w:rPr>
          <w:rFonts w:hint="default" w:ascii="Times New Roman" w:hAnsi="Times New Roman" w:eastAsia="方正仿宋_GB2312" w:cs="Times New Roman"/>
          <w:color w:val="auto"/>
          <w:kern w:val="0"/>
          <w:sz w:val="32"/>
          <w:szCs w:val="32"/>
          <w:highlight w:val="none"/>
          <w:lang w:val="en-US" w:eastAsia="zh-CN"/>
        </w:rPr>
      </w:pPr>
      <w:r>
        <w:rPr>
          <w:rFonts w:hint="eastAsia" w:ascii="Times New Roman" w:hAnsi="Times New Roman" w:eastAsia="方正仿宋_GB2312" w:cs="Times New Roman"/>
          <w:color w:val="auto"/>
          <w:kern w:val="0"/>
          <w:sz w:val="32"/>
          <w:szCs w:val="32"/>
          <w:highlight w:val="none"/>
          <w:lang w:val="en-US" w:eastAsia="zh-CN"/>
        </w:rPr>
        <w:t>从资金总体分配方案的情况来看：项目资金总额为3013万，遍布14个市州，81个县市区，资金分布较散，资金发挥作用受限，难以发挥资金最大效益，绩效管理难度大。例如：散居少数民族发展资金分配主要途径为因素分配法，通过现场查看发现，散居少数民族发展项目受到目前政策的影响，项目金额存在小和散的问题。民族团结进步创建旨在创建全国和全省各类不同类型示范区（单位）和妥善处理涉及民族因素的矛盾纠纷等，投入资金10万元以下的项目数量为42个，占民族团结进步创建项目总数92.33%，资金分配量较小且示范区数量较多，资金效益不明显。难以发挥每个示范区的示范引领作用。少数民族文化事业发展目的为支持民族文化传承保护、民族文化进校园和节庆活动等活动。投入资金10万以下的项目总共为47个，占少数民族文化事业总数量的92.16%。资金分配不够合理。</w:t>
      </w:r>
    </w:p>
    <w:p>
      <w:pPr>
        <w:pageBreakBefore w:val="0"/>
        <w:kinsoku/>
        <w:wordWrap/>
        <w:overflowPunct/>
        <w:topLinePunct w:val="0"/>
        <w:autoSpaceDE/>
        <w:autoSpaceDN/>
        <w:bidi w:val="0"/>
        <w:spacing w:line="560" w:lineRule="exact"/>
        <w:ind w:firstLine="640" w:firstLineChars="200"/>
        <w:textAlignment w:val="auto"/>
        <w:outlineLvl w:val="1"/>
        <w:rPr>
          <w:rFonts w:hint="default"/>
          <w:color w:val="auto"/>
          <w:highlight w:val="none"/>
          <w:lang w:val="en-US" w:eastAsia="zh-CN"/>
        </w:rPr>
      </w:pPr>
      <w:r>
        <w:rPr>
          <w:rFonts w:hint="eastAsia" w:ascii="Times New Roman" w:hAnsi="Times New Roman" w:eastAsia="方正仿宋_GB2312" w:cs="Times New Roman"/>
          <w:color w:val="auto"/>
          <w:kern w:val="0"/>
          <w:sz w:val="32"/>
          <w:szCs w:val="32"/>
          <w:highlight w:val="none"/>
          <w:lang w:val="en-US" w:eastAsia="zh-CN"/>
        </w:rPr>
        <w:t>从现场评价的情况来看：长沙、郴州、永州、常德项目数共计88个，其中散居少数民族发展项目59个、民族团结进步创建12个、民族事务服务体系建设4个、少数民族文化事业发展13个。资金投入量小于等于10万元项目数量共计58个，数量比例为65.91%，超过总项目数的一半。大于10万元小于50万元29个，数量比例为32.95%，不到三分之一，同样存在项目资金分配小散的问题。</w:t>
      </w:r>
    </w:p>
    <w:p>
      <w:pPr>
        <w:pageBreakBefore w:val="0"/>
        <w:kinsoku/>
        <w:wordWrap/>
        <w:overflowPunct/>
        <w:topLinePunct w:val="0"/>
        <w:autoSpaceDE/>
        <w:autoSpaceDN/>
        <w:bidi w:val="0"/>
        <w:spacing w:line="560" w:lineRule="exact"/>
        <w:ind w:firstLine="643" w:firstLineChars="200"/>
        <w:textAlignment w:val="auto"/>
        <w:outlineLvl w:val="1"/>
        <w:rPr>
          <w:rFonts w:hint="eastAsia" w:eastAsia="方正楷体_GB2312"/>
          <w:b/>
          <w:bCs/>
          <w:color w:val="auto"/>
          <w:sz w:val="32"/>
          <w:highlight w:val="none"/>
          <w:lang w:eastAsia="zh-CN"/>
        </w:rPr>
      </w:pPr>
      <w:r>
        <w:rPr>
          <w:rFonts w:hint="eastAsia" w:eastAsia="方正楷体_GB2312"/>
          <w:b/>
          <w:bCs/>
          <w:color w:val="auto"/>
          <w:sz w:val="32"/>
          <w:highlight w:val="none"/>
          <w:lang w:eastAsia="zh-CN"/>
        </w:rPr>
        <w:t>（</w:t>
      </w:r>
      <w:r>
        <w:rPr>
          <w:rFonts w:hint="eastAsia" w:eastAsia="方正楷体_GB2312"/>
          <w:b/>
          <w:bCs/>
          <w:color w:val="auto"/>
          <w:sz w:val="32"/>
          <w:highlight w:val="none"/>
          <w:lang w:val="en-US" w:eastAsia="zh-CN"/>
        </w:rPr>
        <w:t>二</w:t>
      </w:r>
      <w:r>
        <w:rPr>
          <w:rFonts w:hint="eastAsia" w:eastAsia="方正楷体_GB2312"/>
          <w:b/>
          <w:bCs/>
          <w:color w:val="auto"/>
          <w:sz w:val="32"/>
          <w:highlight w:val="none"/>
          <w:lang w:eastAsia="zh-CN"/>
        </w:rPr>
        <w:t>）专项资金</w:t>
      </w:r>
      <w:r>
        <w:rPr>
          <w:rFonts w:hint="eastAsia" w:eastAsia="方正楷体_GB2312"/>
          <w:b/>
          <w:bCs/>
          <w:color w:val="auto"/>
          <w:sz w:val="32"/>
          <w:highlight w:val="none"/>
          <w:lang w:val="en-US" w:eastAsia="zh-CN"/>
        </w:rPr>
        <w:t>投入</w:t>
      </w:r>
      <w:r>
        <w:rPr>
          <w:rFonts w:hint="eastAsia" w:eastAsia="方正楷体_GB2312"/>
          <w:b/>
          <w:bCs/>
          <w:color w:val="auto"/>
          <w:sz w:val="32"/>
          <w:highlight w:val="none"/>
          <w:lang w:eastAsia="zh-CN"/>
        </w:rPr>
        <w:t>总量不足</w:t>
      </w:r>
    </w:p>
    <w:p>
      <w:pPr>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2312" w:cs="Times New Roman"/>
          <w:color w:val="auto"/>
          <w:kern w:val="0"/>
          <w:sz w:val="32"/>
          <w:szCs w:val="32"/>
          <w:highlight w:val="none"/>
          <w:lang w:val="en-US" w:eastAsia="zh-CN"/>
        </w:rPr>
      </w:pPr>
      <w:r>
        <w:rPr>
          <w:rFonts w:hint="eastAsia" w:ascii="Times New Roman" w:hAnsi="Times New Roman" w:eastAsia="方正仿宋_GB2312" w:cs="Times New Roman"/>
          <w:color w:val="auto"/>
          <w:kern w:val="0"/>
          <w:sz w:val="32"/>
          <w:szCs w:val="32"/>
          <w:highlight w:val="none"/>
        </w:rPr>
        <w:t>湖南是民族工作大省，56个民族在我省都有分布，少数民族总人口668.52万人，占全省总人口的10.06%。全省辖有1个自治州、7个自治县、3个比照享受民族自治地方优惠政策待遇县(区)、6个少数民族人口过半县和84个民族乡。民族自治地方和民族地区分别占全省国土面积的17.8%和28%。民族地区集革命老区、边远地区、欠发达地区和“三湘”文化特色区、“四水”源头区、生态屏障区等于一体，民族工作线长、面广，在湖南现代化建设大局中具有重要地位</w:t>
      </w:r>
      <w:r>
        <w:rPr>
          <w:rFonts w:hint="eastAsia" w:ascii="Times New Roman" w:hAnsi="Times New Roman" w:eastAsia="方正仿宋_GB2312" w:cs="Times New Roman"/>
          <w:color w:val="auto"/>
          <w:kern w:val="0"/>
          <w:sz w:val="32"/>
          <w:szCs w:val="32"/>
          <w:highlight w:val="none"/>
          <w:lang w:eastAsia="zh-CN"/>
        </w:rPr>
        <w:t>，</w:t>
      </w:r>
      <w:r>
        <w:rPr>
          <w:rFonts w:hint="eastAsia" w:ascii="Times New Roman" w:hAnsi="Times New Roman" w:eastAsia="方正仿宋_GB2312" w:cs="Times New Roman"/>
          <w:color w:val="auto"/>
          <w:kern w:val="0"/>
          <w:sz w:val="32"/>
          <w:szCs w:val="32"/>
          <w:highlight w:val="none"/>
          <w:lang w:val="en-US" w:eastAsia="zh-CN"/>
        </w:rPr>
        <w:t>但是专项资金总量仅为3013万元。少数民族总人口为668.52万人，人均只能支持4.51元的资金，用于少数民族文化事业发展、散居少数民族发展、民族团结创建进步、民族事务服务体系建设这四个方面，</w:t>
      </w:r>
      <w:r>
        <w:rPr>
          <w:rFonts w:hint="eastAsia" w:ascii="Times New Roman" w:hAnsi="Times New Roman" w:eastAsia="方正仿宋_GB2312" w:cs="Times New Roman"/>
          <w:color w:val="auto"/>
          <w:kern w:val="0"/>
          <w:sz w:val="32"/>
          <w:szCs w:val="32"/>
          <w:highlight w:val="none"/>
        </w:rPr>
        <w:t>从以往的实践看来，</w:t>
      </w:r>
      <w:r>
        <w:rPr>
          <w:rFonts w:hint="eastAsia" w:ascii="Times New Roman" w:hAnsi="Times New Roman" w:eastAsia="方正仿宋_GB2312" w:cs="Times New Roman"/>
          <w:color w:val="auto"/>
          <w:kern w:val="0"/>
          <w:sz w:val="32"/>
          <w:szCs w:val="32"/>
          <w:highlight w:val="none"/>
          <w:lang w:val="en-US" w:eastAsia="zh-CN"/>
        </w:rPr>
        <w:t>资金投入总量显然有限，但</w:t>
      </w:r>
      <w:r>
        <w:rPr>
          <w:rFonts w:hint="eastAsia" w:ascii="Times New Roman" w:hAnsi="Times New Roman" w:eastAsia="方正仿宋_GB2312" w:cs="Times New Roman"/>
          <w:color w:val="auto"/>
          <w:kern w:val="0"/>
          <w:sz w:val="32"/>
          <w:szCs w:val="32"/>
          <w:highlight w:val="none"/>
        </w:rPr>
        <w:t>专项资金取得了显著的政治效益和社会效益，受到民族工作部门和民族地区干部群众的广泛好评。</w:t>
      </w:r>
    </w:p>
    <w:p>
      <w:pPr>
        <w:pageBreakBefore w:val="0"/>
        <w:kinsoku/>
        <w:wordWrap/>
        <w:overflowPunct/>
        <w:topLinePunct w:val="0"/>
        <w:autoSpaceDE/>
        <w:autoSpaceDN/>
        <w:bidi w:val="0"/>
        <w:spacing w:line="560" w:lineRule="exact"/>
        <w:ind w:firstLine="643" w:firstLineChars="200"/>
        <w:textAlignment w:val="auto"/>
        <w:outlineLvl w:val="1"/>
        <w:rPr>
          <w:rFonts w:eastAsia="方正楷体_GB2312"/>
          <w:b/>
          <w:bCs/>
          <w:color w:val="auto"/>
          <w:sz w:val="32"/>
          <w:highlight w:val="none"/>
        </w:rPr>
      </w:pPr>
      <w:r>
        <w:rPr>
          <w:rFonts w:hint="eastAsia" w:eastAsia="方正楷体_GB2312"/>
          <w:b/>
          <w:bCs/>
          <w:color w:val="auto"/>
          <w:sz w:val="32"/>
          <w:highlight w:val="none"/>
        </w:rPr>
        <w:t>（</w:t>
      </w:r>
      <w:r>
        <w:rPr>
          <w:rFonts w:hint="eastAsia" w:eastAsia="方正楷体_GB2312"/>
          <w:b/>
          <w:bCs/>
          <w:color w:val="auto"/>
          <w:sz w:val="32"/>
          <w:highlight w:val="none"/>
          <w:lang w:val="en-US" w:eastAsia="zh-CN"/>
        </w:rPr>
        <w:t>三</w:t>
      </w:r>
      <w:r>
        <w:rPr>
          <w:rFonts w:hint="eastAsia" w:eastAsia="方正楷体_GB2312"/>
          <w:b/>
          <w:bCs/>
          <w:color w:val="auto"/>
          <w:sz w:val="32"/>
          <w:highlight w:val="none"/>
        </w:rPr>
        <w:t>）个别项目实施进度迟缓</w:t>
      </w:r>
    </w:p>
    <w:p>
      <w:pPr>
        <w:pageBreakBefore w:val="0"/>
        <w:kinsoku/>
        <w:wordWrap/>
        <w:overflowPunct/>
        <w:topLinePunct w:val="0"/>
        <w:autoSpaceDE/>
        <w:autoSpaceDN/>
        <w:bidi w:val="0"/>
        <w:spacing w:line="560" w:lineRule="exact"/>
        <w:ind w:firstLine="640" w:firstLineChars="200"/>
        <w:textAlignment w:val="auto"/>
        <w:outlineLvl w:val="1"/>
        <w:rPr>
          <w:rFonts w:hint="eastAsia" w:ascii="Times New Roman" w:hAnsi="Times New Roman" w:eastAsia="方正仿宋_GB2312" w:cs="Times New Roman"/>
          <w:color w:val="auto"/>
          <w:kern w:val="0"/>
          <w:sz w:val="32"/>
          <w:szCs w:val="32"/>
          <w:highlight w:val="none"/>
          <w:lang w:val="en-US" w:eastAsia="zh-CN"/>
        </w:rPr>
      </w:pPr>
      <w:r>
        <w:rPr>
          <w:rFonts w:hint="eastAsia" w:ascii="Times New Roman" w:hAnsi="Times New Roman" w:eastAsia="方正仿宋_GB2312" w:cs="Times New Roman"/>
          <w:color w:val="auto"/>
          <w:kern w:val="0"/>
          <w:sz w:val="32"/>
          <w:szCs w:val="32"/>
          <w:highlight w:val="none"/>
        </w:rPr>
        <w:t>经现场评价核查发现，存在个别项目实施进度滞后，项目实施单位尚未进行报账，一定程度影响了相关项目及时发挥效益和效果，导致这一现象的发生，有如下原因，一是专项资金下达经过各级财政层层划拨，到资金使用单位常常拖上了几个月时间；二是地方财政资金紧张，对专项资金保障力度不够，导致部分资金使用单位因项目前期费用缺乏，影响项目的正常开展</w:t>
      </w:r>
      <w:r>
        <w:rPr>
          <w:rFonts w:hint="eastAsia" w:ascii="Times New Roman" w:hAnsi="Times New Roman" w:eastAsia="方正仿宋_GB2312" w:cs="Times New Roman"/>
          <w:color w:val="auto"/>
          <w:kern w:val="0"/>
          <w:sz w:val="32"/>
          <w:szCs w:val="32"/>
          <w:highlight w:val="none"/>
          <w:lang w:eastAsia="zh-CN"/>
        </w:rPr>
        <w:t>：</w:t>
      </w:r>
      <w:r>
        <w:rPr>
          <w:rFonts w:hint="eastAsia" w:ascii="Times New Roman" w:hAnsi="Times New Roman" w:eastAsia="方正仿宋_GB2312" w:cs="Times New Roman"/>
          <w:color w:val="auto"/>
          <w:kern w:val="0"/>
          <w:sz w:val="32"/>
          <w:szCs w:val="32"/>
          <w:highlight w:val="none"/>
          <w:lang w:val="en-US" w:eastAsia="zh-CN"/>
        </w:rPr>
        <w:t>三是项目本身报账慢，在项目申请资金前，乡镇领导需要审批项目，现场查验。在项目完成后需要现场验收，出具验收单等手续，故项目本身报账时间较慢。</w:t>
      </w:r>
    </w:p>
    <w:p>
      <w:pPr>
        <w:pageBreakBefore w:val="0"/>
        <w:kinsoku/>
        <w:wordWrap/>
        <w:overflowPunct/>
        <w:topLinePunct w:val="0"/>
        <w:autoSpaceDE/>
        <w:autoSpaceDN/>
        <w:bidi w:val="0"/>
        <w:spacing w:line="560" w:lineRule="exact"/>
        <w:ind w:firstLine="643" w:firstLineChars="200"/>
        <w:textAlignment w:val="auto"/>
        <w:outlineLvl w:val="1"/>
        <w:rPr>
          <w:rFonts w:hint="eastAsia" w:eastAsia="方正楷体_GB2312"/>
          <w:b/>
          <w:bCs/>
          <w:color w:val="auto"/>
          <w:sz w:val="32"/>
          <w:highlight w:val="none"/>
          <w:lang w:eastAsia="zh-CN"/>
        </w:rPr>
      </w:pPr>
      <w:r>
        <w:rPr>
          <w:rFonts w:hint="eastAsia" w:eastAsia="方正楷体_GB2312"/>
          <w:b/>
          <w:bCs/>
          <w:color w:val="auto"/>
          <w:sz w:val="32"/>
          <w:highlight w:val="none"/>
          <w:lang w:eastAsia="zh-CN"/>
        </w:rPr>
        <w:t>（</w:t>
      </w:r>
      <w:r>
        <w:rPr>
          <w:rFonts w:hint="eastAsia" w:eastAsia="方正楷体_GB2312"/>
          <w:b/>
          <w:bCs/>
          <w:color w:val="auto"/>
          <w:sz w:val="32"/>
          <w:highlight w:val="none"/>
          <w:lang w:val="en-US" w:eastAsia="zh-CN"/>
        </w:rPr>
        <w:t>四</w:t>
      </w:r>
      <w:r>
        <w:rPr>
          <w:rFonts w:hint="eastAsia" w:eastAsia="方正楷体_GB2312"/>
          <w:b/>
          <w:bCs/>
          <w:color w:val="auto"/>
          <w:sz w:val="32"/>
          <w:highlight w:val="none"/>
          <w:lang w:eastAsia="zh-CN"/>
        </w:rPr>
        <w:t>）项目管理办法暂未更新</w:t>
      </w:r>
    </w:p>
    <w:p>
      <w:pPr>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方正仿宋_GB2312" w:cs="Times New Roman"/>
          <w:color w:val="auto"/>
          <w:kern w:val="0"/>
          <w:sz w:val="32"/>
          <w:szCs w:val="32"/>
          <w:highlight w:val="none"/>
          <w:lang w:val="en-US" w:eastAsia="zh-CN"/>
        </w:rPr>
      </w:pPr>
      <w:r>
        <w:rPr>
          <w:rFonts w:hint="eastAsia" w:ascii="Times New Roman" w:hAnsi="Times New Roman" w:eastAsia="方正仿宋_GB2312" w:cs="Times New Roman"/>
          <w:color w:val="auto"/>
          <w:kern w:val="0"/>
          <w:sz w:val="32"/>
          <w:szCs w:val="32"/>
          <w:highlight w:val="none"/>
          <w:lang w:val="en-US" w:eastAsia="zh-CN"/>
        </w:rPr>
        <w:t>我委在2019年7月所制定的项目管理办法已于到期，2019年制定的资金管理办法没有准确说明资金支出的负面清单，导致项目使用单位在实施过程中难以准确掌握资金使用途径，容易出现资金使用不规范的现象。2022年8月我委印发了《少数民族工作专项资金动态调整机制》（湘民宗通〔2022〕67号），但是市州县市区项目使用单位还未掌握最新的政策依据。主要原因新的管理制度将于2023年由省财政厅会同我委统一组织修订，我委目前正在积极广泛地征求修订意见。</w:t>
      </w:r>
    </w:p>
    <w:p>
      <w:pPr>
        <w:pageBreakBefore w:val="0"/>
        <w:kinsoku/>
        <w:wordWrap/>
        <w:overflowPunct/>
        <w:topLinePunct w:val="0"/>
        <w:autoSpaceDE/>
        <w:autoSpaceDN/>
        <w:bidi w:val="0"/>
        <w:spacing w:line="560" w:lineRule="exact"/>
        <w:ind w:firstLine="643" w:firstLineChars="200"/>
        <w:textAlignment w:val="auto"/>
        <w:outlineLvl w:val="1"/>
        <w:rPr>
          <w:rFonts w:eastAsia="方正楷体_GB2312"/>
          <w:b/>
          <w:bCs/>
          <w:color w:val="auto"/>
          <w:sz w:val="32"/>
          <w:highlight w:val="none"/>
        </w:rPr>
      </w:pPr>
      <w:r>
        <w:rPr>
          <w:rFonts w:hint="eastAsia" w:eastAsia="方正楷体_GB2312"/>
          <w:b/>
          <w:bCs/>
          <w:color w:val="auto"/>
          <w:sz w:val="32"/>
          <w:highlight w:val="none"/>
        </w:rPr>
        <w:t>（</w:t>
      </w:r>
      <w:r>
        <w:rPr>
          <w:rFonts w:hint="eastAsia" w:eastAsia="方正楷体_GB2312"/>
          <w:b/>
          <w:bCs/>
          <w:color w:val="auto"/>
          <w:sz w:val="32"/>
          <w:highlight w:val="none"/>
          <w:lang w:val="en-US" w:eastAsia="zh-CN"/>
        </w:rPr>
        <w:t>五</w:t>
      </w:r>
      <w:r>
        <w:rPr>
          <w:rFonts w:hint="eastAsia" w:eastAsia="方正楷体_GB2312"/>
          <w:b/>
          <w:bCs/>
          <w:color w:val="auto"/>
          <w:sz w:val="32"/>
          <w:highlight w:val="none"/>
        </w:rPr>
        <w:t>）专项资金未经审批调整使用用途</w:t>
      </w:r>
    </w:p>
    <w:p>
      <w:pPr>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方正仿宋_GB2312" w:cs="Times New Roman"/>
          <w:b w:val="0"/>
          <w:bCs w:val="0"/>
          <w:color w:val="auto"/>
          <w:kern w:val="0"/>
          <w:sz w:val="32"/>
          <w:szCs w:val="32"/>
          <w:highlight w:val="none"/>
          <w:lang w:val="en-US" w:eastAsia="zh-CN"/>
        </w:rPr>
      </w:pPr>
      <w:r>
        <w:rPr>
          <w:rFonts w:hint="eastAsia" w:ascii="Times New Roman" w:hAnsi="Times New Roman" w:eastAsia="方正仿宋_GB2312" w:cs="Times New Roman"/>
          <w:color w:val="auto"/>
          <w:kern w:val="0"/>
          <w:sz w:val="32"/>
          <w:szCs w:val="32"/>
          <w:highlight w:val="none"/>
          <w:lang w:val="en-US" w:eastAsia="zh-CN"/>
        </w:rPr>
        <w:t>现场评价来看，个别项目专项资金与基本支出混用，项目与项目之间混</w:t>
      </w:r>
      <w:r>
        <w:rPr>
          <w:rFonts w:hint="eastAsia" w:ascii="Times New Roman" w:hAnsi="Times New Roman" w:eastAsia="方正仿宋_GB2312" w:cs="Times New Roman"/>
          <w:b w:val="0"/>
          <w:bCs w:val="0"/>
          <w:color w:val="auto"/>
          <w:kern w:val="0"/>
          <w:sz w:val="32"/>
          <w:szCs w:val="32"/>
          <w:highlight w:val="none"/>
          <w:lang w:val="en-US" w:eastAsia="zh-CN"/>
        </w:rPr>
        <w:t>用。如将专项资金用于基本支出，与民族工作方向项目支出无关；项目与项目之间资金使用混淆；项目实施单位对资金适用范围界限不够清晰，存在项目资金混淆使用的现象，项目实际使用情况与申报表内容不符等。</w:t>
      </w:r>
      <w:bookmarkStart w:id="0" w:name="_GoBack"/>
      <w:bookmarkEnd w:id="0"/>
    </w:p>
    <w:p>
      <w:pPr>
        <w:pageBreakBefore w:val="0"/>
        <w:kinsoku/>
        <w:wordWrap/>
        <w:overflowPunct/>
        <w:topLinePunct w:val="0"/>
        <w:autoSpaceDE/>
        <w:autoSpaceDN/>
        <w:bidi w:val="0"/>
        <w:spacing w:line="560" w:lineRule="exact"/>
        <w:ind w:firstLine="643" w:firstLineChars="200"/>
        <w:textAlignment w:val="auto"/>
        <w:outlineLvl w:val="1"/>
        <w:rPr>
          <w:rFonts w:eastAsia="方正楷体_GB2312"/>
          <w:b/>
          <w:bCs/>
          <w:color w:val="auto"/>
          <w:sz w:val="32"/>
          <w:highlight w:val="none"/>
        </w:rPr>
      </w:pPr>
      <w:r>
        <w:rPr>
          <w:rFonts w:hint="eastAsia" w:eastAsia="方正楷体_GB2312"/>
          <w:b/>
          <w:bCs/>
          <w:color w:val="auto"/>
          <w:sz w:val="32"/>
          <w:highlight w:val="none"/>
        </w:rPr>
        <w:t>（</w:t>
      </w:r>
      <w:r>
        <w:rPr>
          <w:rFonts w:hint="eastAsia" w:eastAsia="方正楷体_GB2312"/>
          <w:b/>
          <w:bCs/>
          <w:color w:val="auto"/>
          <w:sz w:val="32"/>
          <w:highlight w:val="none"/>
          <w:lang w:val="en-US" w:eastAsia="zh-CN"/>
        </w:rPr>
        <w:t>六</w:t>
      </w:r>
      <w:r>
        <w:rPr>
          <w:rFonts w:hint="eastAsia" w:eastAsia="方正楷体_GB2312"/>
          <w:b/>
          <w:bCs/>
          <w:color w:val="auto"/>
          <w:sz w:val="32"/>
          <w:highlight w:val="none"/>
        </w:rPr>
        <w:t>）个别项目资金支付过程中审批流程不规范</w:t>
      </w:r>
    </w:p>
    <w:p>
      <w:pPr>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2312" w:cs="Times New Roman"/>
          <w:color w:val="auto"/>
          <w:kern w:val="0"/>
          <w:sz w:val="32"/>
          <w:szCs w:val="32"/>
          <w:highlight w:val="none"/>
          <w:lang w:val="en-US" w:eastAsia="zh-CN"/>
        </w:rPr>
      </w:pPr>
      <w:r>
        <w:rPr>
          <w:rFonts w:hint="eastAsia" w:ascii="Times New Roman" w:hAnsi="Times New Roman" w:eastAsia="方正仿宋_GB2312" w:cs="Times New Roman"/>
          <w:color w:val="auto"/>
          <w:kern w:val="0"/>
          <w:sz w:val="32"/>
          <w:szCs w:val="32"/>
          <w:highlight w:val="none"/>
          <w:lang w:val="en-US" w:eastAsia="zh-CN"/>
        </w:rPr>
        <w:t>经现场评价发现，</w:t>
      </w:r>
      <w:r>
        <w:rPr>
          <w:rFonts w:hint="eastAsia" w:ascii="Times New Roman" w:hAnsi="Times New Roman" w:eastAsia="方正仿宋_GB2312" w:cs="Times New Roman"/>
          <w:b/>
          <w:bCs/>
          <w:color w:val="auto"/>
          <w:kern w:val="0"/>
          <w:sz w:val="32"/>
          <w:szCs w:val="32"/>
          <w:highlight w:val="none"/>
          <w:lang w:val="en-US" w:eastAsia="zh-CN"/>
        </w:rPr>
        <w:t>一是合同时间不规范。</w:t>
      </w:r>
      <w:r>
        <w:rPr>
          <w:rFonts w:hint="eastAsia" w:ascii="Times New Roman" w:hAnsi="Times New Roman" w:eastAsia="方正仿宋_GB2312" w:cs="Times New Roman"/>
          <w:color w:val="auto"/>
          <w:kern w:val="0"/>
          <w:sz w:val="32"/>
          <w:szCs w:val="32"/>
          <w:highlight w:val="none"/>
          <w:lang w:val="en-US" w:eastAsia="zh-CN"/>
        </w:rPr>
        <w:t>个别项目存在中标日期在签订合同日期之后，验收日期在签订合同日期之前，存在逻辑性错误。</w:t>
      </w:r>
      <w:r>
        <w:rPr>
          <w:rFonts w:hint="eastAsia" w:ascii="Times New Roman" w:hAnsi="Times New Roman" w:eastAsia="方正仿宋_GB2312" w:cs="Times New Roman"/>
          <w:b/>
          <w:bCs/>
          <w:color w:val="auto"/>
          <w:kern w:val="0"/>
          <w:sz w:val="32"/>
          <w:szCs w:val="32"/>
          <w:highlight w:val="none"/>
          <w:lang w:val="en-US" w:eastAsia="zh-CN"/>
        </w:rPr>
        <w:t>二是项目未按合同约定进度付款。</w:t>
      </w:r>
    </w:p>
    <w:p>
      <w:pPr>
        <w:pageBreakBefore w:val="0"/>
        <w:kinsoku/>
        <w:wordWrap/>
        <w:overflowPunct/>
        <w:topLinePunct w:val="0"/>
        <w:autoSpaceDE/>
        <w:autoSpaceDN/>
        <w:bidi w:val="0"/>
        <w:adjustRightInd w:val="0"/>
        <w:snapToGrid w:val="0"/>
        <w:spacing w:line="560" w:lineRule="exact"/>
        <w:ind w:firstLine="640" w:firstLineChars="200"/>
        <w:textAlignment w:val="auto"/>
        <w:rPr>
          <w:rFonts w:eastAsia="黑体"/>
          <w:color w:val="auto"/>
          <w:sz w:val="32"/>
          <w:szCs w:val="32"/>
          <w:highlight w:val="none"/>
        </w:rPr>
      </w:pPr>
      <w:r>
        <w:rPr>
          <w:rFonts w:eastAsia="黑体"/>
          <w:color w:val="auto"/>
          <w:sz w:val="32"/>
          <w:szCs w:val="32"/>
          <w:highlight w:val="none"/>
        </w:rPr>
        <w:t>六、有关建议</w:t>
      </w:r>
    </w:p>
    <w:p>
      <w:pPr>
        <w:pageBreakBefore w:val="0"/>
        <w:kinsoku/>
        <w:wordWrap/>
        <w:overflowPunct/>
        <w:topLinePunct w:val="0"/>
        <w:autoSpaceDE/>
        <w:autoSpaceDN/>
        <w:bidi w:val="0"/>
        <w:spacing w:line="560" w:lineRule="exact"/>
        <w:ind w:firstLine="643" w:firstLineChars="200"/>
        <w:textAlignment w:val="auto"/>
        <w:outlineLvl w:val="1"/>
        <w:rPr>
          <w:rFonts w:eastAsia="方正楷体_GB2312"/>
          <w:b/>
          <w:bCs/>
          <w:color w:val="auto"/>
          <w:sz w:val="32"/>
          <w:highlight w:val="none"/>
        </w:rPr>
      </w:pPr>
      <w:r>
        <w:rPr>
          <w:rFonts w:hint="eastAsia" w:eastAsia="方正楷体_GB2312"/>
          <w:b/>
          <w:bCs/>
          <w:color w:val="auto"/>
          <w:sz w:val="32"/>
          <w:highlight w:val="none"/>
        </w:rPr>
        <w:t>（一）科学调整政策投入</w:t>
      </w:r>
    </w:p>
    <w:p>
      <w:pPr>
        <w:pageBreakBefore w:val="0"/>
        <w:kinsoku/>
        <w:wordWrap/>
        <w:overflowPunct/>
        <w:topLinePunct w:val="0"/>
        <w:autoSpaceDE/>
        <w:autoSpaceDN/>
        <w:bidi w:val="0"/>
        <w:spacing w:line="560" w:lineRule="exact"/>
        <w:ind w:firstLine="640" w:firstLineChars="200"/>
        <w:textAlignment w:val="auto"/>
        <w:outlineLvl w:val="1"/>
        <w:rPr>
          <w:rFonts w:hint="default" w:ascii="Times New Roman" w:hAnsi="Times New Roman" w:eastAsia="方正仿宋_GB2312" w:cs="Times New Roman"/>
          <w:b w:val="0"/>
          <w:bCs w:val="0"/>
          <w:color w:val="auto"/>
          <w:kern w:val="0"/>
          <w:sz w:val="32"/>
          <w:szCs w:val="32"/>
          <w:highlight w:val="none"/>
          <w:lang w:val="en-US" w:eastAsia="zh-CN"/>
        </w:rPr>
      </w:pPr>
      <w:r>
        <w:rPr>
          <w:rFonts w:hint="eastAsia" w:ascii="Times New Roman" w:hAnsi="Times New Roman" w:eastAsia="方正仿宋_GB2312" w:cs="Times New Roman"/>
          <w:b w:val="0"/>
          <w:bCs w:val="0"/>
          <w:color w:val="auto"/>
          <w:kern w:val="0"/>
          <w:sz w:val="32"/>
          <w:szCs w:val="32"/>
          <w:highlight w:val="none"/>
          <w:lang w:val="en-US" w:eastAsia="zh-CN"/>
        </w:rPr>
        <w:t>针对问题投入结构欠合理及专项资金投入总量不足问题，提出以下建议：一是建议加大总量投入。省财政厅加大对民族经费规模投入，尤其是民族团结进步、散居少数民族发展方向的资金投入，增加少数民族工作专项资金规模，以利民族工作和民族地区经济社会发展，促进民族团结，共同进步；二是建议集中力量办大事。我委将资金集中起来，形成合力，统筹使用，侧重在民生问题和重大问题上安排专项资金，杜绝“撒胡椒面”的现象；三是以绩效为导向，注重动态调整。因为资金量过小就难以产生大的绩效，难以发挥资金最大效益。</w:t>
      </w:r>
    </w:p>
    <w:p>
      <w:pPr>
        <w:pageBreakBefore w:val="0"/>
        <w:kinsoku/>
        <w:wordWrap/>
        <w:overflowPunct/>
        <w:topLinePunct w:val="0"/>
        <w:autoSpaceDE/>
        <w:autoSpaceDN/>
        <w:bidi w:val="0"/>
        <w:spacing w:line="560" w:lineRule="exact"/>
        <w:ind w:firstLine="643" w:firstLineChars="200"/>
        <w:textAlignment w:val="auto"/>
        <w:outlineLvl w:val="1"/>
        <w:rPr>
          <w:rFonts w:eastAsia="方正楷体_GB2312"/>
          <w:b/>
          <w:bCs/>
          <w:color w:val="auto"/>
          <w:sz w:val="32"/>
          <w:highlight w:val="none"/>
        </w:rPr>
      </w:pPr>
      <w:r>
        <w:rPr>
          <w:rFonts w:eastAsia="方正楷体_GB2312"/>
          <w:b/>
          <w:bCs/>
          <w:color w:val="auto"/>
          <w:sz w:val="32"/>
          <w:highlight w:val="none"/>
        </w:rPr>
        <w:t>（</w:t>
      </w:r>
      <w:r>
        <w:rPr>
          <w:rFonts w:hint="eastAsia" w:eastAsia="方正楷体_GB2312"/>
          <w:b/>
          <w:bCs/>
          <w:color w:val="auto"/>
          <w:sz w:val="32"/>
          <w:highlight w:val="none"/>
        </w:rPr>
        <w:t>二</w:t>
      </w:r>
      <w:r>
        <w:rPr>
          <w:rFonts w:eastAsia="方正楷体_GB2312"/>
          <w:b/>
          <w:bCs/>
          <w:color w:val="auto"/>
          <w:sz w:val="32"/>
          <w:highlight w:val="none"/>
        </w:rPr>
        <w:t>）</w:t>
      </w:r>
      <w:r>
        <w:rPr>
          <w:rFonts w:hint="eastAsia" w:eastAsia="方正楷体_GB2312"/>
          <w:b/>
          <w:bCs/>
          <w:color w:val="auto"/>
          <w:sz w:val="32"/>
          <w:highlight w:val="none"/>
        </w:rPr>
        <w:t>厘清专项资金支出边界</w:t>
      </w:r>
    </w:p>
    <w:p>
      <w:pPr>
        <w:pageBreakBefore w:val="0"/>
        <w:kinsoku/>
        <w:wordWrap/>
        <w:overflowPunct/>
        <w:topLinePunct w:val="0"/>
        <w:autoSpaceDE/>
        <w:autoSpaceDN/>
        <w:bidi w:val="0"/>
        <w:spacing w:line="560" w:lineRule="exact"/>
        <w:ind w:firstLine="640" w:firstLineChars="200"/>
        <w:textAlignment w:val="auto"/>
        <w:outlineLvl w:val="1"/>
        <w:rPr>
          <w:rFonts w:hint="eastAsia" w:ascii="仿宋" w:hAnsi="仿宋" w:eastAsia="仿宋" w:cs="仿宋"/>
          <w:b w:val="0"/>
          <w:bCs w:val="0"/>
          <w:color w:val="auto"/>
          <w:kern w:val="0"/>
          <w:sz w:val="32"/>
          <w:szCs w:val="32"/>
          <w:highlight w:val="none"/>
          <w:lang w:val="en-US" w:eastAsia="zh-CN"/>
        </w:rPr>
      </w:pPr>
      <w:r>
        <w:rPr>
          <w:rFonts w:hint="eastAsia" w:ascii="仿宋" w:hAnsi="仿宋" w:eastAsia="仿宋" w:cs="仿宋"/>
          <w:b w:val="0"/>
          <w:bCs w:val="0"/>
          <w:color w:val="auto"/>
          <w:sz w:val="32"/>
          <w:highlight w:val="none"/>
          <w:lang w:val="en-US" w:eastAsia="zh-CN"/>
        </w:rPr>
        <w:t>针对</w:t>
      </w:r>
      <w:r>
        <w:rPr>
          <w:rFonts w:hint="eastAsia" w:ascii="仿宋" w:hAnsi="仿宋" w:eastAsia="仿宋" w:cs="仿宋"/>
          <w:b w:val="0"/>
          <w:bCs w:val="0"/>
          <w:color w:val="auto"/>
          <w:sz w:val="32"/>
          <w:highlight w:val="none"/>
        </w:rPr>
        <w:t>专项资金未经审批调整使用用途</w:t>
      </w:r>
      <w:r>
        <w:rPr>
          <w:rFonts w:hint="eastAsia" w:ascii="仿宋" w:hAnsi="仿宋" w:eastAsia="仿宋" w:cs="仿宋"/>
          <w:b w:val="0"/>
          <w:bCs w:val="0"/>
          <w:color w:val="auto"/>
          <w:sz w:val="32"/>
          <w:highlight w:val="none"/>
          <w:lang w:val="en-US" w:eastAsia="zh-CN"/>
        </w:rPr>
        <w:t>的问题，提出以下建议：一是明确项目支出范围。</w:t>
      </w:r>
      <w:r>
        <w:rPr>
          <w:rFonts w:hint="eastAsia" w:ascii="仿宋" w:hAnsi="仿宋" w:eastAsia="仿宋" w:cs="仿宋"/>
          <w:b w:val="0"/>
          <w:bCs w:val="0"/>
          <w:color w:val="auto"/>
          <w:kern w:val="0"/>
          <w:sz w:val="32"/>
          <w:szCs w:val="32"/>
          <w:highlight w:val="none"/>
          <w:lang w:val="en-US" w:eastAsia="zh-CN"/>
        </w:rPr>
        <w:t>省级专项资金应全部用于落实特定经济社会发展目标，明确资金使用范围，应专项专用，不能基本支出与项目支出混用，不能超范围开支</w:t>
      </w:r>
      <w:r>
        <w:rPr>
          <w:rFonts w:hint="eastAsia" w:ascii="仿宋" w:hAnsi="仿宋" w:eastAsia="仿宋" w:cs="仿宋"/>
          <w:b w:val="0"/>
          <w:bCs w:val="0"/>
          <w:color w:val="auto"/>
          <w:sz w:val="32"/>
          <w:highlight w:val="none"/>
          <w:lang w:val="en-US" w:eastAsia="zh-CN"/>
        </w:rPr>
        <w:t>。二是分清基本支出与项目支出的边界。</w:t>
      </w:r>
      <w:r>
        <w:rPr>
          <w:rFonts w:hint="eastAsia" w:ascii="仿宋" w:hAnsi="仿宋" w:eastAsia="仿宋" w:cs="仿宋"/>
          <w:b w:val="0"/>
          <w:bCs w:val="0"/>
          <w:color w:val="auto"/>
          <w:kern w:val="0"/>
          <w:sz w:val="32"/>
          <w:szCs w:val="32"/>
          <w:highlight w:val="none"/>
          <w:lang w:val="en-US" w:eastAsia="zh-CN"/>
        </w:rPr>
        <w:t>不得从项目支出中开支本部门工资福利费用等相关支出、运行维护经费等一般性支出以及业务工作经费。</w:t>
      </w:r>
      <w:r>
        <w:rPr>
          <w:rFonts w:hint="eastAsia" w:ascii="仿宋" w:hAnsi="仿宋" w:eastAsia="仿宋" w:cs="仿宋"/>
          <w:b w:val="0"/>
          <w:bCs w:val="0"/>
          <w:color w:val="auto"/>
          <w:sz w:val="32"/>
          <w:highlight w:val="none"/>
          <w:lang w:val="en-US" w:eastAsia="zh-CN"/>
        </w:rPr>
        <w:t>如民族服务体系建设仅可用于项目支出，不得用于购买杂志费等基本支出项目。三是建立负面清单。强化财务管理意识，责任更加明确、监管更加到位。如项目支出经费不得用于三公经费与人员经费等。</w:t>
      </w:r>
    </w:p>
    <w:p>
      <w:pPr>
        <w:pageBreakBefore w:val="0"/>
        <w:kinsoku/>
        <w:wordWrap/>
        <w:overflowPunct/>
        <w:topLinePunct w:val="0"/>
        <w:autoSpaceDE/>
        <w:autoSpaceDN/>
        <w:bidi w:val="0"/>
        <w:spacing w:line="560" w:lineRule="exact"/>
        <w:ind w:firstLine="643" w:firstLineChars="200"/>
        <w:textAlignment w:val="auto"/>
        <w:outlineLvl w:val="1"/>
        <w:rPr>
          <w:rFonts w:hint="eastAsia" w:ascii="楷体" w:hAnsi="楷体" w:eastAsia="楷体" w:cs="楷体"/>
          <w:b/>
          <w:bCs/>
          <w:color w:val="auto"/>
          <w:sz w:val="32"/>
          <w:highlight w:val="none"/>
          <w:lang w:val="en-US" w:eastAsia="zh-CN"/>
        </w:rPr>
      </w:pPr>
      <w:r>
        <w:rPr>
          <w:rFonts w:hint="eastAsia" w:ascii="楷体" w:hAnsi="楷体" w:eastAsia="楷体" w:cs="楷体"/>
          <w:b/>
          <w:bCs/>
          <w:color w:val="auto"/>
          <w:sz w:val="32"/>
          <w:highlight w:val="none"/>
          <w:lang w:val="en-US" w:eastAsia="zh-CN"/>
        </w:rPr>
        <w:t>（三）完善项目实施保障制度</w:t>
      </w:r>
    </w:p>
    <w:p>
      <w:pPr>
        <w:pageBreakBefore w:val="0"/>
        <w:kinsoku/>
        <w:wordWrap/>
        <w:overflowPunct/>
        <w:topLinePunct w:val="0"/>
        <w:autoSpaceDE/>
        <w:autoSpaceDN/>
        <w:bidi w:val="0"/>
        <w:spacing w:line="560" w:lineRule="exact"/>
        <w:ind w:firstLine="640" w:firstLineChars="200"/>
        <w:textAlignment w:val="auto"/>
        <w:outlineLvl w:val="1"/>
        <w:rPr>
          <w:rFonts w:hint="eastAsia" w:ascii="仿宋" w:hAnsi="仿宋" w:eastAsia="仿宋" w:cs="仿宋"/>
          <w:b w:val="0"/>
          <w:bCs w:val="0"/>
          <w:color w:val="auto"/>
          <w:sz w:val="32"/>
          <w:highlight w:val="none"/>
          <w:lang w:val="en-US" w:eastAsia="zh-CN"/>
        </w:rPr>
      </w:pPr>
      <w:r>
        <w:rPr>
          <w:rFonts w:hint="eastAsia" w:ascii="仿宋" w:hAnsi="仿宋" w:eastAsia="仿宋" w:cs="仿宋"/>
          <w:b w:val="0"/>
          <w:bCs w:val="0"/>
          <w:color w:val="auto"/>
          <w:sz w:val="32"/>
          <w:highlight w:val="none"/>
          <w:lang w:val="en-US" w:eastAsia="zh-CN"/>
        </w:rPr>
        <w:t>针对项目管理办法暂未更新提出的问题以下建议：一是严把项目审核关。</w:t>
      </w:r>
      <w:r>
        <w:rPr>
          <w:rFonts w:hint="eastAsia" w:ascii="仿宋" w:hAnsi="仿宋" w:eastAsia="仿宋" w:cs="仿宋"/>
          <w:b w:val="0"/>
          <w:bCs w:val="0"/>
          <w:color w:val="auto"/>
          <w:kern w:val="0"/>
          <w:sz w:val="32"/>
          <w:szCs w:val="32"/>
          <w:highlight w:val="none"/>
          <w:lang w:val="en-US" w:eastAsia="zh-CN"/>
        </w:rPr>
        <w:t>建议主管部门严格把控项目申报程序，规范项目的评审工作程序，公开评审流程及结果。各县市区主管部门在进行项目申报工作时，市级主管部门应对申报单位的关键申报条件进行核定，确保所有提交的申请资料均真实有效，以保证全省项目评选的公平公正。</w:t>
      </w:r>
      <w:r>
        <w:rPr>
          <w:rFonts w:hint="eastAsia" w:ascii="仿宋" w:hAnsi="仿宋" w:eastAsia="仿宋" w:cs="仿宋"/>
          <w:b w:val="0"/>
          <w:bCs w:val="0"/>
          <w:color w:val="auto"/>
          <w:sz w:val="32"/>
          <w:highlight w:val="none"/>
          <w:lang w:val="en-US" w:eastAsia="zh-CN"/>
        </w:rPr>
        <w:t>二是严格遵守审批流程。各市州应严格遵守审批流程，若出现审批不合规现象应及时向上级报告并整改问题。也可以各市州之间相互监督，相互学习，提高其绩效管理水平及能力。三是加大对项目资金的监管力度，设定资金监管时限，每隔一段时间对资金的使用情况进行抽检。且及时出台相关资金的管理办法与资金支出负面清单。四是提升财务的管理能力。定期进行工作指导、提高检查频率，促进财务管理能力的水平提升。</w:t>
      </w:r>
    </w:p>
    <w:p>
      <w:pPr>
        <w:pageBreakBefore w:val="0"/>
        <w:kinsoku/>
        <w:wordWrap/>
        <w:overflowPunct/>
        <w:topLinePunct w:val="0"/>
        <w:autoSpaceDE/>
        <w:autoSpaceDN/>
        <w:bidi w:val="0"/>
        <w:spacing w:line="560" w:lineRule="exact"/>
        <w:ind w:firstLine="643" w:firstLineChars="200"/>
        <w:textAlignment w:val="auto"/>
        <w:outlineLvl w:val="1"/>
        <w:rPr>
          <w:rFonts w:hint="eastAsia" w:ascii="楷体" w:hAnsi="楷体" w:eastAsia="楷体" w:cs="楷体"/>
          <w:b/>
          <w:bCs/>
          <w:color w:val="auto"/>
          <w:sz w:val="32"/>
          <w:highlight w:val="none"/>
          <w:lang w:val="en-US" w:eastAsia="zh-CN"/>
        </w:rPr>
      </w:pPr>
      <w:r>
        <w:rPr>
          <w:rFonts w:hint="eastAsia" w:ascii="楷体" w:hAnsi="楷体" w:eastAsia="楷体" w:cs="楷体"/>
          <w:b/>
          <w:bCs/>
          <w:color w:val="auto"/>
          <w:sz w:val="32"/>
          <w:highlight w:val="none"/>
          <w:lang w:val="en-US" w:eastAsia="zh-CN"/>
        </w:rPr>
        <w:t>（四）提高绩效管理水平及能力</w:t>
      </w:r>
    </w:p>
    <w:p>
      <w:pPr>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b w:val="0"/>
          <w:bCs w:val="0"/>
          <w:color w:val="auto"/>
          <w:sz w:val="32"/>
          <w:highlight w:val="none"/>
          <w:lang w:val="en-US" w:eastAsia="zh-CN"/>
        </w:rPr>
      </w:pPr>
      <w:r>
        <w:rPr>
          <w:rFonts w:hint="eastAsia" w:ascii="仿宋" w:hAnsi="仿宋" w:eastAsia="仿宋" w:cs="仿宋"/>
          <w:b w:val="0"/>
          <w:bCs w:val="0"/>
          <w:color w:val="auto"/>
          <w:sz w:val="32"/>
          <w:highlight w:val="none"/>
          <w:lang w:val="en-US" w:eastAsia="zh-CN"/>
        </w:rPr>
        <w:t>针对个别项目资金支付过程中审批流程不规范的问题提出以下建议：一是强化绩效管理理念。</w:t>
      </w:r>
      <w:r>
        <w:rPr>
          <w:rFonts w:hint="eastAsia" w:ascii="仿宋" w:hAnsi="仿宋" w:eastAsia="仿宋" w:cs="仿宋"/>
          <w:b w:val="0"/>
          <w:bCs w:val="0"/>
          <w:color w:val="auto"/>
          <w:kern w:val="0"/>
          <w:sz w:val="32"/>
          <w:szCs w:val="32"/>
          <w:highlight w:val="none"/>
          <w:lang w:val="en-US" w:eastAsia="zh-CN"/>
        </w:rPr>
        <w:t>结合实际情况，不断完善项目资金管理体系，将“花钱必问效，无效必问责”的绩效理念始终贯穿于项目管理中，防止项目资金“一拨了之”的现象发生。</w:t>
      </w:r>
      <w:r>
        <w:rPr>
          <w:rFonts w:hint="eastAsia" w:ascii="仿宋" w:hAnsi="仿宋" w:eastAsia="仿宋" w:cs="仿宋"/>
          <w:b w:val="0"/>
          <w:bCs w:val="0"/>
          <w:color w:val="auto"/>
          <w:sz w:val="32"/>
          <w:highlight w:val="none"/>
          <w:lang w:val="en-US" w:eastAsia="zh-CN"/>
        </w:rPr>
        <w:t>二是及时设定绩效目标。根据资金量与预计产生效益相结合设定合理绩效目标。绩效目标从成本指标、质量指标、数量指标、效益指标这四个方面进行考虑。同时激励相关处室高效完成其绩效目标，及时对绩效目标进行自查。三是加强绩效运行监控。</w:t>
      </w:r>
      <w:r>
        <w:rPr>
          <w:rFonts w:hint="eastAsia" w:ascii="仿宋" w:hAnsi="仿宋" w:eastAsia="仿宋" w:cs="仿宋"/>
          <w:b w:val="0"/>
          <w:bCs w:val="0"/>
          <w:color w:val="auto"/>
          <w:kern w:val="0"/>
          <w:sz w:val="32"/>
          <w:szCs w:val="32"/>
          <w:highlight w:val="none"/>
          <w:lang w:val="en-US" w:eastAsia="zh-CN"/>
        </w:rPr>
        <w:t>各级民族工作部门加强项目跟踪监督管理和项目实施单位资金管理使用的政策制度培训工作，大型项目进行可行性研究，小型项目要充分调研利益群体的意见，这些工作是确保项目在后续的实施过程中得到有序推进的重要条件。</w:t>
      </w:r>
      <w:r>
        <w:rPr>
          <w:rFonts w:hint="eastAsia" w:ascii="仿宋" w:hAnsi="仿宋" w:eastAsia="仿宋" w:cs="仿宋"/>
          <w:b w:val="0"/>
          <w:bCs w:val="0"/>
          <w:color w:val="auto"/>
          <w:sz w:val="32"/>
          <w:highlight w:val="none"/>
          <w:lang w:val="en-US" w:eastAsia="zh-CN"/>
        </w:rPr>
        <w:t>督促各市州在项目实施前设定绩效目标、项目实施过程中严格掌控资金使用进度、项目结束后及时验收并建立监督机制，以促进绩效管理水平及能力的提升。</w:t>
      </w:r>
    </w:p>
    <w:p>
      <w:pPr>
        <w:pageBreakBefore w:val="0"/>
        <w:numPr>
          <w:ilvl w:val="0"/>
          <w:numId w:val="1"/>
        </w:numPr>
        <w:kinsoku/>
        <w:wordWrap/>
        <w:overflowPunct/>
        <w:topLinePunct w:val="0"/>
        <w:autoSpaceDE/>
        <w:autoSpaceDN/>
        <w:bidi w:val="0"/>
        <w:spacing w:line="560" w:lineRule="exact"/>
        <w:ind w:left="0" w:leftChars="0" w:firstLine="643" w:firstLineChars="200"/>
        <w:textAlignment w:val="auto"/>
        <w:outlineLvl w:val="1"/>
        <w:rPr>
          <w:rFonts w:hint="eastAsia" w:ascii="仿宋" w:hAnsi="仿宋" w:eastAsia="仿宋" w:cs="仿宋"/>
          <w:b/>
          <w:bCs/>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加快项目实施进度</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针对个别项目实施进度迟缓出现原因，提出以下建议：一是及时拨付资金。各级财政部门人员及时对接，及时掌握资金到达情况。避免出现资金在账上滞留过久而影响项目实施进度的情况。二是及时反馈问题。建议项目实施单位或监管单位有问题及时向上级财务或主管部门反馈。避免出现资金使用情况混淆与资金下拨错误的情况出现，确保资金使用符合相关财务管理要求，加快项目实施进度。三是提升资金使用时效。2022年项目进度实施缓慢原因是多方面的，有的系疫情因素影响，部分是受到天气因素、人为因素、项目整合等因素影响，项目实施过程中，应尽量减少人为因素影响，尽可能做好统筹工作，把握关键时间节点，加快项目实施。在资金使用合规的前提下，优先使用专项资金，提升资金使用时效。</w:t>
      </w:r>
    </w:p>
    <w:p>
      <w:pPr>
        <w:pageBreakBefore w:val="0"/>
        <w:widowControl w:val="0"/>
        <w:numPr>
          <w:ilvl w:val="0"/>
          <w:numId w:val="1"/>
        </w:numPr>
        <w:kinsoku/>
        <w:wordWrap/>
        <w:overflowPunct/>
        <w:topLinePunct w:val="0"/>
        <w:autoSpaceDE/>
        <w:autoSpaceDN/>
        <w:bidi w:val="0"/>
        <w:adjustRightInd/>
        <w:snapToGrid/>
        <w:spacing w:line="560" w:lineRule="exact"/>
        <w:ind w:left="0" w:leftChars="0" w:firstLine="643" w:firstLineChars="200"/>
        <w:textAlignment w:val="auto"/>
        <w:outlineLvl w:val="1"/>
        <w:rPr>
          <w:rFonts w:hint="eastAsia" w:ascii="仿宋" w:hAnsi="仿宋" w:eastAsia="仿宋" w:cs="仿宋"/>
          <w:b/>
          <w:bCs/>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加强绩效评价结果应用</w:t>
      </w:r>
    </w:p>
    <w:p>
      <w:pPr>
        <w:spacing w:afterLines="0" w:line="520" w:lineRule="exact"/>
        <w:ind w:firstLine="640" w:firstLineChars="200"/>
        <w:rPr>
          <w:rFonts w:hint="default"/>
          <w:b w:val="0"/>
          <w:bCs/>
          <w:lang w:val="en-US" w:eastAsia="zh-CN"/>
        </w:rPr>
      </w:pPr>
      <w:r>
        <w:rPr>
          <w:rFonts w:hint="eastAsia" w:ascii="Times New Roman" w:hAnsi="Times New Roman" w:eastAsia="方正仿宋_GB2312" w:cs="Times New Roman"/>
          <w:b w:val="0"/>
          <w:bCs/>
          <w:sz w:val="32"/>
          <w:szCs w:val="32"/>
          <w:lang w:val="en-US" w:eastAsia="zh-CN"/>
        </w:rPr>
        <w:t>主管部门应进一步加强绩效评价结果应用。一</w:t>
      </w:r>
      <w:r>
        <w:rPr>
          <w:rFonts w:hint="default" w:ascii="Times New Roman" w:hAnsi="Times New Roman" w:eastAsia="方正仿宋_GB2312" w:cs="Times New Roman"/>
          <w:b w:val="0"/>
          <w:bCs/>
          <w:sz w:val="32"/>
          <w:szCs w:val="32"/>
        </w:rPr>
        <w:t>是</w:t>
      </w:r>
      <w:r>
        <w:rPr>
          <w:rFonts w:hint="eastAsia" w:ascii="Times New Roman" w:hAnsi="Times New Roman" w:eastAsia="方正仿宋_GB2312" w:cs="Times New Roman"/>
          <w:b w:val="0"/>
          <w:bCs/>
          <w:sz w:val="32"/>
          <w:szCs w:val="32"/>
          <w:lang w:val="en-US" w:eastAsia="zh-CN"/>
        </w:rPr>
        <w:t>进一步优化资金管理制度。针对绩效评价发现的问题和建议，从政策制度层面防范化解风险，进一步优化调整政策，采取措施加强专项资金管理力度，最大限度发挥资金使用效益。二是</w:t>
      </w:r>
      <w:r>
        <w:rPr>
          <w:rFonts w:hint="default" w:ascii="Times New Roman" w:hAnsi="Times New Roman" w:eastAsia="方正仿宋_GB2312" w:cs="Times New Roman"/>
          <w:b w:val="0"/>
          <w:bCs/>
          <w:sz w:val="32"/>
          <w:szCs w:val="32"/>
        </w:rPr>
        <w:t>及时反馈</w:t>
      </w:r>
      <w:r>
        <w:rPr>
          <w:rFonts w:hint="eastAsia" w:ascii="Times New Roman" w:hAnsi="Times New Roman" w:eastAsia="方正仿宋_GB2312" w:cs="Times New Roman"/>
          <w:b w:val="0"/>
          <w:bCs/>
          <w:sz w:val="32"/>
          <w:szCs w:val="32"/>
          <w:lang w:val="en-US" w:eastAsia="zh-CN"/>
        </w:rPr>
        <w:t>落实</w:t>
      </w:r>
      <w:r>
        <w:rPr>
          <w:rFonts w:hint="default" w:ascii="Times New Roman" w:hAnsi="Times New Roman" w:eastAsia="方正仿宋_GB2312" w:cs="Times New Roman"/>
          <w:b w:val="0"/>
          <w:bCs/>
          <w:sz w:val="32"/>
          <w:szCs w:val="32"/>
        </w:rPr>
        <w:t>整改。省</w:t>
      </w:r>
      <w:r>
        <w:rPr>
          <w:rFonts w:hint="eastAsia" w:ascii="Times New Roman" w:hAnsi="Times New Roman" w:eastAsia="方正仿宋_GB2312" w:cs="Times New Roman"/>
          <w:b w:val="0"/>
          <w:bCs/>
          <w:sz w:val="32"/>
          <w:szCs w:val="32"/>
          <w:lang w:val="en-US" w:eastAsia="zh-CN"/>
        </w:rPr>
        <w:t>级、县市区主管部门</w:t>
      </w:r>
      <w:r>
        <w:rPr>
          <w:rFonts w:hint="default" w:ascii="Times New Roman" w:hAnsi="Times New Roman" w:eastAsia="方正仿宋_GB2312" w:cs="Times New Roman"/>
          <w:b w:val="0"/>
          <w:bCs/>
          <w:sz w:val="32"/>
          <w:szCs w:val="32"/>
        </w:rPr>
        <w:t>要</w:t>
      </w:r>
      <w:r>
        <w:rPr>
          <w:rFonts w:hint="eastAsia" w:ascii="Times New Roman" w:hAnsi="Times New Roman" w:eastAsia="方正仿宋_GB2312" w:cs="Times New Roman"/>
          <w:b w:val="0"/>
          <w:bCs/>
          <w:sz w:val="32"/>
          <w:szCs w:val="32"/>
          <w:lang w:val="en-US" w:eastAsia="zh-CN"/>
        </w:rPr>
        <w:t>将评价问题及时反馈给</w:t>
      </w:r>
      <w:r>
        <w:rPr>
          <w:rFonts w:hint="default" w:ascii="Times New Roman" w:hAnsi="Times New Roman" w:eastAsia="方正仿宋_GB2312" w:cs="Times New Roman"/>
          <w:b w:val="0"/>
          <w:bCs/>
          <w:sz w:val="32"/>
          <w:szCs w:val="32"/>
        </w:rPr>
        <w:t>被评价单位，督促其就绩效自评中发现的问题制定切实可行的整改措施并落实到位。对整改不落实或不到位的，应当根据情况调整或收回项目资金。</w:t>
      </w:r>
      <w:r>
        <w:rPr>
          <w:rFonts w:hint="eastAsia" w:ascii="Times New Roman" w:hAnsi="Times New Roman" w:eastAsia="方正仿宋_GB2312" w:cs="Times New Roman"/>
          <w:b w:val="0"/>
          <w:bCs/>
          <w:sz w:val="32"/>
          <w:szCs w:val="32"/>
          <w:lang w:val="en-US" w:eastAsia="zh-CN"/>
        </w:rPr>
        <w:t>三</w:t>
      </w:r>
      <w:r>
        <w:rPr>
          <w:rFonts w:hint="default" w:ascii="Times New Roman" w:hAnsi="Times New Roman" w:eastAsia="方正仿宋_GB2312" w:cs="Times New Roman"/>
          <w:b w:val="0"/>
          <w:bCs/>
          <w:sz w:val="32"/>
          <w:szCs w:val="32"/>
        </w:rPr>
        <w:t>是与</w:t>
      </w:r>
      <w:r>
        <w:rPr>
          <w:rFonts w:hint="eastAsia" w:ascii="Times New Roman" w:hAnsi="Times New Roman" w:eastAsia="方正仿宋_GB2312" w:cs="Times New Roman"/>
          <w:b w:val="0"/>
          <w:bCs/>
          <w:sz w:val="32"/>
          <w:szCs w:val="32"/>
          <w:lang w:val="en-US" w:eastAsia="zh-CN"/>
        </w:rPr>
        <w:t>评价结果</w:t>
      </w:r>
      <w:r>
        <w:rPr>
          <w:rFonts w:hint="default" w:ascii="Times New Roman" w:hAnsi="Times New Roman" w:eastAsia="方正仿宋_GB2312" w:cs="Times New Roman"/>
          <w:b w:val="0"/>
          <w:bCs/>
          <w:sz w:val="32"/>
          <w:szCs w:val="32"/>
        </w:rPr>
        <w:t>和项目安排挂钩。</w:t>
      </w:r>
      <w:r>
        <w:rPr>
          <w:rFonts w:hint="eastAsia" w:ascii="Times New Roman" w:hAnsi="Times New Roman" w:eastAsia="方正仿宋_GB2312" w:cs="Times New Roman"/>
          <w:b w:val="0"/>
          <w:bCs/>
          <w:sz w:val="32"/>
          <w:szCs w:val="32"/>
          <w:lang w:val="en-US" w:eastAsia="zh-CN"/>
        </w:rPr>
        <w:t>省级主管部门</w:t>
      </w:r>
      <w:r>
        <w:rPr>
          <w:rFonts w:hint="default" w:ascii="Times New Roman" w:hAnsi="Times New Roman" w:eastAsia="方正仿宋_GB2312" w:cs="Times New Roman"/>
          <w:b w:val="0"/>
          <w:bCs/>
          <w:sz w:val="32"/>
          <w:szCs w:val="32"/>
        </w:rPr>
        <w:t>应将</w:t>
      </w:r>
      <w:r>
        <w:rPr>
          <w:rFonts w:hint="eastAsia" w:ascii="Times New Roman" w:hAnsi="Times New Roman" w:eastAsia="方正仿宋_GB2312" w:cs="Times New Roman"/>
          <w:b w:val="0"/>
          <w:bCs/>
          <w:sz w:val="32"/>
          <w:szCs w:val="32"/>
          <w:lang w:eastAsia="zh-CN"/>
        </w:rPr>
        <w:t>绩效</w:t>
      </w:r>
      <w:r>
        <w:rPr>
          <w:rFonts w:hint="default" w:ascii="Times New Roman" w:hAnsi="Times New Roman" w:eastAsia="方正仿宋_GB2312" w:cs="Times New Roman"/>
          <w:b w:val="0"/>
          <w:bCs/>
          <w:sz w:val="32"/>
          <w:szCs w:val="32"/>
        </w:rPr>
        <w:t>自评结果应用到下一年度的资金安排和项目立项中，真正体现奖优罚劣的绩效导向。</w:t>
      </w:r>
    </w:p>
    <w:p>
      <w:pPr>
        <w:rPr>
          <w:rFonts w:hint="default"/>
          <w:lang w:val="en-US" w:eastAsia="zh-CN"/>
        </w:rPr>
      </w:pPr>
    </w:p>
    <w:sectPr>
      <w:headerReference r:id="rId3" w:type="default"/>
      <w:footerReference r:id="rId4" w:type="default"/>
      <w:pgSz w:w="11906" w:h="16838"/>
      <w:pgMar w:top="1247" w:right="1417" w:bottom="1247" w:left="1417" w:header="851" w:footer="992" w:gutter="0"/>
      <w:pgBorders w:offsetFrom="page">
        <w:top w:val="none" w:sz="0" w:space="0"/>
        <w:left w:val="none" w:sz="0" w:space="0"/>
        <w:bottom w:val="none" w:sz="0" w:space="0"/>
        <w:right w:val="none" w:sz="0" w:space="0"/>
      </w:pgBorders>
      <w:pgNumType w:fmt="numberInDash" w:start="1"/>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auto"/>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方正仿宋_GB2312">
    <w:altName w:val="仿宋"/>
    <w:panose1 w:val="02000000000000000000"/>
    <w:charset w:val="86"/>
    <w:family w:val="auto"/>
    <w:pitch w:val="default"/>
    <w:sig w:usb0="00000000" w:usb1="00000000" w:usb2="00000000" w:usb3="00000000" w:csb0="00000000" w:csb1="00000000"/>
  </w:font>
  <w:font w:name="MingLiU-ExtB">
    <w:panose1 w:val="02020500000000000000"/>
    <w:charset w:val="88"/>
    <w:family w:val="auto"/>
    <w:pitch w:val="default"/>
    <w:sig w:usb0="8000002F" w:usb1="02000008" w:usb2="00000000" w:usb3="00000000" w:csb0="00100001" w:csb1="00000000"/>
  </w:font>
  <w:font w:name="Segoe UI Symbol">
    <w:panose1 w:val="020B0502040204020203"/>
    <w:charset w:val="00"/>
    <w:family w:val="auto"/>
    <w:pitch w:val="default"/>
    <w:sig w:usb0="800001E3" w:usb1="1200FFEF" w:usb2="00040000" w:usb3="04000000" w:csb0="00000001" w:csb1="40000000"/>
  </w:font>
  <w:font w:name="方正小标宋_GBK">
    <w:altName w:val="微软雅黑"/>
    <w:panose1 w:val="02000000000000000000"/>
    <w:charset w:val="86"/>
    <w:family w:val="script"/>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方正楷体_GB2312">
    <w:altName w:val="宋体"/>
    <w:panose1 w:val="02000000000000000000"/>
    <w:charset w:val="86"/>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posOffset>5066665</wp:posOffset>
              </wp:positionH>
              <wp:positionV relativeFrom="paragraph">
                <wp:posOffset>0</wp:posOffset>
              </wp:positionV>
              <wp:extent cx="404495" cy="2038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404495" cy="2038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hint="eastAsia" w:ascii="仿宋" w:hAnsi="仿宋" w:eastAsia="仿宋" w:cs="仿宋"/>
                              <w:sz w:val="24"/>
                              <w:szCs w:val="24"/>
                            </w:rPr>
                            <w:t>10</w:t>
                          </w:r>
                          <w:r>
                            <w:rPr>
                              <w:rFonts w:hint="eastAsia" w:ascii="仿宋" w:hAnsi="仿宋" w:eastAsia="仿宋" w:cs="仿宋"/>
                              <w:sz w:val="24"/>
                              <w:szCs w:val="24"/>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98.95pt;margin-top:0pt;height:16.05pt;width:31.85pt;mso-position-horizontal-relative:margin;z-index:251659264;mso-width-relative:page;mso-height-relative:page;" filled="f" stroked="f" coordsize="21600,21600" o:gfxdata="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6eTUr9cAAAAHAQAADwAAAAAAAAABACAAAAAiAAAAZHJzL2Rvd25yZXYueG1s&#10;UEsBAhQAFAAAAAgAh07iQAyvPCMyAgAAVQQAAA4AAAAAAAAAAQAgAAAAJgEAAGRycy9lMm9Eb2Mu&#10;eG1sUEsFBgAAAAAGAAYAWQEAAMoFAAAAAA==&#10;">
              <v:fill on="f" focussize="0,0"/>
              <v:stroke on="f" weight="0.5pt"/>
              <v:imagedata o:title=""/>
              <o:lock v:ext="edit" aspectratio="f"/>
              <v:textbox inset="0mm,0mm,0mm,0mm">
                <w:txbxContent>
                  <w:p>
                    <w:pPr>
                      <w:pStyle w:val="9"/>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hint="eastAsia" w:ascii="仿宋" w:hAnsi="仿宋" w:eastAsia="仿宋" w:cs="仿宋"/>
                        <w:sz w:val="24"/>
                        <w:szCs w:val="24"/>
                      </w:rPr>
                      <w:t>10</w:t>
                    </w:r>
                    <w:r>
                      <w:rPr>
                        <w:rFonts w:hint="eastAsia" w:ascii="仿宋" w:hAnsi="仿宋" w:eastAsia="仿宋" w:cs="仿宋"/>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top w:val="none" w:color="auto" w:sz="0" w:space="0"/>
        <w:left w:val="none" w:color="auto" w:sz="0" w:space="0"/>
        <w:bottom w:val="none" w:color="auto" w:sz="0" w:space="1"/>
        <w:right w:val="none" w:color="auto" w:sz="0" w:space="0"/>
        <w:between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F6E219"/>
    <w:multiLevelType w:val="singleLevel"/>
    <w:tmpl w:val="9CF6E219"/>
    <w:lvl w:ilvl="0" w:tentative="0">
      <w:start w:val="2"/>
      <w:numFmt w:val="chineseCounting"/>
      <w:suff w:val="nothing"/>
      <w:lvlText w:val="（%1）"/>
      <w:lvlJc w:val="left"/>
      <w:rPr>
        <w:rFonts w:hint="eastAsia"/>
      </w:rPr>
    </w:lvl>
  </w:abstractNum>
  <w:abstractNum w:abstractNumId="1">
    <w:nsid w:val="458786F8"/>
    <w:multiLevelType w:val="singleLevel"/>
    <w:tmpl w:val="458786F8"/>
    <w:lvl w:ilvl="0" w:tentative="0">
      <w:start w:val="3"/>
      <w:numFmt w:val="chineseCounting"/>
      <w:suff w:val="nothing"/>
      <w:lvlText w:val="（%1）"/>
      <w:lvlJc w:val="left"/>
      <w:rPr>
        <w:rFonts w:hint="eastAsia"/>
      </w:rPr>
    </w:lvl>
  </w:abstractNum>
  <w:abstractNum w:abstractNumId="2">
    <w:nsid w:val="63420299"/>
    <w:multiLevelType w:val="singleLevel"/>
    <w:tmpl w:val="63420299"/>
    <w:lvl w:ilvl="0" w:tentative="0">
      <w:start w:val="5"/>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60"/>
  <w:displayHorizontalDrawingGridEvery w:val="1"/>
  <w:displayVerticalDrawingGridEvery w:val="2"/>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Y3M2UwOWYwMTM4Y2MzOTkzYzgyODY5ZmI2MzlhZjgifQ=="/>
  </w:docVars>
  <w:rsids>
    <w:rsidRoot w:val="004971E6"/>
    <w:rsid w:val="00002F05"/>
    <w:rsid w:val="00006053"/>
    <w:rsid w:val="000659B5"/>
    <w:rsid w:val="000828EB"/>
    <w:rsid w:val="00131C91"/>
    <w:rsid w:val="00175834"/>
    <w:rsid w:val="001C08B9"/>
    <w:rsid w:val="001C5039"/>
    <w:rsid w:val="001D7CF2"/>
    <w:rsid w:val="001F3550"/>
    <w:rsid w:val="00223BDE"/>
    <w:rsid w:val="002330CD"/>
    <w:rsid w:val="00246744"/>
    <w:rsid w:val="00246FC1"/>
    <w:rsid w:val="00251F9E"/>
    <w:rsid w:val="002820DB"/>
    <w:rsid w:val="002F41E4"/>
    <w:rsid w:val="003047B9"/>
    <w:rsid w:val="00310C96"/>
    <w:rsid w:val="00374CF6"/>
    <w:rsid w:val="00391FC7"/>
    <w:rsid w:val="0042258D"/>
    <w:rsid w:val="0046332B"/>
    <w:rsid w:val="00484999"/>
    <w:rsid w:val="0049207C"/>
    <w:rsid w:val="00494A9E"/>
    <w:rsid w:val="004971E6"/>
    <w:rsid w:val="004E237B"/>
    <w:rsid w:val="005226FA"/>
    <w:rsid w:val="005248DA"/>
    <w:rsid w:val="00553B84"/>
    <w:rsid w:val="005B3D8F"/>
    <w:rsid w:val="0064131B"/>
    <w:rsid w:val="00661C27"/>
    <w:rsid w:val="00711620"/>
    <w:rsid w:val="00757395"/>
    <w:rsid w:val="007A59AA"/>
    <w:rsid w:val="007D46FD"/>
    <w:rsid w:val="00805E94"/>
    <w:rsid w:val="00831E1C"/>
    <w:rsid w:val="00832ADF"/>
    <w:rsid w:val="00834B86"/>
    <w:rsid w:val="008428DB"/>
    <w:rsid w:val="00855B12"/>
    <w:rsid w:val="00862590"/>
    <w:rsid w:val="008708DF"/>
    <w:rsid w:val="00874BBF"/>
    <w:rsid w:val="008B0951"/>
    <w:rsid w:val="008C4C71"/>
    <w:rsid w:val="00922292"/>
    <w:rsid w:val="00922AC1"/>
    <w:rsid w:val="00937A7C"/>
    <w:rsid w:val="00952449"/>
    <w:rsid w:val="00961E79"/>
    <w:rsid w:val="00982483"/>
    <w:rsid w:val="009A3E71"/>
    <w:rsid w:val="009B0581"/>
    <w:rsid w:val="009E0470"/>
    <w:rsid w:val="009E6D20"/>
    <w:rsid w:val="009F6657"/>
    <w:rsid w:val="00AC1500"/>
    <w:rsid w:val="00AD7EB4"/>
    <w:rsid w:val="00B35E91"/>
    <w:rsid w:val="00B454A9"/>
    <w:rsid w:val="00B76930"/>
    <w:rsid w:val="00B92181"/>
    <w:rsid w:val="00B945B0"/>
    <w:rsid w:val="00BA1533"/>
    <w:rsid w:val="00BD7025"/>
    <w:rsid w:val="00BD786A"/>
    <w:rsid w:val="00BE60B5"/>
    <w:rsid w:val="00BF0AD6"/>
    <w:rsid w:val="00C13068"/>
    <w:rsid w:val="00C41A29"/>
    <w:rsid w:val="00C4556E"/>
    <w:rsid w:val="00C63D98"/>
    <w:rsid w:val="00C66696"/>
    <w:rsid w:val="00C73EB2"/>
    <w:rsid w:val="00C93F46"/>
    <w:rsid w:val="00CA1239"/>
    <w:rsid w:val="00CD7493"/>
    <w:rsid w:val="00CF5AA6"/>
    <w:rsid w:val="00D230BA"/>
    <w:rsid w:val="00D51E8A"/>
    <w:rsid w:val="00D57717"/>
    <w:rsid w:val="00D57EF3"/>
    <w:rsid w:val="00D60B5B"/>
    <w:rsid w:val="00D72009"/>
    <w:rsid w:val="00D730E3"/>
    <w:rsid w:val="00D912A8"/>
    <w:rsid w:val="00DA282D"/>
    <w:rsid w:val="00E25AA8"/>
    <w:rsid w:val="00E46AA9"/>
    <w:rsid w:val="00E565BB"/>
    <w:rsid w:val="00E647B2"/>
    <w:rsid w:val="00EA7F67"/>
    <w:rsid w:val="00EE2DAA"/>
    <w:rsid w:val="00F1516A"/>
    <w:rsid w:val="00F43416"/>
    <w:rsid w:val="00F451DC"/>
    <w:rsid w:val="00F703FE"/>
    <w:rsid w:val="00F8600D"/>
    <w:rsid w:val="01511E96"/>
    <w:rsid w:val="01A36093"/>
    <w:rsid w:val="021D654F"/>
    <w:rsid w:val="02321502"/>
    <w:rsid w:val="02753097"/>
    <w:rsid w:val="03C54AC0"/>
    <w:rsid w:val="0598719B"/>
    <w:rsid w:val="05AB76A8"/>
    <w:rsid w:val="05BC17C6"/>
    <w:rsid w:val="060E56B2"/>
    <w:rsid w:val="0650410B"/>
    <w:rsid w:val="068413FC"/>
    <w:rsid w:val="07010552"/>
    <w:rsid w:val="07A202EE"/>
    <w:rsid w:val="0861274D"/>
    <w:rsid w:val="086320F9"/>
    <w:rsid w:val="08956AAF"/>
    <w:rsid w:val="08E81855"/>
    <w:rsid w:val="090B7819"/>
    <w:rsid w:val="09EC1ED2"/>
    <w:rsid w:val="0A442A3C"/>
    <w:rsid w:val="0AAE5C24"/>
    <w:rsid w:val="0B9301F7"/>
    <w:rsid w:val="0BD15659"/>
    <w:rsid w:val="0C415C41"/>
    <w:rsid w:val="0D152C2B"/>
    <w:rsid w:val="0D4A4B5D"/>
    <w:rsid w:val="0E2B2310"/>
    <w:rsid w:val="0E6C4FC3"/>
    <w:rsid w:val="0EC20433"/>
    <w:rsid w:val="0EFC70EF"/>
    <w:rsid w:val="0F331CA9"/>
    <w:rsid w:val="0F3D07AD"/>
    <w:rsid w:val="0FC07742"/>
    <w:rsid w:val="0FE014D4"/>
    <w:rsid w:val="11BA4317"/>
    <w:rsid w:val="12CF094B"/>
    <w:rsid w:val="13377FAA"/>
    <w:rsid w:val="155D7BAE"/>
    <w:rsid w:val="16013D0F"/>
    <w:rsid w:val="162519A3"/>
    <w:rsid w:val="1658341E"/>
    <w:rsid w:val="170036CE"/>
    <w:rsid w:val="17183764"/>
    <w:rsid w:val="1777105E"/>
    <w:rsid w:val="17B44F57"/>
    <w:rsid w:val="18F67002"/>
    <w:rsid w:val="19450EE7"/>
    <w:rsid w:val="1AC9101B"/>
    <w:rsid w:val="1BE318AC"/>
    <w:rsid w:val="1BF260EF"/>
    <w:rsid w:val="1C0D15C1"/>
    <w:rsid w:val="1CBC1832"/>
    <w:rsid w:val="1CC5771F"/>
    <w:rsid w:val="1D2D7941"/>
    <w:rsid w:val="1D613B6E"/>
    <w:rsid w:val="1D84061E"/>
    <w:rsid w:val="1D9647EF"/>
    <w:rsid w:val="1DA90A2F"/>
    <w:rsid w:val="1E3C6A71"/>
    <w:rsid w:val="20A00E56"/>
    <w:rsid w:val="20E73D48"/>
    <w:rsid w:val="216341D8"/>
    <w:rsid w:val="233E7F6E"/>
    <w:rsid w:val="23E15282"/>
    <w:rsid w:val="23EA68E9"/>
    <w:rsid w:val="246B5530"/>
    <w:rsid w:val="248343D3"/>
    <w:rsid w:val="248A0F6F"/>
    <w:rsid w:val="258778A8"/>
    <w:rsid w:val="25983CE3"/>
    <w:rsid w:val="270B3092"/>
    <w:rsid w:val="27AF67E6"/>
    <w:rsid w:val="287C34FD"/>
    <w:rsid w:val="288910EC"/>
    <w:rsid w:val="28A51B9C"/>
    <w:rsid w:val="28CE20BE"/>
    <w:rsid w:val="29B07F7A"/>
    <w:rsid w:val="29CE4B19"/>
    <w:rsid w:val="2A6B2407"/>
    <w:rsid w:val="2B7E28D3"/>
    <w:rsid w:val="2BA62155"/>
    <w:rsid w:val="2BD6420E"/>
    <w:rsid w:val="2D1E0AF2"/>
    <w:rsid w:val="2D3C34B4"/>
    <w:rsid w:val="2E6E44D4"/>
    <w:rsid w:val="2EC61E80"/>
    <w:rsid w:val="2F8B67D2"/>
    <w:rsid w:val="302504AB"/>
    <w:rsid w:val="30696528"/>
    <w:rsid w:val="30880488"/>
    <w:rsid w:val="30F25D31"/>
    <w:rsid w:val="31007180"/>
    <w:rsid w:val="31093867"/>
    <w:rsid w:val="318536B4"/>
    <w:rsid w:val="31FF0852"/>
    <w:rsid w:val="320B0BE0"/>
    <w:rsid w:val="33255FDC"/>
    <w:rsid w:val="33591D77"/>
    <w:rsid w:val="33AE1AB3"/>
    <w:rsid w:val="34BE4394"/>
    <w:rsid w:val="34D30B05"/>
    <w:rsid w:val="34D67BF6"/>
    <w:rsid w:val="35871CE3"/>
    <w:rsid w:val="35FB5399"/>
    <w:rsid w:val="360F1920"/>
    <w:rsid w:val="36AE3423"/>
    <w:rsid w:val="36BE5761"/>
    <w:rsid w:val="36E32B37"/>
    <w:rsid w:val="37BC4FD0"/>
    <w:rsid w:val="38077990"/>
    <w:rsid w:val="39B4698D"/>
    <w:rsid w:val="3B0E3FCB"/>
    <w:rsid w:val="3BB52F46"/>
    <w:rsid w:val="3C131FB3"/>
    <w:rsid w:val="3C1C12EC"/>
    <w:rsid w:val="3CFF6372"/>
    <w:rsid w:val="3E6017F2"/>
    <w:rsid w:val="40000792"/>
    <w:rsid w:val="40F53551"/>
    <w:rsid w:val="41C376FC"/>
    <w:rsid w:val="41DC2BEA"/>
    <w:rsid w:val="42084A18"/>
    <w:rsid w:val="422075E2"/>
    <w:rsid w:val="424B191B"/>
    <w:rsid w:val="42874B65"/>
    <w:rsid w:val="430421ED"/>
    <w:rsid w:val="432D310F"/>
    <w:rsid w:val="44F44DAF"/>
    <w:rsid w:val="44FE34D1"/>
    <w:rsid w:val="45082BED"/>
    <w:rsid w:val="45D505D8"/>
    <w:rsid w:val="462B5CDC"/>
    <w:rsid w:val="4653270A"/>
    <w:rsid w:val="468277C2"/>
    <w:rsid w:val="47497ED7"/>
    <w:rsid w:val="478C77D7"/>
    <w:rsid w:val="47E372C7"/>
    <w:rsid w:val="4923766B"/>
    <w:rsid w:val="49B67DE0"/>
    <w:rsid w:val="4A522F46"/>
    <w:rsid w:val="4BB9625F"/>
    <w:rsid w:val="4D36558C"/>
    <w:rsid w:val="4D657876"/>
    <w:rsid w:val="4E0661AA"/>
    <w:rsid w:val="4E715DB5"/>
    <w:rsid w:val="4F341C95"/>
    <w:rsid w:val="4F365531"/>
    <w:rsid w:val="50AD3372"/>
    <w:rsid w:val="51403F4D"/>
    <w:rsid w:val="515E458D"/>
    <w:rsid w:val="518449D2"/>
    <w:rsid w:val="51FE036C"/>
    <w:rsid w:val="54B01623"/>
    <w:rsid w:val="5538741B"/>
    <w:rsid w:val="564E2E25"/>
    <w:rsid w:val="56BC435F"/>
    <w:rsid w:val="57DA1F41"/>
    <w:rsid w:val="585265DA"/>
    <w:rsid w:val="59374B66"/>
    <w:rsid w:val="5A0776A6"/>
    <w:rsid w:val="5A084550"/>
    <w:rsid w:val="5AA441F1"/>
    <w:rsid w:val="5AAF28D5"/>
    <w:rsid w:val="5BEE468E"/>
    <w:rsid w:val="5C1A087F"/>
    <w:rsid w:val="5C7E73FF"/>
    <w:rsid w:val="5ED0281D"/>
    <w:rsid w:val="5F040A98"/>
    <w:rsid w:val="5F1571A1"/>
    <w:rsid w:val="5F53020D"/>
    <w:rsid w:val="61175102"/>
    <w:rsid w:val="6163080B"/>
    <w:rsid w:val="618601D7"/>
    <w:rsid w:val="62460FB2"/>
    <w:rsid w:val="62976CAA"/>
    <w:rsid w:val="629F3F52"/>
    <w:rsid w:val="637C3CE8"/>
    <w:rsid w:val="63A54631"/>
    <w:rsid w:val="64164EA3"/>
    <w:rsid w:val="65455AD9"/>
    <w:rsid w:val="65AB6BF5"/>
    <w:rsid w:val="660D43F1"/>
    <w:rsid w:val="6726065D"/>
    <w:rsid w:val="673E7016"/>
    <w:rsid w:val="67A34152"/>
    <w:rsid w:val="67EE31F4"/>
    <w:rsid w:val="685E30A0"/>
    <w:rsid w:val="68752A9A"/>
    <w:rsid w:val="69507915"/>
    <w:rsid w:val="6A9C197D"/>
    <w:rsid w:val="6B384EB9"/>
    <w:rsid w:val="6B5A2747"/>
    <w:rsid w:val="6B8D3643"/>
    <w:rsid w:val="6BCF7C2E"/>
    <w:rsid w:val="6BE60693"/>
    <w:rsid w:val="6C912415"/>
    <w:rsid w:val="6D352DB1"/>
    <w:rsid w:val="6DAC7479"/>
    <w:rsid w:val="6EB54BDF"/>
    <w:rsid w:val="6ED75B36"/>
    <w:rsid w:val="6F454C3C"/>
    <w:rsid w:val="70231DFB"/>
    <w:rsid w:val="727B1ACB"/>
    <w:rsid w:val="729F0E8F"/>
    <w:rsid w:val="731E716A"/>
    <w:rsid w:val="74C34346"/>
    <w:rsid w:val="75647A0D"/>
    <w:rsid w:val="75965F9E"/>
    <w:rsid w:val="75D17BEE"/>
    <w:rsid w:val="769C3892"/>
    <w:rsid w:val="76C535D4"/>
    <w:rsid w:val="76FE7B95"/>
    <w:rsid w:val="772B6079"/>
    <w:rsid w:val="773C559D"/>
    <w:rsid w:val="776321B8"/>
    <w:rsid w:val="776C3139"/>
    <w:rsid w:val="7803123F"/>
    <w:rsid w:val="79B8598D"/>
    <w:rsid w:val="79F74E0E"/>
    <w:rsid w:val="7A1769CD"/>
    <w:rsid w:val="7A93627E"/>
    <w:rsid w:val="7AAA00E9"/>
    <w:rsid w:val="7B3177C9"/>
    <w:rsid w:val="7C940A23"/>
    <w:rsid w:val="7CC32E92"/>
    <w:rsid w:val="7D523711"/>
    <w:rsid w:val="7D565175"/>
    <w:rsid w:val="7DD60C36"/>
    <w:rsid w:val="7EF32976"/>
    <w:rsid w:val="7F855C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outlineLvl w:val="0"/>
    </w:pPr>
    <w:rPr>
      <w:rFonts w:eastAsia="黑体"/>
      <w:kern w:val="44"/>
      <w:sz w:val="32"/>
    </w:rPr>
  </w:style>
  <w:style w:type="paragraph" w:styleId="2">
    <w:name w:val="heading 2"/>
    <w:basedOn w:val="1"/>
    <w:next w:val="1"/>
    <w:unhideWhenUsed/>
    <w:qFormat/>
    <w:uiPriority w:val="9"/>
    <w:pPr>
      <w:keepNext/>
      <w:keepLines/>
      <w:spacing w:before="260" w:after="260" w:line="415" w:lineRule="auto"/>
      <w:outlineLvl w:val="1"/>
    </w:pPr>
    <w:rPr>
      <w:rFonts w:ascii="Cambria" w:hAnsi="Cambria" w:eastAsia="宋体" w:cs="宋体"/>
      <w:b/>
      <w:bCs/>
      <w:kern w:val="0"/>
      <w:sz w:val="32"/>
      <w:szCs w:val="32"/>
    </w:rPr>
  </w:style>
  <w:style w:type="paragraph" w:styleId="4">
    <w:name w:val="heading 7"/>
    <w:basedOn w:val="1"/>
    <w:next w:val="1"/>
    <w:unhideWhenUsed/>
    <w:qFormat/>
    <w:uiPriority w:val="9"/>
    <w:pPr>
      <w:keepNext/>
      <w:keepLines/>
      <w:spacing w:before="240" w:after="64" w:line="320" w:lineRule="atLeast"/>
      <w:outlineLvl w:val="6"/>
    </w:pPr>
    <w:rPr>
      <w:b/>
      <w:bCs/>
      <w:sz w:val="24"/>
    </w:rPr>
  </w:style>
  <w:style w:type="character" w:default="1" w:styleId="15">
    <w:name w:val="Default Paragraph Font"/>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ody Text"/>
    <w:basedOn w:val="1"/>
    <w:qFormat/>
    <w:uiPriority w:val="0"/>
    <w:rPr>
      <w:sz w:val="32"/>
    </w:rPr>
  </w:style>
  <w:style w:type="paragraph" w:styleId="7">
    <w:name w:val="Date"/>
    <w:basedOn w:val="1"/>
    <w:next w:val="1"/>
    <w:link w:val="21"/>
    <w:semiHidden/>
    <w:unhideWhenUsed/>
    <w:qFormat/>
    <w:uiPriority w:val="99"/>
    <w:pPr>
      <w:ind w:left="100" w:leftChars="2500"/>
    </w:pPr>
  </w:style>
  <w:style w:type="paragraph" w:styleId="8">
    <w:name w:val="Balloon Text"/>
    <w:basedOn w:val="1"/>
    <w:link w:val="46"/>
    <w:autoRedefine/>
    <w:semiHidden/>
    <w:unhideWhenUsed/>
    <w:qFormat/>
    <w:uiPriority w:val="99"/>
    <w:rPr>
      <w:sz w:val="18"/>
      <w:szCs w:val="18"/>
    </w:rPr>
  </w:style>
  <w:style w:type="paragraph" w:styleId="9">
    <w:name w:val="footer"/>
    <w:basedOn w:val="1"/>
    <w:link w:val="20"/>
    <w:unhideWhenUsed/>
    <w:qFormat/>
    <w:uiPriority w:val="99"/>
    <w:pPr>
      <w:tabs>
        <w:tab w:val="center" w:pos="4153"/>
        <w:tab w:val="right" w:pos="8306"/>
      </w:tabs>
      <w:snapToGrid w:val="0"/>
      <w:jc w:val="left"/>
    </w:pPr>
    <w:rPr>
      <w:sz w:val="18"/>
      <w:szCs w:val="18"/>
    </w:rPr>
  </w:style>
  <w:style w:type="paragraph" w:styleId="10">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qFormat/>
    <w:uiPriority w:val="99"/>
    <w:pPr>
      <w:spacing w:beforeAutospacing="1" w:afterAutospacing="1"/>
      <w:jc w:val="left"/>
    </w:pPr>
    <w:rPr>
      <w:rFonts w:ascii="Calibri" w:hAnsi="Calibri" w:eastAsia="宋体" w:cs="Times New Roman"/>
      <w:kern w:val="0"/>
      <w:sz w:val="24"/>
      <w:szCs w:val="21"/>
    </w:rPr>
  </w:style>
  <w:style w:type="paragraph" w:styleId="12">
    <w:name w:val="Title"/>
    <w:basedOn w:val="1"/>
    <w:next w:val="1"/>
    <w:autoRedefine/>
    <w:qFormat/>
    <w:uiPriority w:val="0"/>
    <w:pPr>
      <w:spacing w:before="240" w:after="60"/>
      <w:jc w:val="center"/>
      <w:outlineLvl w:val="0"/>
    </w:pPr>
    <w:rPr>
      <w:rFonts w:ascii="Cambria" w:hAnsi="Cambria"/>
      <w:b/>
      <w:bCs/>
      <w:sz w:val="32"/>
      <w:szCs w:val="32"/>
    </w:rPr>
  </w:style>
  <w:style w:type="table" w:styleId="14">
    <w:name w:val="Table Grid"/>
    <w:basedOn w:val="13"/>
    <w:semiHidden/>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FollowedHyperlink"/>
    <w:basedOn w:val="15"/>
    <w:semiHidden/>
    <w:unhideWhenUsed/>
    <w:qFormat/>
    <w:uiPriority w:val="99"/>
    <w:rPr>
      <w:color w:val="000000"/>
      <w:u w:val="none"/>
    </w:rPr>
  </w:style>
  <w:style w:type="character" w:styleId="17">
    <w:name w:val="Hyperlink"/>
    <w:basedOn w:val="15"/>
    <w:semiHidden/>
    <w:unhideWhenUsed/>
    <w:qFormat/>
    <w:uiPriority w:val="99"/>
    <w:rPr>
      <w:color w:val="000000"/>
      <w:u w:val="none"/>
    </w:rPr>
  </w:style>
  <w:style w:type="character" w:styleId="18">
    <w:name w:val="annotation reference"/>
    <w:basedOn w:val="15"/>
    <w:semiHidden/>
    <w:unhideWhenUsed/>
    <w:qFormat/>
    <w:uiPriority w:val="99"/>
    <w:rPr>
      <w:sz w:val="21"/>
      <w:szCs w:val="21"/>
    </w:rPr>
  </w:style>
  <w:style w:type="character" w:customStyle="1" w:styleId="19">
    <w:name w:val="页眉 字符"/>
    <w:basedOn w:val="15"/>
    <w:link w:val="10"/>
    <w:autoRedefine/>
    <w:qFormat/>
    <w:uiPriority w:val="99"/>
    <w:rPr>
      <w:sz w:val="18"/>
      <w:szCs w:val="18"/>
    </w:rPr>
  </w:style>
  <w:style w:type="character" w:customStyle="1" w:styleId="20">
    <w:name w:val="页脚 字符"/>
    <w:basedOn w:val="15"/>
    <w:link w:val="9"/>
    <w:qFormat/>
    <w:uiPriority w:val="99"/>
    <w:rPr>
      <w:sz w:val="18"/>
      <w:szCs w:val="18"/>
    </w:rPr>
  </w:style>
  <w:style w:type="character" w:customStyle="1" w:styleId="21">
    <w:name w:val="日期 字符"/>
    <w:basedOn w:val="15"/>
    <w:link w:val="7"/>
    <w:semiHidden/>
    <w:qFormat/>
    <w:uiPriority w:val="99"/>
  </w:style>
  <w:style w:type="paragraph" w:customStyle="1" w:styleId="22">
    <w:name w:val="列出段落1"/>
    <w:basedOn w:val="1"/>
    <w:qFormat/>
    <w:uiPriority w:val="34"/>
    <w:pPr>
      <w:ind w:firstLine="420" w:firstLineChars="200"/>
    </w:pPr>
    <w:rPr>
      <w:rFonts w:ascii="Calibri" w:hAnsi="Calibri" w:eastAsia="宋体" w:cs="Calibri"/>
      <w:szCs w:val="21"/>
    </w:rPr>
  </w:style>
  <w:style w:type="character" w:customStyle="1" w:styleId="23">
    <w:name w:val="time"/>
    <w:basedOn w:val="15"/>
    <w:qFormat/>
    <w:uiPriority w:val="0"/>
    <w:rPr>
      <w:color w:val="878282"/>
    </w:rPr>
  </w:style>
  <w:style w:type="character" w:customStyle="1" w:styleId="24">
    <w:name w:val="time1"/>
    <w:basedOn w:val="15"/>
    <w:qFormat/>
    <w:uiPriority w:val="0"/>
    <w:rPr>
      <w:color w:val="CCCCCC"/>
    </w:rPr>
  </w:style>
  <w:style w:type="character" w:customStyle="1" w:styleId="25">
    <w:name w:val="time2"/>
    <w:basedOn w:val="15"/>
    <w:qFormat/>
    <w:uiPriority w:val="0"/>
    <w:rPr>
      <w:color w:val="AAAAAA"/>
      <w:sz w:val="18"/>
      <w:szCs w:val="18"/>
    </w:rPr>
  </w:style>
  <w:style w:type="character" w:customStyle="1" w:styleId="26">
    <w:name w:val="follow"/>
    <w:basedOn w:val="15"/>
    <w:autoRedefine/>
    <w:qFormat/>
    <w:uiPriority w:val="0"/>
    <w:rPr>
      <w:color w:val="FFFFFF"/>
      <w:shd w:val="clear" w:color="auto" w:fill="EFC765"/>
    </w:rPr>
  </w:style>
  <w:style w:type="character" w:customStyle="1" w:styleId="27">
    <w:name w:val="blue-n"/>
    <w:basedOn w:val="15"/>
    <w:autoRedefine/>
    <w:qFormat/>
    <w:uiPriority w:val="0"/>
    <w:rPr>
      <w:color w:val="173EE8"/>
      <w:u w:val="none"/>
    </w:rPr>
  </w:style>
  <w:style w:type="character" w:customStyle="1" w:styleId="28">
    <w:name w:val="blue-n1"/>
    <w:basedOn w:val="15"/>
    <w:autoRedefine/>
    <w:qFormat/>
    <w:uiPriority w:val="0"/>
    <w:rPr>
      <w:color w:val="173EE8"/>
    </w:rPr>
  </w:style>
  <w:style w:type="character" w:customStyle="1" w:styleId="29">
    <w:name w:val="red-n"/>
    <w:basedOn w:val="15"/>
    <w:autoRedefine/>
    <w:qFormat/>
    <w:uiPriority w:val="0"/>
    <w:rPr>
      <w:color w:val="CC0000"/>
      <w:u w:val="none"/>
    </w:rPr>
  </w:style>
  <w:style w:type="character" w:customStyle="1" w:styleId="30">
    <w:name w:val="red-n1"/>
    <w:basedOn w:val="15"/>
    <w:autoRedefine/>
    <w:qFormat/>
    <w:uiPriority w:val="0"/>
    <w:rPr>
      <w:color w:val="CC0000"/>
    </w:rPr>
  </w:style>
  <w:style w:type="character" w:customStyle="1" w:styleId="31">
    <w:name w:val="black-n"/>
    <w:basedOn w:val="15"/>
    <w:autoRedefine/>
    <w:qFormat/>
    <w:uiPriority w:val="0"/>
    <w:rPr>
      <w:color w:val="000000"/>
      <w:u w:val="none"/>
    </w:rPr>
  </w:style>
  <w:style w:type="character" w:customStyle="1" w:styleId="32">
    <w:name w:val="black-n1"/>
    <w:basedOn w:val="15"/>
    <w:autoRedefine/>
    <w:qFormat/>
    <w:uiPriority w:val="0"/>
    <w:rPr>
      <w:color w:val="000000"/>
    </w:rPr>
  </w:style>
  <w:style w:type="character" w:customStyle="1" w:styleId="33">
    <w:name w:val="red2"/>
    <w:basedOn w:val="15"/>
    <w:autoRedefine/>
    <w:qFormat/>
    <w:uiPriority w:val="0"/>
    <w:rPr>
      <w:color w:val="CC0000"/>
      <w:u w:val="single"/>
    </w:rPr>
  </w:style>
  <w:style w:type="character" w:customStyle="1" w:styleId="34">
    <w:name w:val="red3"/>
    <w:basedOn w:val="15"/>
    <w:autoRedefine/>
    <w:qFormat/>
    <w:uiPriority w:val="0"/>
    <w:rPr>
      <w:color w:val="CC0000"/>
      <w:u w:val="single"/>
    </w:rPr>
  </w:style>
  <w:style w:type="character" w:customStyle="1" w:styleId="35">
    <w:name w:val="black"/>
    <w:basedOn w:val="15"/>
    <w:autoRedefine/>
    <w:qFormat/>
    <w:uiPriority w:val="0"/>
    <w:rPr>
      <w:color w:val="000000"/>
      <w:u w:val="single"/>
    </w:rPr>
  </w:style>
  <w:style w:type="character" w:customStyle="1" w:styleId="36">
    <w:name w:val="black1"/>
    <w:basedOn w:val="15"/>
    <w:autoRedefine/>
    <w:qFormat/>
    <w:uiPriority w:val="0"/>
    <w:rPr>
      <w:color w:val="000000"/>
      <w:u w:val="single"/>
    </w:rPr>
  </w:style>
  <w:style w:type="character" w:customStyle="1" w:styleId="37">
    <w:name w:val="blue1"/>
    <w:basedOn w:val="15"/>
    <w:autoRedefine/>
    <w:qFormat/>
    <w:uiPriority w:val="0"/>
    <w:rPr>
      <w:color w:val="173EE8"/>
      <w:u w:val="single"/>
    </w:rPr>
  </w:style>
  <w:style w:type="character" w:customStyle="1" w:styleId="38">
    <w:name w:val="blue2"/>
    <w:basedOn w:val="15"/>
    <w:autoRedefine/>
    <w:qFormat/>
    <w:uiPriority w:val="0"/>
    <w:rPr>
      <w:color w:val="173EE8"/>
      <w:u w:val="single"/>
    </w:rPr>
  </w:style>
  <w:style w:type="character" w:customStyle="1" w:styleId="39">
    <w:name w:val="name"/>
    <w:basedOn w:val="15"/>
    <w:autoRedefine/>
    <w:qFormat/>
    <w:uiPriority w:val="0"/>
  </w:style>
  <w:style w:type="character" w:customStyle="1" w:styleId="40">
    <w:name w:val="kxbt"/>
    <w:basedOn w:val="15"/>
    <w:autoRedefine/>
    <w:qFormat/>
    <w:uiPriority w:val="0"/>
  </w:style>
  <w:style w:type="character" w:customStyle="1" w:styleId="41">
    <w:name w:val="disabled"/>
    <w:basedOn w:val="15"/>
    <w:autoRedefine/>
    <w:qFormat/>
    <w:uiPriority w:val="0"/>
    <w:rPr>
      <w:color w:val="CCCCCC"/>
      <w:bdr w:val="single" w:color="CCCCCC" w:sz="6" w:space="0"/>
    </w:rPr>
  </w:style>
  <w:style w:type="character" w:customStyle="1" w:styleId="42">
    <w:name w:val="disabled1"/>
    <w:basedOn w:val="15"/>
    <w:autoRedefine/>
    <w:qFormat/>
    <w:uiPriority w:val="0"/>
    <w:rPr>
      <w:color w:val="CCCCCC"/>
      <w:bdr w:val="single" w:color="CCCCCC" w:sz="6" w:space="0"/>
    </w:rPr>
  </w:style>
  <w:style w:type="character" w:customStyle="1" w:styleId="43">
    <w:name w:val="current"/>
    <w:basedOn w:val="15"/>
    <w:autoRedefine/>
    <w:qFormat/>
    <w:uiPriority w:val="0"/>
    <w:rPr>
      <w:b/>
      <w:color w:val="FFFFFF"/>
      <w:bdr w:val="single" w:color="D21300" w:sz="6" w:space="0"/>
      <w:shd w:val="clear" w:color="auto" w:fill="D21300"/>
    </w:rPr>
  </w:style>
  <w:style w:type="character" w:customStyle="1" w:styleId="44">
    <w:name w:val="current1"/>
    <w:basedOn w:val="15"/>
    <w:autoRedefine/>
    <w:qFormat/>
    <w:uiPriority w:val="0"/>
    <w:rPr>
      <w:b/>
      <w:color w:val="FFFFFF"/>
      <w:bdr w:val="single" w:color="D21300" w:sz="6" w:space="0"/>
      <w:shd w:val="clear" w:color="auto" w:fill="D21300"/>
    </w:rPr>
  </w:style>
  <w:style w:type="table" w:customStyle="1" w:styleId="45">
    <w:name w:val="网格型1"/>
    <w:basedOn w:val="13"/>
    <w:autoRedefine/>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6">
    <w:name w:val="批注框文本 字符"/>
    <w:basedOn w:val="15"/>
    <w:link w:val="8"/>
    <w:autoRedefine/>
    <w:semiHidden/>
    <w:qFormat/>
    <w:uiPriority w:val="99"/>
    <w:rPr>
      <w:kern w:val="2"/>
      <w:sz w:val="18"/>
      <w:szCs w:val="18"/>
    </w:rPr>
  </w:style>
  <w:style w:type="character" w:customStyle="1" w:styleId="47">
    <w:name w:val="font101"/>
    <w:basedOn w:val="15"/>
    <w:autoRedefine/>
    <w:qFormat/>
    <w:uiPriority w:val="0"/>
    <w:rPr>
      <w:rFonts w:ascii="Microsoft YaHei UI" w:hAnsi="Microsoft YaHei UI" w:eastAsia="Microsoft YaHei UI" w:cs="Microsoft YaHei UI"/>
      <w:b/>
      <w:color w:val="000000"/>
      <w:sz w:val="18"/>
      <w:szCs w:val="18"/>
      <w:u w:val="none"/>
    </w:rPr>
  </w:style>
  <w:style w:type="character" w:customStyle="1" w:styleId="48">
    <w:name w:val="font41"/>
    <w:basedOn w:val="15"/>
    <w:autoRedefine/>
    <w:qFormat/>
    <w:uiPriority w:val="0"/>
    <w:rPr>
      <w:rFonts w:hint="default" w:ascii="方正仿宋_GB2312" w:eastAsia="方正仿宋_GB2312" w:cs="方正仿宋_GB2312"/>
      <w:b/>
      <w:color w:val="000000"/>
      <w:sz w:val="18"/>
      <w:szCs w:val="18"/>
      <w:u w:val="none"/>
    </w:rPr>
  </w:style>
  <w:style w:type="character" w:customStyle="1" w:styleId="49">
    <w:name w:val="font51"/>
    <w:basedOn w:val="15"/>
    <w:autoRedefine/>
    <w:qFormat/>
    <w:uiPriority w:val="0"/>
    <w:rPr>
      <w:rFonts w:hint="eastAsia" w:ascii="宋体" w:hAnsi="宋体" w:eastAsia="宋体" w:cs="宋体"/>
      <w:color w:val="000000"/>
      <w:sz w:val="18"/>
      <w:szCs w:val="18"/>
      <w:u w:val="none"/>
    </w:rPr>
  </w:style>
  <w:style w:type="character" w:customStyle="1" w:styleId="50">
    <w:name w:val="font91"/>
    <w:basedOn w:val="15"/>
    <w:autoRedefine/>
    <w:qFormat/>
    <w:uiPriority w:val="0"/>
    <w:rPr>
      <w:rFonts w:ascii="MingLiU-ExtB" w:hAnsi="MingLiU-ExtB" w:eastAsia="MingLiU-ExtB" w:cs="MingLiU-ExtB"/>
      <w:color w:val="000000"/>
      <w:sz w:val="18"/>
      <w:szCs w:val="18"/>
      <w:u w:val="none"/>
    </w:rPr>
  </w:style>
  <w:style w:type="character" w:customStyle="1" w:styleId="51">
    <w:name w:val="font81"/>
    <w:basedOn w:val="15"/>
    <w:autoRedefine/>
    <w:qFormat/>
    <w:uiPriority w:val="0"/>
    <w:rPr>
      <w:rFonts w:ascii="Segoe UI Symbol" w:hAnsi="Segoe UI Symbol" w:eastAsia="Segoe UI Symbol" w:cs="Segoe UI Symbol"/>
      <w:color w:val="000000"/>
      <w:sz w:val="18"/>
      <w:szCs w:val="18"/>
      <w:u w:val="none"/>
    </w:rPr>
  </w:style>
  <w:style w:type="character" w:customStyle="1" w:styleId="52">
    <w:name w:val="font141"/>
    <w:basedOn w:val="15"/>
    <w:autoRedefine/>
    <w:qFormat/>
    <w:uiPriority w:val="0"/>
    <w:rPr>
      <w:rFonts w:hint="default" w:ascii="方正仿宋_GB2312" w:eastAsia="方正仿宋_GB2312" w:cs="方正仿宋_GB2312"/>
      <w:color w:val="000000"/>
      <w:sz w:val="18"/>
      <w:szCs w:val="18"/>
      <w:u w:val="none"/>
    </w:rPr>
  </w:style>
  <w:style w:type="character" w:customStyle="1" w:styleId="53">
    <w:name w:val="font71"/>
    <w:basedOn w:val="15"/>
    <w:autoRedefine/>
    <w:qFormat/>
    <w:uiPriority w:val="0"/>
    <w:rPr>
      <w:rFonts w:hint="default" w:ascii="方正仿宋_GB2312" w:eastAsia="方正仿宋_GB2312" w:cs="方正仿宋_GB2312"/>
      <w:color w:val="000000"/>
      <w:sz w:val="18"/>
      <w:szCs w:val="18"/>
      <w:u w:val="none"/>
    </w:rPr>
  </w:style>
  <w:style w:type="character" w:customStyle="1" w:styleId="54">
    <w:name w:val="font11"/>
    <w:basedOn w:val="15"/>
    <w:autoRedefine/>
    <w:qFormat/>
    <w:uiPriority w:val="0"/>
    <w:rPr>
      <w:rFonts w:hint="default" w:ascii="方正仿宋_GB2312" w:eastAsia="方正仿宋_GB2312" w:cs="方正仿宋_GB2312"/>
      <w:color w:val="FF0000"/>
      <w:sz w:val="18"/>
      <w:szCs w:val="18"/>
      <w:u w:val="none"/>
    </w:rPr>
  </w:style>
  <w:style w:type="character" w:customStyle="1" w:styleId="55">
    <w:name w:val="font12"/>
    <w:basedOn w:val="15"/>
    <w:autoRedefine/>
    <w:qFormat/>
    <w:uiPriority w:val="0"/>
    <w:rPr>
      <w:rFonts w:hint="default" w:ascii="方正仿宋_GB2312" w:eastAsia="方正仿宋_GB2312" w:cs="方正仿宋_GB2312"/>
      <w:color w:val="FF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8235</Words>
  <Characters>8656</Characters>
  <Lines>63</Lines>
  <Paragraphs>17</Paragraphs>
  <TotalTime>13</TotalTime>
  <ScaleCrop>false</ScaleCrop>
  <LinksUpToDate>false</LinksUpToDate>
  <CharactersWithSpaces>8689</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2021-05-25T14:40:00Z</dcterms:created>
  <dc:creator>Yoshi</dc:creator>
  <cp:lastModifiedBy>Administrator</cp:lastModifiedBy>
  <cp:lastPrinted>2021-05-19T07:15:00Z</cp:lastPrinted>
  <dcterms:modified xsi:type="dcterms:W3CDTF">2024-02-22T03:47:02Z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6C1C2E24B75245459B45B8268B9B5A56_13</vt:lpwstr>
  </property>
</Properties>
</file>