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4"/>
        <w:ind w:left="-5" w:hanging="10"/>
      </w:pPr>
      <w:r>
        <w:rPr>
          <w:rFonts w:ascii="微软雅黑" w:hAnsi="微软雅黑" w:eastAsia="微软雅黑" w:cs="微软雅黑"/>
          <w:sz w:val="14"/>
        </w:rPr>
        <w:t>阴件2</w:t>
      </w:r>
    </w:p>
    <w:p>
      <w:pPr>
        <w:spacing w:after="0"/>
        <w:ind w:right="3101"/>
        <w:jc w:val="right"/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sz w:val="20"/>
        </w:rPr>
        <w:t>中央对地方转移支付区域绩效目</w:t>
      </w:r>
      <w:r>
        <w:rPr>
          <w:rFonts w:hint="eastAsia" w:ascii="微软雅黑" w:hAnsi="微软雅黑" w:eastAsia="微软雅黑" w:cs="微软雅黑"/>
          <w:sz w:val="20"/>
          <w:lang w:eastAsia="zh-CN"/>
        </w:rPr>
        <w:t>标表</w:t>
      </w:r>
    </w:p>
    <w:p>
      <w:pPr>
        <w:spacing w:after="0"/>
        <w:ind w:left="4388" w:hanging="10"/>
      </w:pPr>
      <w:r>
        <w:rPr>
          <w:rFonts w:ascii="微软雅黑" w:hAnsi="微软雅黑" w:eastAsia="微软雅黑" w:cs="微软雅黑"/>
          <w:sz w:val="14"/>
        </w:rPr>
        <w:t>（2025年度）</w:t>
      </w:r>
    </w:p>
    <w:tbl>
      <w:tblPr>
        <w:tblStyle w:val="8"/>
        <w:tblW w:w="9578" w:type="dxa"/>
        <w:tblInd w:w="-45" w:type="dxa"/>
        <w:tblLayout w:type="autofit"/>
        <w:tblCellMar>
          <w:top w:w="79" w:type="dxa"/>
          <w:left w:w="24" w:type="dxa"/>
          <w:bottom w:w="0" w:type="dxa"/>
          <w:right w:w="49" w:type="dxa"/>
        </w:tblCellMar>
      </w:tblPr>
      <w:tblGrid>
        <w:gridCol w:w="1177"/>
        <w:gridCol w:w="1201"/>
        <w:gridCol w:w="1473"/>
        <w:gridCol w:w="2029"/>
        <w:gridCol w:w="1309"/>
        <w:gridCol w:w="758"/>
        <w:gridCol w:w="1631"/>
      </w:tblGrid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302" w:hRule="atLeast"/>
        </w:trPr>
        <w:tc>
          <w:tcPr>
            <w:tcW w:w="23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项目名称</w:t>
            </w:r>
          </w:p>
        </w:tc>
        <w:tc>
          <w:tcPr>
            <w:tcW w:w="72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3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医疗服务与保障能力提升（公立医院综合改革）补助资金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299" w:hRule="atLeast"/>
        </w:trPr>
        <w:tc>
          <w:tcPr>
            <w:tcW w:w="23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1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中央主管部门</w:t>
            </w:r>
          </w:p>
        </w:tc>
        <w:tc>
          <w:tcPr>
            <w:tcW w:w="72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43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财政部、国家卫生健康委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301" w:hRule="atLeast"/>
        </w:trPr>
        <w:tc>
          <w:tcPr>
            <w:tcW w:w="23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1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省级财政部门</w:t>
            </w:r>
          </w:p>
        </w:tc>
        <w:tc>
          <w:tcPr>
            <w:tcW w:w="35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right="9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湖南省财政厅</w:t>
            </w:r>
          </w:p>
        </w:tc>
        <w:tc>
          <w:tcPr>
            <w:tcW w:w="13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7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3"/>
                <w:szCs w:val="28"/>
              </w:rPr>
              <w:t>省级主管部门</w:t>
            </w:r>
          </w:p>
        </w:tc>
        <w:tc>
          <w:tcPr>
            <w:tcW w:w="23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5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湖南省卫生健康委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298" w:hRule="atLeast"/>
        </w:trPr>
        <w:tc>
          <w:tcPr>
            <w:tcW w:w="237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7"/>
              <w:jc w:val="center"/>
              <w:rPr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  <w:lang w:eastAsia="zh-CN"/>
              </w:rPr>
              <w:t>资金</w:t>
            </w:r>
            <w:r>
              <w:rPr>
                <w:rFonts w:ascii="微软雅黑" w:hAnsi="微软雅黑" w:eastAsia="微软雅黑" w:cs="微软雅黑"/>
                <w:sz w:val="18"/>
                <w:szCs w:val="22"/>
              </w:rPr>
              <w:t>（万元）</w:t>
            </w:r>
          </w:p>
        </w:tc>
        <w:tc>
          <w:tcPr>
            <w:tcW w:w="35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53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年度金额：</w:t>
            </w:r>
          </w:p>
        </w:tc>
        <w:tc>
          <w:tcPr>
            <w:tcW w:w="36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8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10000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302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35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361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其中：中央补助</w:t>
            </w:r>
          </w:p>
        </w:tc>
        <w:tc>
          <w:tcPr>
            <w:tcW w:w="36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58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10000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302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35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778"/>
              <w:jc w:val="center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5"/>
                <w:szCs w:val="28"/>
              </w:rPr>
              <w:t>地方补助</w:t>
            </w:r>
          </w:p>
        </w:tc>
        <w:tc>
          <w:tcPr>
            <w:tcW w:w="36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4"/>
                <w:szCs w:val="28"/>
              </w:rPr>
            </w:pP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1632" w:hRule="atLeast"/>
        </w:trPr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9" w:right="292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年度总体目标</w:t>
            </w:r>
          </w:p>
        </w:tc>
        <w:tc>
          <w:tcPr>
            <w:tcW w:w="840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支持湖南省长沙市实施公立医院改革与高质量发展示范项目：</w:t>
            </w:r>
          </w:p>
          <w:p>
            <w:pPr>
              <w:spacing w:after="0" w:line="216" w:lineRule="auto"/>
              <w:ind w:left="14" w:firstLine="5"/>
              <w:jc w:val="both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val="en-US" w:eastAsia="zh-CN"/>
              </w:rPr>
              <w:t>1、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建立医疗、医保、医药市委常委联系、政府领导统一分管的领导体制，健全“三医”部门联席会议制度，推行以DRG支付为主的医保支付方式改革。</w:t>
            </w:r>
          </w:p>
          <w:p>
            <w:pPr>
              <w:spacing w:after="0"/>
              <w:ind w:left="10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val="en-US" w:eastAsia="zh-CN"/>
              </w:rPr>
              <w:t>2、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推进医疗联合体建设，初步构建“矩阵式”医联体运行模式，开展三甲医院“专家门诊前移”行动。</w:t>
            </w:r>
          </w:p>
          <w:p>
            <w:pPr>
              <w:spacing w:after="0"/>
              <w:ind w:left="10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val="en-US" w:eastAsia="zh-CN"/>
              </w:rPr>
              <w:t>3、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创新优化人员编制管理，在核定人员总量的基础上，根据医院规模变化和业务开展情况，动态调整人员编制总量。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0" w:hRule="atLeast"/>
        </w:trPr>
        <w:tc>
          <w:tcPr>
            <w:tcW w:w="117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5" w:right="297"/>
              <w:jc w:val="both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绩效指标</w:t>
            </w:r>
          </w:p>
        </w:tc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一级指标</w:t>
            </w:r>
          </w:p>
        </w:tc>
        <w:tc>
          <w:tcPr>
            <w:tcW w:w="1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二级指标</w:t>
            </w: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三级指标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6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指标值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产出指标</w:t>
            </w:r>
          </w:p>
        </w:tc>
        <w:tc>
          <w:tcPr>
            <w:tcW w:w="14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成本指标</w:t>
            </w: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公立医院管理费用占费用总额的比重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0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≤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6"/>
                <w:szCs w:val="32"/>
                <w:lang w:val="en-US" w:eastAsia="zh-CN"/>
              </w:rPr>
              <w:t>.0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无基本建设和设备购置非流动负债的公立医院占比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62</w:t>
            </w:r>
            <w:r>
              <w:rPr>
                <w:rFonts w:hint="eastAsia" w:ascii="微软雅黑" w:hAnsi="微软雅黑" w:eastAsia="微软雅黑" w:cs="微软雅黑"/>
                <w:sz w:val="16"/>
                <w:szCs w:val="32"/>
                <w:lang w:val="en-US" w:eastAsia="zh-CN"/>
              </w:rPr>
              <w:t>.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5％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实现收支平衡的公立医院占比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83％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14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0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数量指标</w:t>
            </w: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 w:hanging="5"/>
              <w:jc w:val="both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市级和县级政府由一位负贵同志统一分管医疗、医保、医药工作的比例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5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100％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实行党委领导下的院长负责制的公立医院比例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5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100％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三级公立医院设置总会计师的比例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70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100％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14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5"/>
                <w:szCs w:val="32"/>
              </w:rPr>
              <w:t>质量指标</w:t>
            </w: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三级公立医院出院患者四级手术比例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36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  <w:szCs w:val="36"/>
              </w:rPr>
              <w:t>27</w:t>
            </w:r>
            <w:r>
              <w:rPr>
                <w:rFonts w:hint="eastAsia" w:ascii="微软雅黑" w:hAnsi="微软雅黑" w:eastAsia="微软雅黑" w:cs="微软雅黑"/>
                <w:sz w:val="16"/>
                <w:szCs w:val="36"/>
                <w:lang w:val="en-US" w:eastAsia="zh-CN"/>
              </w:rPr>
              <w:t>.1</w:t>
            </w:r>
            <w:r>
              <w:rPr>
                <w:rFonts w:ascii="微软雅黑" w:hAnsi="微软雅黑" w:eastAsia="微软雅黑" w:cs="微软雅黑"/>
                <w:sz w:val="16"/>
                <w:szCs w:val="36"/>
              </w:rPr>
              <w:t>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参与同级检查结果互认的公立医院占比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5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100％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三级公立医院平均住院日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6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32"/>
                <w:lang w:eastAsia="zh-CN"/>
              </w:rPr>
              <w:t>≤</w:t>
            </w:r>
            <w:r>
              <w:rPr>
                <w:rFonts w:ascii="微软雅黑" w:hAnsi="微软雅黑" w:eastAsia="微软雅黑" w:cs="微软雅黑"/>
                <w:sz w:val="15"/>
                <w:szCs w:val="32"/>
              </w:rPr>
              <w:t>8天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三级公立医院门诊人次数与出院人次数比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51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32"/>
                <w:lang w:eastAsia="zh-CN"/>
              </w:rPr>
              <w:t>≤</w:t>
            </w:r>
            <w:r>
              <w:rPr>
                <w:rFonts w:hint="eastAsia" w:ascii="微软雅黑" w:hAnsi="微软雅黑" w:eastAsia="微软雅黑" w:cs="微软雅黑"/>
                <w:sz w:val="15"/>
                <w:szCs w:val="32"/>
                <w:lang w:val="en-US" w:eastAsia="zh-CN"/>
              </w:rPr>
              <w:t>15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 w:hanging="5"/>
              <w:jc w:val="both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公立医院医疗服务收入（不含药品、耗材、检查、化验收入）占医疗收入的比例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1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sz w:val="16"/>
                <w:szCs w:val="32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sz w:val="15"/>
                <w:szCs w:val="32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5"/>
                <w:szCs w:val="32"/>
                <w:lang w:val="en-US" w:eastAsia="zh-CN"/>
              </w:rPr>
              <w:t>.5</w:t>
            </w:r>
            <w:r>
              <w:rPr>
                <w:rFonts w:ascii="微软雅黑" w:hAnsi="微软雅黑" w:eastAsia="微软雅黑" w:cs="微软雅黑"/>
                <w:sz w:val="15"/>
                <w:szCs w:val="32"/>
              </w:rPr>
              <w:t>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0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公立医院人员薪酬中稳定收入所占的比例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85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5"/>
                <w:szCs w:val="32"/>
              </w:rPr>
              <w:t>43％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5"/>
                <w:szCs w:val="32"/>
              </w:rPr>
              <w:t>效益指标</w:t>
            </w:r>
          </w:p>
        </w:tc>
        <w:tc>
          <w:tcPr>
            <w:tcW w:w="14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社会效益指标</w:t>
            </w: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县域内住院量占总住院量的比例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微软雅黑"/>
                <w:sz w:val="15"/>
                <w:szCs w:val="32"/>
                <w:lang w:val="en-US" w:eastAsia="zh-CN"/>
              </w:rPr>
              <w:t>86.2</w:t>
            </w:r>
            <w:r>
              <w:rPr>
                <w:rFonts w:ascii="微软雅黑" w:hAnsi="微软雅黑" w:eastAsia="微软雅黑" w:cs="微软雅黑"/>
                <w:sz w:val="15"/>
                <w:szCs w:val="32"/>
              </w:rPr>
              <w:t>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0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公立医院门诊次均费用增幅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5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40"/>
                <w:lang w:eastAsia="zh-CN"/>
              </w:rPr>
              <w:t>≤</w:t>
            </w:r>
            <w:r>
              <w:rPr>
                <w:rFonts w:ascii="微软雅黑" w:hAnsi="微软雅黑" w:eastAsia="微软雅黑" w:cs="微软雅黑"/>
                <w:sz w:val="16"/>
                <w:szCs w:val="40"/>
              </w:rPr>
              <w:t>3％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0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公立医院住院次均费用增幅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5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40"/>
                <w:lang w:eastAsia="zh-CN"/>
              </w:rPr>
              <w:t>≤</w:t>
            </w:r>
            <w:r>
              <w:rPr>
                <w:rFonts w:ascii="微软雅黑" w:hAnsi="微软雅黑" w:eastAsia="微软雅黑" w:cs="微软雅黑"/>
                <w:sz w:val="16"/>
                <w:szCs w:val="40"/>
              </w:rPr>
              <w:t>3％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基层医疗卫生机构诊疗量占总诊疗量的比例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57</w:t>
            </w:r>
            <w:r>
              <w:rPr>
                <w:rFonts w:hint="eastAsia" w:ascii="微软雅黑" w:hAnsi="微软雅黑" w:eastAsia="微软雅黑" w:cs="微软雅黑"/>
                <w:sz w:val="16"/>
                <w:szCs w:val="32"/>
                <w:lang w:val="en-US" w:eastAsia="zh-CN"/>
              </w:rPr>
              <w:t>.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5％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1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3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满意度指标</w:t>
            </w:r>
          </w:p>
        </w:tc>
        <w:tc>
          <w:tcPr>
            <w:tcW w:w="14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服务对象</w:t>
            </w:r>
          </w:p>
          <w:p>
            <w:pPr>
              <w:spacing w:after="0"/>
              <w:ind w:left="48"/>
              <w:jc w:val="center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满意度指标</w:t>
            </w: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0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公立医院门诊患者满意度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93％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公立医院住院患者满意度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95％</w:t>
            </w:r>
          </w:p>
        </w:tc>
      </w:tr>
      <w:tr>
        <w:tblPrEx>
          <w:tblCellMar>
            <w:top w:w="79" w:type="dxa"/>
            <w:left w:w="24" w:type="dxa"/>
            <w:bottom w:w="0" w:type="dxa"/>
            <w:right w:w="49" w:type="dxa"/>
          </w:tblCellMar>
        </w:tblPrEx>
        <w:trPr>
          <w:trHeight w:val="42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8"/>
                <w:szCs w:val="32"/>
              </w:rPr>
            </w:pPr>
          </w:p>
        </w:tc>
        <w:tc>
          <w:tcPr>
            <w:tcW w:w="40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rPr>
                <w:sz w:val="28"/>
                <w:szCs w:val="32"/>
              </w:rPr>
            </w:pPr>
            <w:r>
              <w:rPr>
                <w:rFonts w:ascii="微软雅黑" w:hAnsi="微软雅黑" w:eastAsia="微软雅黑" w:cs="微软雅黑"/>
                <w:sz w:val="16"/>
                <w:szCs w:val="32"/>
              </w:rPr>
              <w:t>公立医院医务人员满意度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6"/>
              <w:jc w:val="center"/>
              <w:rPr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32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6"/>
                <w:szCs w:val="32"/>
              </w:rPr>
              <w:t>90％</w:t>
            </w:r>
          </w:p>
        </w:tc>
      </w:tr>
    </w:tbl>
    <w:p/>
    <w:sectPr>
      <w:pgSz w:w="11904" w:h="16834"/>
      <w:pgMar w:top="1607" w:right="1406" w:bottom="1282" w:left="112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AF"/>
    <w:rsid w:val="002D036B"/>
    <w:rsid w:val="002F50EF"/>
    <w:rsid w:val="00CE4301"/>
    <w:rsid w:val="00DF7FAF"/>
    <w:rsid w:val="A76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0" w:line="259" w:lineRule="auto"/>
      <w:ind w:left="879" w:hanging="10"/>
      <w:outlineLvl w:val="0"/>
    </w:pPr>
    <w:rPr>
      <w:rFonts w:ascii="微软雅黑" w:hAnsi="微软雅黑" w:eastAsia="微软雅黑" w:cs="微软雅黑"/>
      <w:color w:val="000000"/>
      <w:kern w:val="2"/>
      <w:sz w:val="80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80"/>
    </w:rPr>
  </w:style>
  <w:style w:type="table" w:customStyle="1" w:styleId="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1216</Words>
  <Characters>1362</Characters>
  <Lines>194</Lines>
  <Paragraphs>214</Paragraphs>
  <TotalTime>1</TotalTime>
  <ScaleCrop>false</ScaleCrop>
  <LinksUpToDate>false</LinksUpToDate>
  <CharactersWithSpaces>2364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2025-09-17T15:42:00Z</dcterms:created>
  <dc:creator>珊珊 龙</dc:creator>
  <cp:lastModifiedBy>greatwall</cp:lastModifiedBy>
  <dcterms:modified xsi:type="dcterms:W3CDTF">2025-09-17T15:51:39Z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E3A9EEEAB046D9DE8B68CA68AC7768FB</vt:lpwstr>
  </property>
</Properties>
</file>